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FAC" w:rsidRPr="00510FAC" w:rsidRDefault="00510FAC" w:rsidP="00510FAC">
      <w:pPr>
        <w:rPr>
          <w:rFonts w:cs="Tahoma"/>
          <w:lang w:bidi="ar-SA"/>
        </w:rPr>
      </w:pPr>
    </w:p>
    <w:p w:rsidR="00510FAC" w:rsidRPr="00510FAC" w:rsidRDefault="00510FAC" w:rsidP="00510FAC">
      <w:pPr>
        <w:pBdr>
          <w:top w:val="single" w:sz="12" w:space="1" w:color="BEC0C2"/>
        </w:pBdr>
        <w:jc w:val="right"/>
        <w:rPr>
          <w:rFonts w:cs="Tahoma"/>
          <w:b/>
          <w:bCs/>
          <w:smallCaps/>
          <w:sz w:val="24"/>
          <w:szCs w:val="24"/>
          <w:lang w:eastAsia="cs-CZ" w:bidi="ar-SA"/>
        </w:rPr>
      </w:pPr>
    </w:p>
    <w:p w:rsidR="00510FAC" w:rsidRPr="00510FAC" w:rsidRDefault="002E4FF5" w:rsidP="0072321C">
      <w:pPr>
        <w:pBdr>
          <w:top w:val="single" w:sz="12" w:space="1" w:color="BEC0C2"/>
        </w:pBdr>
        <w:jc w:val="center"/>
        <w:rPr>
          <w:rFonts w:cs="Tahoma"/>
          <w:b/>
          <w:bCs/>
          <w:smallCaps/>
          <w:sz w:val="40"/>
          <w:szCs w:val="40"/>
          <w:lang w:eastAsia="cs-CZ" w:bidi="ar-SA"/>
        </w:rPr>
      </w:pPr>
      <w:r w:rsidRPr="0014612B">
        <w:rPr>
          <w:rFonts w:cs="Tahoma"/>
          <w:b/>
          <w:bCs/>
          <w:smallCaps/>
          <w:sz w:val="40"/>
          <w:szCs w:val="40"/>
          <w:lang w:eastAsia="cs-CZ" w:bidi="ar-SA"/>
        </w:rPr>
        <w:t>KUPNÍ SMLOUVA č. 2019</w:t>
      </w:r>
      <w:r w:rsidR="00C31C38" w:rsidRPr="0014612B">
        <w:rPr>
          <w:rFonts w:cs="Tahoma"/>
          <w:b/>
          <w:bCs/>
          <w:smallCaps/>
          <w:sz w:val="40"/>
          <w:szCs w:val="40"/>
          <w:lang w:eastAsia="cs-CZ" w:bidi="ar-SA"/>
        </w:rPr>
        <w:t>-12</w:t>
      </w:r>
      <w:r w:rsidR="0072321C" w:rsidRPr="0014612B">
        <w:rPr>
          <w:rFonts w:cs="Tahoma"/>
          <w:b/>
          <w:bCs/>
          <w:smallCaps/>
          <w:sz w:val="40"/>
          <w:szCs w:val="40"/>
          <w:lang w:eastAsia="cs-CZ" w:bidi="ar-SA"/>
        </w:rPr>
        <w:t>-OPP-</w:t>
      </w:r>
      <w:r w:rsidR="0014612B" w:rsidRPr="0014612B">
        <w:rPr>
          <w:rFonts w:cs="Tahoma"/>
          <w:b/>
          <w:bCs/>
          <w:smallCaps/>
          <w:sz w:val="40"/>
          <w:szCs w:val="40"/>
          <w:lang w:eastAsia="cs-CZ" w:bidi="ar-SA"/>
        </w:rPr>
        <w:t>263184</w:t>
      </w:r>
      <w:r w:rsidR="001E0DE0">
        <w:rPr>
          <w:rFonts w:cs="Tahoma"/>
          <w:b/>
          <w:bCs/>
          <w:smallCaps/>
          <w:sz w:val="40"/>
          <w:szCs w:val="40"/>
          <w:lang w:eastAsia="cs-CZ" w:bidi="ar-SA"/>
        </w:rPr>
        <w:t>I/NIPOS 463/19</w:t>
      </w:r>
    </w:p>
    <w:p w:rsidR="00510FAC" w:rsidRPr="00510FAC" w:rsidRDefault="00510FAC" w:rsidP="00510FAC">
      <w:pPr>
        <w:spacing w:before="120"/>
        <w:jc w:val="center"/>
        <w:rPr>
          <w:rFonts w:cs="Tahoma"/>
          <w:lang w:bidi="ar-SA"/>
        </w:rPr>
      </w:pPr>
    </w:p>
    <w:p w:rsidR="00510FAC" w:rsidRPr="00510FAC" w:rsidRDefault="00510FAC" w:rsidP="00510FAC">
      <w:pPr>
        <w:spacing w:before="120"/>
        <w:rPr>
          <w:rFonts w:cs="Tahoma"/>
          <w:lang w:bidi="ar-SA"/>
        </w:rPr>
      </w:pPr>
      <w:r w:rsidRPr="00510FAC">
        <w:rPr>
          <w:rFonts w:cs="Tahoma"/>
          <w:lang w:bidi="ar-SA"/>
        </w:rPr>
        <w:t>uzavřená podle § 2079 a násl. zákona č. 89/2012 Sb., občanský zákoník (dále jen „</w:t>
      </w:r>
      <w:r w:rsidRPr="00510FAC">
        <w:rPr>
          <w:rFonts w:cs="Tahoma"/>
          <w:b/>
          <w:bCs/>
          <w:lang w:bidi="ar-SA"/>
        </w:rPr>
        <w:t>občanský zákoník</w:t>
      </w:r>
      <w:r w:rsidRPr="00510FAC">
        <w:rPr>
          <w:rFonts w:cs="Tahoma"/>
          <w:lang w:bidi="ar-SA"/>
        </w:rPr>
        <w:t>“)</w:t>
      </w:r>
    </w:p>
    <w:p w:rsidR="00510FAC" w:rsidRPr="00510FAC" w:rsidRDefault="00510FAC" w:rsidP="00510FAC">
      <w:pPr>
        <w:rPr>
          <w:rFonts w:cs="Tahoma"/>
          <w:lang w:bidi="ar-SA"/>
        </w:rPr>
      </w:pPr>
    </w:p>
    <w:p w:rsidR="00510FAC" w:rsidRPr="00510FAC" w:rsidRDefault="00510FAC" w:rsidP="00510FAC">
      <w:pPr>
        <w:pStyle w:val="Odstavecseseznamem"/>
        <w:numPr>
          <w:ilvl w:val="0"/>
          <w:numId w:val="16"/>
        </w:numPr>
        <w:jc w:val="center"/>
        <w:rPr>
          <w:rFonts w:cs="Tahoma"/>
          <w:b/>
          <w:bCs/>
          <w:sz w:val="22"/>
          <w:szCs w:val="22"/>
          <w:lang w:bidi="ar-SA"/>
        </w:rPr>
      </w:pPr>
      <w:r w:rsidRPr="00510FAC">
        <w:rPr>
          <w:rFonts w:cs="Tahoma"/>
          <w:b/>
          <w:bCs/>
          <w:sz w:val="22"/>
          <w:szCs w:val="22"/>
          <w:lang w:bidi="ar-SA"/>
        </w:rPr>
        <w:t>Smluvní strany</w:t>
      </w:r>
    </w:p>
    <w:p w:rsidR="00510FAC" w:rsidRPr="00510FAC" w:rsidRDefault="00510FAC" w:rsidP="00510FAC">
      <w:pPr>
        <w:jc w:val="center"/>
        <w:rPr>
          <w:rFonts w:cs="Tahoma"/>
          <w:lang w:bidi="ar-SA"/>
        </w:rPr>
      </w:pPr>
    </w:p>
    <w:p w:rsidR="00510FAC" w:rsidRPr="00510FAC" w:rsidRDefault="00510FAC" w:rsidP="00CA3048">
      <w:pPr>
        <w:numPr>
          <w:ilvl w:val="0"/>
          <w:numId w:val="10"/>
        </w:numPr>
        <w:ind w:left="0" w:firstLine="0"/>
        <w:rPr>
          <w:rFonts w:cs="Tahoma"/>
          <w:b/>
          <w:bCs/>
          <w:lang w:bidi="ar-SA"/>
        </w:rPr>
      </w:pPr>
    </w:p>
    <w:tbl>
      <w:tblPr>
        <w:tblW w:w="8672" w:type="dxa"/>
        <w:tblInd w:w="-34" w:type="dxa"/>
        <w:tblLook w:val="00A0" w:firstRow="1" w:lastRow="0" w:firstColumn="1" w:lastColumn="0" w:noHBand="0" w:noVBand="0"/>
      </w:tblPr>
      <w:tblGrid>
        <w:gridCol w:w="1868"/>
        <w:gridCol w:w="6804"/>
      </w:tblGrid>
      <w:tr w:rsidR="00510FAC" w:rsidRPr="00510FAC" w:rsidTr="00746AFC">
        <w:tc>
          <w:tcPr>
            <w:tcW w:w="1868" w:type="dxa"/>
            <w:vAlign w:val="center"/>
          </w:tcPr>
          <w:p w:rsidR="00510FAC" w:rsidRPr="00510FAC" w:rsidRDefault="00510FAC" w:rsidP="00510FAC">
            <w:pPr>
              <w:rPr>
                <w:rFonts w:cs="Tahoma"/>
                <w:b/>
                <w:bCs/>
                <w:lang w:eastAsia="cs-CZ" w:bidi="ar-SA"/>
              </w:rPr>
            </w:pPr>
          </w:p>
        </w:tc>
        <w:tc>
          <w:tcPr>
            <w:tcW w:w="6804" w:type="dxa"/>
            <w:vAlign w:val="center"/>
          </w:tcPr>
          <w:p w:rsidR="00510FAC" w:rsidRPr="00746AFC" w:rsidRDefault="006724FA" w:rsidP="00510FAC">
            <w:r w:rsidRPr="006724FA">
              <w:rPr>
                <w:b/>
              </w:rPr>
              <w:t>Národní informační a poradenské středisko pro kulturu</w:t>
            </w:r>
            <w:r w:rsidR="00746AFC">
              <w:rPr>
                <w:b/>
              </w:rPr>
              <w:t xml:space="preserve"> </w:t>
            </w:r>
            <w:r w:rsidR="00746AFC" w:rsidRPr="00746AFC">
              <w:rPr>
                <w:b/>
              </w:rPr>
              <w:t>(NIPOS)</w:t>
            </w:r>
          </w:p>
          <w:p w:rsidR="00746AFC" w:rsidRDefault="00746AFC" w:rsidP="00746AFC">
            <w:r>
              <w:t>Státní příspěvková organizace zřízená Ministerstvem kultury ČR,</w:t>
            </w:r>
          </w:p>
          <w:p w:rsidR="00746AFC" w:rsidRPr="00746AFC" w:rsidRDefault="00746AFC" w:rsidP="00746AFC">
            <w:pPr>
              <w:rPr>
                <w:rFonts w:cs="Tahoma"/>
                <w:highlight w:val="yellow"/>
                <w:lang w:eastAsia="cs-CZ" w:bidi="ar-SA"/>
              </w:rPr>
            </w:pPr>
            <w:r>
              <w:t>Zřizovací l</w:t>
            </w:r>
            <w:r w:rsidR="006E4102">
              <w:t>istina čj. 52761/2013 ze dne 18.11.</w:t>
            </w:r>
            <w:r>
              <w:t>2013</w:t>
            </w:r>
          </w:p>
        </w:tc>
      </w:tr>
      <w:tr w:rsidR="00510FAC" w:rsidRPr="00510FAC" w:rsidTr="00746AFC">
        <w:tc>
          <w:tcPr>
            <w:tcW w:w="1868" w:type="dxa"/>
            <w:vAlign w:val="center"/>
          </w:tcPr>
          <w:p w:rsidR="00510FAC" w:rsidRPr="00510FAC" w:rsidRDefault="00510FAC" w:rsidP="00510FAC">
            <w:pPr>
              <w:rPr>
                <w:rFonts w:cs="Tahoma"/>
                <w:lang w:bidi="ar-SA"/>
              </w:rPr>
            </w:pPr>
            <w:r w:rsidRPr="00510FAC">
              <w:rPr>
                <w:rFonts w:cs="Tahoma"/>
                <w:lang w:bidi="ar-SA"/>
              </w:rPr>
              <w:t>se sídlem:</w:t>
            </w:r>
          </w:p>
        </w:tc>
        <w:tc>
          <w:tcPr>
            <w:tcW w:w="6804" w:type="dxa"/>
            <w:vAlign w:val="center"/>
          </w:tcPr>
          <w:p w:rsidR="00510FAC" w:rsidRPr="00510FAC" w:rsidRDefault="006724FA" w:rsidP="006724FA">
            <w:pPr>
              <w:rPr>
                <w:rFonts w:cs="Tahoma"/>
                <w:highlight w:val="yellow"/>
                <w:lang w:bidi="ar-SA"/>
              </w:rPr>
            </w:pPr>
            <w:r w:rsidRPr="006724FA">
              <w:rPr>
                <w:rFonts w:cs="Tahoma"/>
                <w:lang w:bidi="ar-SA"/>
              </w:rPr>
              <w:t>Praha 2 - Vinohrady</w:t>
            </w:r>
            <w:r w:rsidR="00510FAC" w:rsidRPr="006724FA">
              <w:rPr>
                <w:rFonts w:cs="Tahoma"/>
                <w:lang w:bidi="ar-SA"/>
              </w:rPr>
              <w:t xml:space="preserve">, </w:t>
            </w:r>
            <w:r w:rsidRPr="006724FA">
              <w:t>Fügnerovo náměstí 1866/5</w:t>
            </w:r>
            <w:r w:rsidR="00510FAC" w:rsidRPr="006724FA">
              <w:rPr>
                <w:rFonts w:cs="Tahoma"/>
                <w:lang w:bidi="ar-SA"/>
              </w:rPr>
              <w:t xml:space="preserve">, PSČ </w:t>
            </w:r>
            <w:r w:rsidRPr="006724FA">
              <w:rPr>
                <w:rFonts w:cs="Tahoma"/>
                <w:lang w:bidi="ar-SA"/>
              </w:rPr>
              <w:t>120 21</w:t>
            </w:r>
            <w:r w:rsidR="00510FAC" w:rsidRPr="006724FA">
              <w:rPr>
                <w:rFonts w:cs="Tahoma"/>
                <w:lang w:bidi="ar-SA"/>
              </w:rPr>
              <w:t xml:space="preserve"> </w:t>
            </w:r>
          </w:p>
        </w:tc>
      </w:tr>
      <w:tr w:rsidR="00510FAC" w:rsidRPr="00510FAC" w:rsidTr="00746AFC">
        <w:tc>
          <w:tcPr>
            <w:tcW w:w="1868" w:type="dxa"/>
            <w:vAlign w:val="center"/>
          </w:tcPr>
          <w:p w:rsidR="00510FAC" w:rsidRPr="006724FA" w:rsidRDefault="00510FAC" w:rsidP="00510FAC">
            <w:pPr>
              <w:rPr>
                <w:rFonts w:cs="Tahoma"/>
                <w:lang w:bidi="ar-SA"/>
              </w:rPr>
            </w:pPr>
            <w:r w:rsidRPr="006724FA">
              <w:rPr>
                <w:rFonts w:cs="Tahoma"/>
                <w:lang w:bidi="ar-SA"/>
              </w:rPr>
              <w:t>IČ:</w:t>
            </w:r>
          </w:p>
        </w:tc>
        <w:tc>
          <w:tcPr>
            <w:tcW w:w="6804" w:type="dxa"/>
            <w:vAlign w:val="center"/>
          </w:tcPr>
          <w:p w:rsidR="00510FAC" w:rsidRPr="006724FA" w:rsidRDefault="006724FA" w:rsidP="006E4102">
            <w:pPr>
              <w:rPr>
                <w:rFonts w:cs="Tahoma"/>
                <w:lang w:bidi="ar-SA"/>
              </w:rPr>
            </w:pPr>
            <w:r w:rsidRPr="006724FA">
              <w:rPr>
                <w:rFonts w:cs="Tahoma"/>
                <w:lang w:bidi="ar-SA"/>
              </w:rPr>
              <w:t>14450551</w:t>
            </w:r>
            <w:r w:rsidR="006E4102">
              <w:rPr>
                <w:rFonts w:cs="Tahoma"/>
                <w:lang w:bidi="ar-SA"/>
              </w:rPr>
              <w:t xml:space="preserve">, </w:t>
            </w:r>
            <w:r w:rsidR="00746AFC">
              <w:rPr>
                <w:rFonts w:cs="Tahoma"/>
                <w:lang w:bidi="ar-SA"/>
              </w:rPr>
              <w:t>NIPOS není plátcem DPH</w:t>
            </w:r>
          </w:p>
        </w:tc>
      </w:tr>
      <w:tr w:rsidR="00510FAC" w:rsidRPr="00510FAC" w:rsidTr="00746AFC">
        <w:tc>
          <w:tcPr>
            <w:tcW w:w="1868" w:type="dxa"/>
            <w:vAlign w:val="center"/>
          </w:tcPr>
          <w:p w:rsidR="00510FAC" w:rsidRPr="00510FAC" w:rsidRDefault="00510FAC" w:rsidP="00510FAC">
            <w:pPr>
              <w:rPr>
                <w:rFonts w:cs="Tahoma"/>
                <w:lang w:bidi="ar-SA"/>
              </w:rPr>
            </w:pPr>
            <w:r w:rsidRPr="00510FAC">
              <w:rPr>
                <w:rFonts w:cs="Tahoma"/>
                <w:lang w:bidi="ar-SA"/>
              </w:rPr>
              <w:t>telefon:</w:t>
            </w:r>
          </w:p>
        </w:tc>
        <w:tc>
          <w:tcPr>
            <w:tcW w:w="6804" w:type="dxa"/>
            <w:vAlign w:val="center"/>
          </w:tcPr>
          <w:p w:rsidR="00510FAC" w:rsidRPr="00510FAC" w:rsidRDefault="007E03B9" w:rsidP="00510FAC">
            <w:pPr>
              <w:rPr>
                <w:rFonts w:cs="Tahoma"/>
                <w:highlight w:val="yellow"/>
                <w:lang w:bidi="ar-SA"/>
              </w:rPr>
            </w:pPr>
            <w:r>
              <w:t>+420 221 507 900</w:t>
            </w:r>
          </w:p>
        </w:tc>
      </w:tr>
      <w:tr w:rsidR="00510FAC" w:rsidRPr="00510FAC" w:rsidTr="00746AFC">
        <w:tc>
          <w:tcPr>
            <w:tcW w:w="1868" w:type="dxa"/>
            <w:vAlign w:val="center"/>
          </w:tcPr>
          <w:p w:rsidR="00510FAC" w:rsidRPr="00510FAC" w:rsidRDefault="00510FAC" w:rsidP="00510FAC">
            <w:pPr>
              <w:rPr>
                <w:rFonts w:cs="Tahoma"/>
                <w:lang w:bidi="ar-SA"/>
              </w:rPr>
            </w:pPr>
            <w:r w:rsidRPr="00510FAC">
              <w:rPr>
                <w:rFonts w:cs="Tahoma"/>
                <w:lang w:bidi="ar-SA"/>
              </w:rPr>
              <w:t>mail:</w:t>
            </w:r>
          </w:p>
        </w:tc>
        <w:tc>
          <w:tcPr>
            <w:tcW w:w="6804" w:type="dxa"/>
            <w:vAlign w:val="center"/>
          </w:tcPr>
          <w:p w:rsidR="001E0DE0" w:rsidRPr="001E0DE0" w:rsidRDefault="00210B0C" w:rsidP="00510FAC">
            <w:pPr>
              <w:rPr>
                <w:rFonts w:cs="Tahoma"/>
                <w:lang w:bidi="ar-SA"/>
              </w:rPr>
            </w:pPr>
            <w:hyperlink r:id="rId7" w:history="1">
              <w:r w:rsidR="001E0DE0" w:rsidRPr="00072DA6">
                <w:rPr>
                  <w:rStyle w:val="Hypertextovodkaz"/>
                  <w:rFonts w:cs="Tahoma"/>
                  <w:lang w:bidi="ar-SA"/>
                </w:rPr>
                <w:t>podatelna@nipos-mk.cz</w:t>
              </w:r>
            </w:hyperlink>
          </w:p>
        </w:tc>
      </w:tr>
      <w:tr w:rsidR="00510FAC" w:rsidRPr="00510FAC" w:rsidTr="00746AFC">
        <w:tc>
          <w:tcPr>
            <w:tcW w:w="1868" w:type="dxa"/>
          </w:tcPr>
          <w:p w:rsidR="00510FAC" w:rsidRPr="00510FAC" w:rsidRDefault="00746AFC" w:rsidP="00510FAC">
            <w:pPr>
              <w:rPr>
                <w:rFonts w:cs="Tahoma"/>
                <w:lang w:bidi="ar-SA"/>
              </w:rPr>
            </w:pPr>
            <w:r>
              <w:rPr>
                <w:rFonts w:cs="Tahoma"/>
                <w:lang w:bidi="ar-SA"/>
              </w:rPr>
              <w:t>zastoupené</w:t>
            </w:r>
            <w:r w:rsidR="00510FAC" w:rsidRPr="00510FAC">
              <w:rPr>
                <w:rFonts w:cs="Tahoma"/>
                <w:lang w:bidi="ar-SA"/>
              </w:rPr>
              <w:t>:</w:t>
            </w:r>
          </w:p>
        </w:tc>
        <w:tc>
          <w:tcPr>
            <w:tcW w:w="6804" w:type="dxa"/>
            <w:vAlign w:val="center"/>
          </w:tcPr>
          <w:p w:rsidR="00510FAC" w:rsidRPr="007E03B9" w:rsidRDefault="001E0DE0" w:rsidP="007E03B9">
            <w:pPr>
              <w:rPr>
                <w:rFonts w:cs="Tahoma"/>
                <w:b/>
                <w:highlight w:val="yellow"/>
                <w:lang w:bidi="ar-SA"/>
              </w:rPr>
            </w:pPr>
            <w:r>
              <w:rPr>
                <w:rStyle w:val="Siln"/>
                <w:b w:val="0"/>
              </w:rPr>
              <w:t>Mgr. Lenkou</w:t>
            </w:r>
            <w:r w:rsidR="007E03B9" w:rsidRPr="007E03B9">
              <w:rPr>
                <w:rStyle w:val="Siln"/>
                <w:b w:val="0"/>
              </w:rPr>
              <w:t xml:space="preserve"> L</w:t>
            </w:r>
            <w:r>
              <w:rPr>
                <w:rStyle w:val="Siln"/>
                <w:b w:val="0"/>
              </w:rPr>
              <w:t>ázňovskou</w:t>
            </w:r>
            <w:r w:rsidR="007E03B9">
              <w:rPr>
                <w:rStyle w:val="Siln"/>
                <w:b w:val="0"/>
              </w:rPr>
              <w:t>, ředitelk</w:t>
            </w:r>
            <w:r>
              <w:rPr>
                <w:rStyle w:val="Siln"/>
                <w:b w:val="0"/>
              </w:rPr>
              <w:t>ou</w:t>
            </w:r>
          </w:p>
        </w:tc>
      </w:tr>
      <w:tr w:rsidR="00510FAC" w:rsidRPr="00510FAC" w:rsidTr="00746AFC">
        <w:tc>
          <w:tcPr>
            <w:tcW w:w="8672" w:type="dxa"/>
            <w:gridSpan w:val="2"/>
          </w:tcPr>
          <w:p w:rsidR="00510FAC" w:rsidRPr="00510FAC" w:rsidRDefault="00510FAC" w:rsidP="00510FAC">
            <w:pPr>
              <w:rPr>
                <w:rFonts w:cs="Tahoma"/>
                <w:highlight w:val="yellow"/>
                <w:lang w:bidi="ar-SA"/>
              </w:rPr>
            </w:pPr>
            <w:r w:rsidRPr="00510FAC">
              <w:rPr>
                <w:rFonts w:cs="Tahoma"/>
                <w:lang w:bidi="ar-SA"/>
              </w:rPr>
              <w:t>(dále jen „</w:t>
            </w:r>
            <w:r w:rsidRPr="00510FAC">
              <w:rPr>
                <w:rFonts w:cs="Tahoma"/>
                <w:b/>
                <w:bCs/>
                <w:lang w:bidi="ar-SA"/>
              </w:rPr>
              <w:t>kupující</w:t>
            </w:r>
            <w:r w:rsidRPr="00510FAC">
              <w:rPr>
                <w:rFonts w:cs="Tahoma"/>
                <w:lang w:bidi="ar-SA"/>
              </w:rPr>
              <w:t>“)</w:t>
            </w:r>
          </w:p>
        </w:tc>
      </w:tr>
    </w:tbl>
    <w:p w:rsidR="00510FAC" w:rsidRPr="00510FAC" w:rsidRDefault="00510FAC" w:rsidP="00510FAC">
      <w:pPr>
        <w:rPr>
          <w:rFonts w:cs="Tahoma"/>
          <w:lang w:bidi="ar-SA"/>
        </w:rPr>
      </w:pPr>
    </w:p>
    <w:p w:rsidR="00510FAC" w:rsidRPr="00510FAC" w:rsidRDefault="00510FAC" w:rsidP="00510FAC">
      <w:pPr>
        <w:rPr>
          <w:rFonts w:cs="Tahoma"/>
          <w:b/>
          <w:bCs/>
          <w:lang w:bidi="ar-SA"/>
        </w:rPr>
      </w:pPr>
      <w:r w:rsidRPr="00510FAC">
        <w:rPr>
          <w:rFonts w:cs="Tahoma"/>
          <w:b/>
          <w:bCs/>
          <w:lang w:bidi="ar-SA"/>
        </w:rPr>
        <w:t>a</w:t>
      </w:r>
    </w:p>
    <w:p w:rsidR="00510FAC" w:rsidRPr="00510FAC" w:rsidRDefault="00510FAC" w:rsidP="00510FAC">
      <w:pPr>
        <w:rPr>
          <w:rFonts w:cs="Tahoma"/>
          <w:b/>
          <w:bCs/>
          <w:lang w:bidi="ar-SA"/>
        </w:rPr>
      </w:pPr>
    </w:p>
    <w:p w:rsidR="00510FAC" w:rsidRPr="00510FAC" w:rsidRDefault="00510FAC" w:rsidP="00CA3048">
      <w:pPr>
        <w:numPr>
          <w:ilvl w:val="0"/>
          <w:numId w:val="10"/>
        </w:numPr>
        <w:ind w:left="0" w:firstLine="0"/>
        <w:rPr>
          <w:rFonts w:cs="Tahoma"/>
          <w:b/>
          <w:bCs/>
          <w:lang w:bidi="ar-SA"/>
        </w:rPr>
      </w:pPr>
    </w:p>
    <w:tbl>
      <w:tblPr>
        <w:tblW w:w="8672" w:type="dxa"/>
        <w:tblInd w:w="-34" w:type="dxa"/>
        <w:tblLook w:val="00A0" w:firstRow="1" w:lastRow="0" w:firstColumn="1" w:lastColumn="0" w:noHBand="0" w:noVBand="0"/>
      </w:tblPr>
      <w:tblGrid>
        <w:gridCol w:w="1868"/>
        <w:gridCol w:w="6804"/>
      </w:tblGrid>
      <w:tr w:rsidR="00510FAC" w:rsidRPr="00510FAC" w:rsidTr="00746AFC">
        <w:tc>
          <w:tcPr>
            <w:tcW w:w="1868" w:type="dxa"/>
            <w:vAlign w:val="center"/>
          </w:tcPr>
          <w:p w:rsidR="00510FAC" w:rsidRPr="00510FAC" w:rsidRDefault="00510FAC" w:rsidP="00510FAC">
            <w:pPr>
              <w:rPr>
                <w:rFonts w:cs="Tahoma"/>
                <w:b/>
                <w:bCs/>
                <w:lang w:eastAsia="cs-CZ" w:bidi="ar-SA"/>
              </w:rPr>
            </w:pPr>
          </w:p>
        </w:tc>
        <w:tc>
          <w:tcPr>
            <w:tcW w:w="6804" w:type="dxa"/>
            <w:vAlign w:val="center"/>
          </w:tcPr>
          <w:p w:rsidR="00510FAC" w:rsidRPr="00510FAC" w:rsidRDefault="00510FAC" w:rsidP="00510FAC">
            <w:pPr>
              <w:rPr>
                <w:rFonts w:cs="Tahoma"/>
                <w:lang w:eastAsia="cs-CZ" w:bidi="ar-SA"/>
              </w:rPr>
            </w:pPr>
            <w:r w:rsidRPr="00510FAC">
              <w:rPr>
                <w:rFonts w:cs="Tahoma"/>
                <w:b/>
                <w:bCs/>
                <w:lang w:eastAsia="cs-CZ" w:bidi="ar-SA"/>
              </w:rPr>
              <w:t>Proact Czech Republic, s.r.o.</w:t>
            </w:r>
          </w:p>
        </w:tc>
      </w:tr>
      <w:tr w:rsidR="00510FAC" w:rsidRPr="00510FAC" w:rsidTr="00746AFC">
        <w:tc>
          <w:tcPr>
            <w:tcW w:w="1868" w:type="dxa"/>
            <w:vAlign w:val="center"/>
          </w:tcPr>
          <w:p w:rsidR="00510FAC" w:rsidRPr="00510FAC" w:rsidRDefault="00510FAC" w:rsidP="00510FAC">
            <w:pPr>
              <w:rPr>
                <w:rFonts w:cs="Tahoma"/>
                <w:lang w:eastAsia="cs-CZ" w:bidi="ar-SA"/>
              </w:rPr>
            </w:pPr>
            <w:r w:rsidRPr="00510FAC">
              <w:rPr>
                <w:rFonts w:cs="Tahoma"/>
                <w:lang w:eastAsia="cs-CZ" w:bidi="ar-SA"/>
              </w:rPr>
              <w:t>se sídlem:</w:t>
            </w:r>
          </w:p>
        </w:tc>
        <w:tc>
          <w:tcPr>
            <w:tcW w:w="6804" w:type="dxa"/>
            <w:vAlign w:val="center"/>
          </w:tcPr>
          <w:p w:rsidR="00510FAC" w:rsidRPr="00510FAC" w:rsidRDefault="006E4102" w:rsidP="006E4102">
            <w:pPr>
              <w:rPr>
                <w:rFonts w:cs="Tahoma"/>
                <w:lang w:eastAsia="cs-CZ" w:bidi="ar-SA"/>
              </w:rPr>
            </w:pPr>
            <w:r w:rsidRPr="006E4102">
              <w:rPr>
                <w:rFonts w:cs="Tahoma"/>
                <w:lang w:eastAsia="cs-CZ" w:bidi="ar-SA"/>
              </w:rPr>
              <w:t>Türkova 2319/5b, 149 00 Praha 4</w:t>
            </w:r>
            <w:r>
              <w:rPr>
                <w:rFonts w:cs="Tahoma"/>
                <w:lang w:eastAsia="cs-CZ" w:bidi="ar-SA"/>
              </w:rPr>
              <w:t xml:space="preserve"> - </w:t>
            </w:r>
            <w:r w:rsidRPr="006E4102">
              <w:rPr>
                <w:rFonts w:cs="Tahoma"/>
                <w:lang w:eastAsia="cs-CZ" w:bidi="ar-SA"/>
              </w:rPr>
              <w:t>Chodov</w:t>
            </w:r>
          </w:p>
        </w:tc>
      </w:tr>
      <w:tr w:rsidR="00510FAC" w:rsidRPr="00510FAC" w:rsidTr="00746AFC">
        <w:tc>
          <w:tcPr>
            <w:tcW w:w="1868" w:type="dxa"/>
            <w:vAlign w:val="center"/>
          </w:tcPr>
          <w:p w:rsidR="00510FAC" w:rsidRPr="00510FAC" w:rsidRDefault="00510FAC" w:rsidP="00510FAC">
            <w:pPr>
              <w:rPr>
                <w:rFonts w:cs="Tahoma"/>
                <w:lang w:eastAsia="cs-CZ" w:bidi="ar-SA"/>
              </w:rPr>
            </w:pPr>
            <w:r w:rsidRPr="00510FAC">
              <w:rPr>
                <w:rFonts w:cs="Tahoma"/>
                <w:lang w:eastAsia="cs-CZ" w:bidi="ar-SA"/>
              </w:rPr>
              <w:t>IČ:</w:t>
            </w:r>
          </w:p>
        </w:tc>
        <w:tc>
          <w:tcPr>
            <w:tcW w:w="6804" w:type="dxa"/>
            <w:vAlign w:val="center"/>
          </w:tcPr>
          <w:p w:rsidR="00510FAC" w:rsidRPr="00510FAC" w:rsidRDefault="00510FAC" w:rsidP="00510FAC">
            <w:pPr>
              <w:rPr>
                <w:rFonts w:cs="Tahoma"/>
                <w:lang w:eastAsia="cs-CZ" w:bidi="ar-SA"/>
              </w:rPr>
            </w:pPr>
            <w:r w:rsidRPr="00510FAC">
              <w:rPr>
                <w:rFonts w:cs="Tahoma"/>
                <w:lang w:eastAsia="cs-CZ" w:bidi="ar-SA"/>
              </w:rPr>
              <w:t>24799629</w:t>
            </w:r>
          </w:p>
        </w:tc>
      </w:tr>
      <w:tr w:rsidR="00510FAC" w:rsidRPr="00510FAC" w:rsidTr="00746AFC">
        <w:tc>
          <w:tcPr>
            <w:tcW w:w="1868" w:type="dxa"/>
            <w:vAlign w:val="center"/>
          </w:tcPr>
          <w:p w:rsidR="00510FAC" w:rsidRPr="00510FAC" w:rsidRDefault="00510FAC" w:rsidP="00510FAC">
            <w:pPr>
              <w:rPr>
                <w:rFonts w:cs="Tahoma"/>
                <w:lang w:eastAsia="cs-CZ" w:bidi="ar-SA"/>
              </w:rPr>
            </w:pPr>
            <w:r w:rsidRPr="00510FAC">
              <w:rPr>
                <w:rFonts w:cs="Tahoma"/>
                <w:lang w:eastAsia="cs-CZ" w:bidi="ar-SA"/>
              </w:rPr>
              <w:t>DIČ:</w:t>
            </w:r>
          </w:p>
        </w:tc>
        <w:tc>
          <w:tcPr>
            <w:tcW w:w="6804" w:type="dxa"/>
            <w:vAlign w:val="center"/>
          </w:tcPr>
          <w:p w:rsidR="00510FAC" w:rsidRPr="00510FAC" w:rsidRDefault="00510FAC" w:rsidP="00510FAC">
            <w:pPr>
              <w:rPr>
                <w:rFonts w:cs="Tahoma"/>
                <w:lang w:eastAsia="cs-CZ" w:bidi="ar-SA"/>
              </w:rPr>
            </w:pPr>
            <w:r w:rsidRPr="00510FAC">
              <w:rPr>
                <w:rFonts w:cs="Tahoma"/>
                <w:lang w:eastAsia="cs-CZ" w:bidi="ar-SA"/>
              </w:rPr>
              <w:t>CZ24799629</w:t>
            </w:r>
          </w:p>
        </w:tc>
      </w:tr>
      <w:tr w:rsidR="00510FAC" w:rsidRPr="00510FAC" w:rsidTr="00746AFC">
        <w:tc>
          <w:tcPr>
            <w:tcW w:w="1868" w:type="dxa"/>
            <w:vAlign w:val="center"/>
          </w:tcPr>
          <w:p w:rsidR="00510FAC" w:rsidRPr="00510FAC" w:rsidRDefault="00510FAC" w:rsidP="00510FAC">
            <w:pPr>
              <w:rPr>
                <w:rFonts w:cs="Tahoma"/>
                <w:lang w:eastAsia="cs-CZ" w:bidi="ar-SA"/>
              </w:rPr>
            </w:pPr>
            <w:r w:rsidRPr="00510FAC">
              <w:rPr>
                <w:rFonts w:cs="Tahoma"/>
                <w:lang w:eastAsia="cs-CZ" w:bidi="ar-SA"/>
              </w:rPr>
              <w:t>bankovní spojení:</w:t>
            </w:r>
          </w:p>
        </w:tc>
        <w:tc>
          <w:tcPr>
            <w:tcW w:w="6804" w:type="dxa"/>
          </w:tcPr>
          <w:p w:rsidR="00510FAC" w:rsidRPr="00510FAC" w:rsidRDefault="008F5F12" w:rsidP="00510FAC">
            <w:pPr>
              <w:rPr>
                <w:rFonts w:cs="Tahoma"/>
                <w:lang w:bidi="ar-SA"/>
              </w:rPr>
            </w:pPr>
            <w:r w:rsidRPr="008F5F12">
              <w:rPr>
                <w:rFonts w:cs="Tahoma"/>
                <w:lang w:bidi="ar-SA"/>
              </w:rPr>
              <w:t>UniCredit Bank Czech Republic and Slovakia, a.s.</w:t>
            </w:r>
            <w:r>
              <w:rPr>
                <w:rFonts w:cs="Tahoma"/>
                <w:lang w:bidi="ar-SA"/>
              </w:rPr>
              <w:t xml:space="preserve"> , č.ú.: 43738 005 / 2700</w:t>
            </w:r>
          </w:p>
        </w:tc>
      </w:tr>
      <w:tr w:rsidR="00510FAC" w:rsidRPr="00510FAC" w:rsidTr="00746AFC">
        <w:tc>
          <w:tcPr>
            <w:tcW w:w="1868" w:type="dxa"/>
            <w:vAlign w:val="center"/>
          </w:tcPr>
          <w:p w:rsidR="00510FAC" w:rsidRPr="00510FAC" w:rsidRDefault="00510FAC" w:rsidP="00510FAC">
            <w:pPr>
              <w:rPr>
                <w:rFonts w:cs="Tahoma"/>
                <w:lang w:eastAsia="cs-CZ" w:bidi="ar-SA"/>
              </w:rPr>
            </w:pPr>
            <w:r w:rsidRPr="00510FAC">
              <w:rPr>
                <w:rFonts w:cs="Tahoma"/>
                <w:lang w:eastAsia="cs-CZ" w:bidi="ar-SA"/>
              </w:rPr>
              <w:t>obchodní rejstřík:</w:t>
            </w:r>
          </w:p>
        </w:tc>
        <w:tc>
          <w:tcPr>
            <w:tcW w:w="6804" w:type="dxa"/>
            <w:vAlign w:val="center"/>
          </w:tcPr>
          <w:p w:rsidR="00510FAC" w:rsidRPr="00510FAC" w:rsidRDefault="00510FAC" w:rsidP="00510FAC">
            <w:pPr>
              <w:rPr>
                <w:rFonts w:cs="Tahoma"/>
                <w:lang w:eastAsia="cs-CZ" w:bidi="ar-SA"/>
              </w:rPr>
            </w:pPr>
            <w:r w:rsidRPr="00510FAC">
              <w:rPr>
                <w:rFonts w:cs="Tahoma"/>
                <w:lang w:eastAsia="cs-CZ" w:bidi="ar-SA"/>
              </w:rPr>
              <w:t>spisová značka: C 175329 vedená u Městského soudu v Praze</w:t>
            </w:r>
          </w:p>
        </w:tc>
      </w:tr>
      <w:tr w:rsidR="00510FAC" w:rsidRPr="00510FAC" w:rsidTr="00746AFC">
        <w:tc>
          <w:tcPr>
            <w:tcW w:w="1868" w:type="dxa"/>
            <w:vAlign w:val="center"/>
          </w:tcPr>
          <w:p w:rsidR="00510FAC" w:rsidRPr="00510FAC" w:rsidRDefault="00510FAC" w:rsidP="00510FAC">
            <w:pPr>
              <w:rPr>
                <w:rFonts w:cs="Tahoma"/>
                <w:lang w:eastAsia="cs-CZ" w:bidi="ar-SA"/>
              </w:rPr>
            </w:pPr>
            <w:r w:rsidRPr="00510FAC">
              <w:rPr>
                <w:rFonts w:cs="Tahoma"/>
                <w:lang w:eastAsia="cs-CZ" w:bidi="ar-SA"/>
              </w:rPr>
              <w:t>telefon:</w:t>
            </w:r>
          </w:p>
        </w:tc>
        <w:tc>
          <w:tcPr>
            <w:tcW w:w="6804" w:type="dxa"/>
            <w:vAlign w:val="center"/>
          </w:tcPr>
          <w:p w:rsidR="00510FAC" w:rsidRPr="00510FAC" w:rsidRDefault="00510FAC" w:rsidP="00510FAC">
            <w:pPr>
              <w:rPr>
                <w:rFonts w:cs="Tahoma"/>
                <w:lang w:eastAsia="cs-CZ" w:bidi="ar-SA"/>
              </w:rPr>
            </w:pPr>
            <w:r w:rsidRPr="00510FAC">
              <w:rPr>
                <w:rFonts w:cs="Tahoma"/>
                <w:lang w:eastAsia="cs-CZ" w:bidi="ar-SA"/>
              </w:rPr>
              <w:t>+420 272 072 600</w:t>
            </w:r>
          </w:p>
        </w:tc>
      </w:tr>
      <w:tr w:rsidR="00510FAC" w:rsidRPr="00510FAC" w:rsidTr="00746AFC">
        <w:tc>
          <w:tcPr>
            <w:tcW w:w="1868" w:type="dxa"/>
            <w:vAlign w:val="center"/>
          </w:tcPr>
          <w:p w:rsidR="00510FAC" w:rsidRPr="00510FAC" w:rsidRDefault="00510FAC" w:rsidP="00510FAC">
            <w:pPr>
              <w:rPr>
                <w:rFonts w:cs="Tahoma"/>
                <w:lang w:eastAsia="cs-CZ" w:bidi="ar-SA"/>
              </w:rPr>
            </w:pPr>
            <w:r w:rsidRPr="00510FAC">
              <w:rPr>
                <w:rFonts w:cs="Tahoma"/>
                <w:lang w:eastAsia="cs-CZ" w:bidi="ar-SA"/>
              </w:rPr>
              <w:t>mail:</w:t>
            </w:r>
          </w:p>
        </w:tc>
        <w:tc>
          <w:tcPr>
            <w:tcW w:w="6804" w:type="dxa"/>
            <w:vAlign w:val="center"/>
          </w:tcPr>
          <w:p w:rsidR="00510FAC" w:rsidRPr="00510FAC" w:rsidRDefault="00210B0C" w:rsidP="00510FAC">
            <w:pPr>
              <w:rPr>
                <w:rFonts w:cs="Tahoma"/>
                <w:lang w:eastAsia="cs-CZ" w:bidi="ar-SA"/>
              </w:rPr>
            </w:pPr>
            <w:hyperlink r:id="rId8" w:history="1">
              <w:r w:rsidR="001E0DE0" w:rsidRPr="00072DA6">
                <w:rPr>
                  <w:rStyle w:val="Hypertextovodkaz"/>
                  <w:rFonts w:cs="Tahoma"/>
                  <w:lang w:eastAsia="cs-CZ" w:bidi="ar-SA"/>
                </w:rPr>
                <w:t>cz.info@proact.eu</w:t>
              </w:r>
            </w:hyperlink>
          </w:p>
        </w:tc>
      </w:tr>
      <w:tr w:rsidR="00510FAC" w:rsidRPr="00510FAC" w:rsidTr="00746AFC">
        <w:tc>
          <w:tcPr>
            <w:tcW w:w="1868" w:type="dxa"/>
          </w:tcPr>
          <w:p w:rsidR="00510FAC" w:rsidRPr="00510FAC" w:rsidRDefault="00510FAC" w:rsidP="00510FAC">
            <w:pPr>
              <w:rPr>
                <w:rFonts w:cs="Tahoma"/>
                <w:lang w:eastAsia="cs-CZ" w:bidi="ar-SA"/>
              </w:rPr>
            </w:pPr>
            <w:r w:rsidRPr="00510FAC">
              <w:rPr>
                <w:rFonts w:cs="Tahoma"/>
                <w:lang w:eastAsia="cs-CZ" w:bidi="ar-SA"/>
              </w:rPr>
              <w:t>zastoupená:</w:t>
            </w:r>
          </w:p>
        </w:tc>
        <w:tc>
          <w:tcPr>
            <w:tcW w:w="6804" w:type="dxa"/>
            <w:vAlign w:val="center"/>
          </w:tcPr>
          <w:p w:rsidR="00510FAC" w:rsidRPr="00510FAC" w:rsidRDefault="00135D2D" w:rsidP="00510FAC">
            <w:pPr>
              <w:rPr>
                <w:rFonts w:cs="Tahoma"/>
                <w:lang w:eastAsia="cs-CZ" w:bidi="ar-SA"/>
              </w:rPr>
            </w:pPr>
            <w:r>
              <w:rPr>
                <w:rFonts w:cs="Tahoma"/>
                <w:lang w:eastAsia="cs-CZ" w:bidi="ar-SA"/>
              </w:rPr>
              <w:t xml:space="preserve">Ing. </w:t>
            </w:r>
            <w:r w:rsidR="00510FAC" w:rsidRPr="00510FAC">
              <w:rPr>
                <w:rFonts w:cs="Tahoma"/>
                <w:lang w:eastAsia="cs-CZ" w:bidi="ar-SA"/>
              </w:rPr>
              <w:t>Vítem Létavkou, jednatelem</w:t>
            </w:r>
          </w:p>
        </w:tc>
      </w:tr>
      <w:tr w:rsidR="00510FAC" w:rsidRPr="00510FAC" w:rsidTr="00746AFC">
        <w:tc>
          <w:tcPr>
            <w:tcW w:w="8672" w:type="dxa"/>
            <w:gridSpan w:val="2"/>
          </w:tcPr>
          <w:p w:rsidR="00510FAC" w:rsidRPr="00510FAC" w:rsidRDefault="00510FAC" w:rsidP="00510FAC">
            <w:pPr>
              <w:rPr>
                <w:rFonts w:cs="Tahoma"/>
                <w:lang w:eastAsia="cs-CZ" w:bidi="ar-SA"/>
              </w:rPr>
            </w:pPr>
            <w:r w:rsidRPr="00510FAC">
              <w:rPr>
                <w:rFonts w:cs="Tahoma"/>
                <w:lang w:eastAsia="cs-CZ" w:bidi="ar-SA"/>
              </w:rPr>
              <w:t>(dále jen „</w:t>
            </w:r>
            <w:r w:rsidRPr="00510FAC">
              <w:rPr>
                <w:rFonts w:cs="Tahoma"/>
                <w:b/>
                <w:bCs/>
                <w:lang w:eastAsia="cs-CZ" w:bidi="ar-SA"/>
              </w:rPr>
              <w:t>prodávající</w:t>
            </w:r>
            <w:r w:rsidRPr="00510FAC">
              <w:rPr>
                <w:rFonts w:cs="Tahoma"/>
                <w:lang w:eastAsia="cs-CZ" w:bidi="ar-SA"/>
              </w:rPr>
              <w:t>“)</w:t>
            </w:r>
          </w:p>
        </w:tc>
      </w:tr>
    </w:tbl>
    <w:p w:rsidR="00510FAC" w:rsidRPr="00510FAC" w:rsidRDefault="00510FAC" w:rsidP="00510FAC">
      <w:pPr>
        <w:rPr>
          <w:rFonts w:cs="Tahoma"/>
          <w:lang w:bidi="ar-SA"/>
        </w:rPr>
      </w:pPr>
    </w:p>
    <w:p w:rsidR="00510FAC" w:rsidRPr="00510FAC" w:rsidRDefault="00510FAC" w:rsidP="00510FAC">
      <w:pPr>
        <w:rPr>
          <w:rFonts w:cs="Tahoma"/>
          <w:lang w:bidi="ar-SA"/>
        </w:rPr>
      </w:pPr>
      <w:r w:rsidRPr="00510FAC">
        <w:rPr>
          <w:rFonts w:cs="Tahoma"/>
          <w:lang w:bidi="ar-SA"/>
        </w:rPr>
        <w:t>(kupující a prodávající dále společně též jako „</w:t>
      </w:r>
      <w:r w:rsidRPr="00510FAC">
        <w:rPr>
          <w:rFonts w:cs="Tahoma"/>
          <w:b/>
          <w:bCs/>
          <w:lang w:bidi="ar-SA"/>
        </w:rPr>
        <w:t>smluvní strany</w:t>
      </w:r>
      <w:r w:rsidRPr="00510FAC">
        <w:rPr>
          <w:rFonts w:cs="Tahoma"/>
          <w:lang w:bidi="ar-SA"/>
        </w:rPr>
        <w:t>“ nebo jednotlivě jako „</w:t>
      </w:r>
      <w:r w:rsidRPr="00510FAC">
        <w:rPr>
          <w:rFonts w:cs="Tahoma"/>
          <w:b/>
          <w:bCs/>
          <w:lang w:bidi="ar-SA"/>
        </w:rPr>
        <w:t>smluvní strana</w:t>
      </w:r>
      <w:r w:rsidRPr="00510FAC">
        <w:rPr>
          <w:rFonts w:cs="Tahoma"/>
          <w:lang w:bidi="ar-SA"/>
        </w:rPr>
        <w:t>“)</w:t>
      </w:r>
    </w:p>
    <w:p w:rsidR="00510FAC" w:rsidRPr="00510FAC" w:rsidRDefault="00510FAC" w:rsidP="00510FAC">
      <w:pPr>
        <w:rPr>
          <w:rFonts w:cs="Tahoma"/>
          <w:lang w:bidi="ar-SA"/>
        </w:rPr>
      </w:pPr>
    </w:p>
    <w:p w:rsidR="00510FAC" w:rsidRPr="00510FAC" w:rsidRDefault="00510FAC" w:rsidP="00510FAC">
      <w:pPr>
        <w:rPr>
          <w:rFonts w:cs="Tahoma"/>
          <w:lang w:bidi="ar-SA"/>
        </w:rPr>
      </w:pPr>
    </w:p>
    <w:p w:rsidR="00510FAC" w:rsidRDefault="00510FAC" w:rsidP="00510FAC">
      <w:pPr>
        <w:pStyle w:val="Odstavecseseznamem"/>
        <w:numPr>
          <w:ilvl w:val="0"/>
          <w:numId w:val="16"/>
        </w:numPr>
        <w:jc w:val="center"/>
        <w:rPr>
          <w:rFonts w:cs="Tahoma"/>
          <w:b/>
          <w:bCs/>
          <w:sz w:val="22"/>
          <w:szCs w:val="22"/>
          <w:lang w:bidi="ar-SA"/>
        </w:rPr>
      </w:pPr>
      <w:r w:rsidRPr="00510FAC">
        <w:rPr>
          <w:rFonts w:cs="Tahoma"/>
          <w:b/>
          <w:bCs/>
          <w:sz w:val="22"/>
          <w:szCs w:val="22"/>
          <w:lang w:bidi="ar-SA"/>
        </w:rPr>
        <w:t>Předmět smlouvy</w:t>
      </w:r>
    </w:p>
    <w:p w:rsidR="00510FAC" w:rsidRDefault="00510FAC" w:rsidP="00510FAC">
      <w:pPr>
        <w:jc w:val="both"/>
        <w:rPr>
          <w:rFonts w:cs="Tahoma"/>
          <w:lang w:bidi="ar-SA"/>
        </w:rPr>
      </w:pPr>
    </w:p>
    <w:p w:rsidR="00746AFC" w:rsidRPr="007E4DA8" w:rsidRDefault="00746AFC" w:rsidP="007E4DA8">
      <w:pPr>
        <w:jc w:val="center"/>
        <w:rPr>
          <w:rFonts w:cs="Tahoma"/>
          <w:b/>
          <w:sz w:val="18"/>
          <w:szCs w:val="18"/>
          <w:lang w:bidi="ar-SA"/>
        </w:rPr>
      </w:pPr>
      <w:r w:rsidRPr="007E4DA8">
        <w:rPr>
          <w:rFonts w:cs="Tahoma"/>
          <w:b/>
          <w:sz w:val="18"/>
          <w:szCs w:val="18"/>
          <w:lang w:bidi="ar-SA"/>
        </w:rPr>
        <w:t xml:space="preserve">Zakázka je evidována </w:t>
      </w:r>
      <w:r w:rsidR="00467925" w:rsidRPr="007E4DA8">
        <w:rPr>
          <w:rFonts w:cs="Tahoma"/>
          <w:b/>
          <w:sz w:val="18"/>
          <w:szCs w:val="18"/>
          <w:lang w:bidi="ar-SA"/>
        </w:rPr>
        <w:t xml:space="preserve">v systému NEN </w:t>
      </w:r>
      <w:r w:rsidRPr="007E4DA8">
        <w:rPr>
          <w:rFonts w:cs="Tahoma"/>
          <w:b/>
          <w:sz w:val="18"/>
          <w:szCs w:val="18"/>
          <w:lang w:bidi="ar-SA"/>
        </w:rPr>
        <w:t xml:space="preserve">pod č. </w:t>
      </w:r>
      <w:r w:rsidR="00C31C38" w:rsidRPr="007E4DA8">
        <w:rPr>
          <w:rFonts w:cs="Tahoma"/>
          <w:b/>
          <w:sz w:val="18"/>
          <w:szCs w:val="18"/>
          <w:lang w:bidi="ar-SA"/>
        </w:rPr>
        <w:t>N006/19/V00034584</w:t>
      </w:r>
      <w:r w:rsidR="001E0DE0" w:rsidRPr="007E4DA8">
        <w:rPr>
          <w:rFonts w:cs="Tahoma"/>
          <w:b/>
          <w:sz w:val="18"/>
          <w:szCs w:val="18"/>
          <w:lang w:bidi="ar-SA"/>
        </w:rPr>
        <w:t xml:space="preserve">, </w:t>
      </w:r>
      <w:r w:rsidR="007E4DA8">
        <w:rPr>
          <w:rFonts w:cs="Tahoma"/>
          <w:b/>
          <w:sz w:val="18"/>
          <w:szCs w:val="18"/>
          <w:lang w:bidi="ar-SA"/>
        </w:rPr>
        <w:t xml:space="preserve"> </w:t>
      </w:r>
      <w:r w:rsidR="001E0DE0" w:rsidRPr="007E4DA8">
        <w:rPr>
          <w:rFonts w:cs="Tahoma"/>
          <w:b/>
          <w:sz w:val="18"/>
          <w:szCs w:val="18"/>
          <w:lang w:bidi="ar-SA"/>
        </w:rPr>
        <w:t xml:space="preserve">NIPEZ: </w:t>
      </w:r>
      <w:r w:rsidR="007E4DA8" w:rsidRPr="007E4DA8">
        <w:rPr>
          <w:rFonts w:cs="Tahoma"/>
          <w:b/>
          <w:sz w:val="18"/>
          <w:szCs w:val="18"/>
          <w:lang w:bidi="ar-SA"/>
        </w:rPr>
        <w:t>59-</w:t>
      </w:r>
      <w:r w:rsidR="001E0DE0" w:rsidRPr="007E4DA8">
        <w:rPr>
          <w:rFonts w:cs="Tahoma"/>
          <w:b/>
          <w:sz w:val="18"/>
          <w:szCs w:val="18"/>
          <w:lang w:bidi="ar-SA"/>
        </w:rPr>
        <w:t>72253200-5</w:t>
      </w:r>
    </w:p>
    <w:p w:rsidR="00746AFC" w:rsidRPr="00510FAC" w:rsidRDefault="00746AFC" w:rsidP="00510FAC">
      <w:pPr>
        <w:jc w:val="both"/>
        <w:rPr>
          <w:rFonts w:cs="Tahoma"/>
          <w:lang w:bidi="ar-SA"/>
        </w:rPr>
      </w:pPr>
    </w:p>
    <w:p w:rsidR="00510FAC" w:rsidRPr="00510FAC" w:rsidRDefault="00510FAC" w:rsidP="008E059A">
      <w:pPr>
        <w:numPr>
          <w:ilvl w:val="0"/>
          <w:numId w:val="11"/>
        </w:numPr>
        <w:jc w:val="both"/>
        <w:rPr>
          <w:rFonts w:cs="Tahoma"/>
          <w:lang w:bidi="ar-SA"/>
        </w:rPr>
      </w:pPr>
      <w:r w:rsidRPr="00510FAC">
        <w:rPr>
          <w:rFonts w:cs="Tahoma"/>
          <w:lang w:bidi="ar-SA"/>
        </w:rPr>
        <w:t xml:space="preserve">Předmětem této smlouvy je </w:t>
      </w:r>
      <w:r w:rsidR="00F8676B" w:rsidRPr="00E132A1">
        <w:rPr>
          <w:rFonts w:cs="Tahoma"/>
          <w:b/>
          <w:lang w:bidi="ar-SA"/>
        </w:rPr>
        <w:t>„</w:t>
      </w:r>
      <w:r w:rsidR="00467925" w:rsidRPr="00E132A1">
        <w:rPr>
          <w:rFonts w:cs="Tahoma"/>
          <w:b/>
          <w:lang w:bidi="ar-SA"/>
        </w:rPr>
        <w:t>Z</w:t>
      </w:r>
      <w:r w:rsidR="00145180" w:rsidRPr="00E132A1">
        <w:rPr>
          <w:rFonts w:cs="Tahoma"/>
          <w:b/>
          <w:lang w:bidi="ar-SA"/>
        </w:rPr>
        <w:t xml:space="preserve">ajištění pozáruční technické podpory </w:t>
      </w:r>
      <w:r w:rsidR="00F8676B" w:rsidRPr="00E132A1">
        <w:rPr>
          <w:rFonts w:cs="Tahoma"/>
          <w:b/>
          <w:lang w:bidi="ar-SA"/>
        </w:rPr>
        <w:t xml:space="preserve">pro </w:t>
      </w:r>
      <w:r w:rsidR="00467925" w:rsidRPr="00E132A1">
        <w:rPr>
          <w:rFonts w:cs="Tahoma"/>
          <w:b/>
          <w:lang w:bidi="ar-SA"/>
        </w:rPr>
        <w:t>FAS</w:t>
      </w:r>
      <w:r w:rsidR="00145180" w:rsidRPr="00E132A1">
        <w:rPr>
          <w:rFonts w:cs="Tahoma"/>
          <w:b/>
          <w:lang w:bidi="ar-SA"/>
        </w:rPr>
        <w:t>2220</w:t>
      </w:r>
      <w:r w:rsidR="00F8676B" w:rsidRPr="00E132A1">
        <w:rPr>
          <w:rFonts w:cs="Tahoma"/>
          <w:b/>
          <w:lang w:bidi="ar-SA"/>
        </w:rPr>
        <w:t>“</w:t>
      </w:r>
      <w:r w:rsidR="00145180">
        <w:rPr>
          <w:rFonts w:cs="Tahoma"/>
          <w:lang w:bidi="ar-SA"/>
        </w:rPr>
        <w:t>.</w:t>
      </w:r>
      <w:r w:rsidR="00624804">
        <w:rPr>
          <w:rFonts w:cs="Tahoma"/>
          <w:lang w:bidi="ar-SA"/>
        </w:rPr>
        <w:t xml:space="preserve"> </w:t>
      </w:r>
      <w:r w:rsidRPr="00510FAC">
        <w:rPr>
          <w:rFonts w:cs="Tahoma"/>
          <w:lang w:bidi="ar-SA"/>
        </w:rPr>
        <w:t>Prodávající se na základě této smlouvy zavazuje dodat a poskytnout kupujícímu následující plnění:</w:t>
      </w:r>
    </w:p>
    <w:p w:rsidR="001E0D73" w:rsidRPr="005B285B" w:rsidRDefault="00523F35" w:rsidP="008E059A">
      <w:pPr>
        <w:numPr>
          <w:ilvl w:val="1"/>
          <w:numId w:val="11"/>
        </w:numPr>
        <w:jc w:val="both"/>
        <w:rPr>
          <w:rFonts w:cs="Tahoma"/>
          <w:lang w:val="en-US" w:eastAsia="zh-CN" w:bidi="ar-SA"/>
        </w:rPr>
      </w:pPr>
      <w:bookmarkStart w:id="0" w:name="_Ref313345126"/>
      <w:r>
        <w:t>Pozáruční technická podpora</w:t>
      </w:r>
      <w:r w:rsidR="007B3AE8">
        <w:t xml:space="preserve"> výrobce</w:t>
      </w:r>
      <w:r w:rsidR="00F8676B">
        <w:t xml:space="preserve"> </w:t>
      </w:r>
      <w:r w:rsidR="005D6A76">
        <w:rPr>
          <w:b/>
        </w:rPr>
        <w:t>do 31.3.2021</w:t>
      </w:r>
      <w:r w:rsidR="00F8676B">
        <w:t xml:space="preserve"> pro datové úložiště </w:t>
      </w:r>
      <w:r>
        <w:t>kupujícího</w:t>
      </w:r>
      <w:r w:rsidR="00F8676B">
        <w:t xml:space="preserve"> </w:t>
      </w:r>
      <w:r>
        <w:rPr>
          <w:lang w:val="en-US"/>
        </w:rPr>
        <w:t>NetApp FAS</w:t>
      </w:r>
      <w:r w:rsidR="00F8676B" w:rsidRPr="005B285B">
        <w:rPr>
          <w:lang w:val="en-US"/>
        </w:rPr>
        <w:t>2220: NBD Parts Repl and</w:t>
      </w:r>
      <w:r w:rsidR="001E0D73" w:rsidRPr="005B285B">
        <w:rPr>
          <w:lang w:val="en-US"/>
        </w:rPr>
        <w:t xml:space="preserve"> SSP.</w:t>
      </w:r>
    </w:p>
    <w:p w:rsidR="001E0D73" w:rsidRPr="005B285B" w:rsidRDefault="001E0D73" w:rsidP="008E059A">
      <w:pPr>
        <w:ind w:left="792"/>
        <w:jc w:val="both"/>
        <w:rPr>
          <w:rFonts w:cs="Tahoma"/>
          <w:lang w:val="en-US" w:eastAsia="zh-CN" w:bidi="ar-SA"/>
        </w:rPr>
      </w:pPr>
      <w:r w:rsidRPr="005B285B">
        <w:rPr>
          <w:lang w:val="en-US"/>
        </w:rPr>
        <w:t>Serial Number: 651415000287</w:t>
      </w:r>
      <w:r w:rsidR="00F8676B" w:rsidRPr="005B285B">
        <w:rPr>
          <w:lang w:val="en-US"/>
        </w:rPr>
        <w:t xml:space="preserve"> </w:t>
      </w:r>
      <w:bookmarkEnd w:id="0"/>
    </w:p>
    <w:p w:rsidR="001E0D73" w:rsidRDefault="001E0D73" w:rsidP="008E059A">
      <w:pPr>
        <w:ind w:left="792"/>
        <w:jc w:val="both"/>
      </w:pPr>
    </w:p>
    <w:p w:rsidR="00510FAC" w:rsidRPr="00510FAC" w:rsidRDefault="001E0D73" w:rsidP="008E059A">
      <w:pPr>
        <w:ind w:left="792"/>
        <w:jc w:val="both"/>
        <w:rPr>
          <w:rFonts w:cs="Tahoma"/>
          <w:lang w:eastAsia="zh-CN" w:bidi="ar-SA"/>
        </w:rPr>
      </w:pPr>
      <w:r>
        <w:rPr>
          <w:rFonts w:cs="Tahoma"/>
          <w:lang w:eastAsia="zh-CN" w:bidi="ar-SA"/>
        </w:rPr>
        <w:t>(</w:t>
      </w:r>
      <w:r w:rsidR="00510FAC" w:rsidRPr="00510FAC">
        <w:rPr>
          <w:rFonts w:cs="Tahoma"/>
          <w:lang w:eastAsia="zh-CN" w:bidi="ar-SA"/>
        </w:rPr>
        <w:t>dále též jako „</w:t>
      </w:r>
      <w:r w:rsidR="00510FAC" w:rsidRPr="00510FAC">
        <w:rPr>
          <w:rFonts w:cs="Tahoma"/>
          <w:b/>
          <w:bCs/>
          <w:lang w:eastAsia="zh-CN" w:bidi="ar-SA"/>
        </w:rPr>
        <w:t>předmět smlouvy</w:t>
      </w:r>
      <w:r w:rsidR="00523F35">
        <w:rPr>
          <w:rFonts w:cs="Tahoma"/>
          <w:lang w:eastAsia="zh-CN" w:bidi="ar-SA"/>
        </w:rPr>
        <w:t>“).</w:t>
      </w:r>
    </w:p>
    <w:p w:rsidR="00510FAC" w:rsidRPr="00510FAC" w:rsidRDefault="00510FAC" w:rsidP="008E059A">
      <w:pPr>
        <w:jc w:val="both"/>
        <w:rPr>
          <w:rFonts w:cs="Tahoma"/>
          <w:lang w:bidi="ar-SA"/>
        </w:rPr>
      </w:pPr>
    </w:p>
    <w:p w:rsidR="00510FAC" w:rsidRPr="00544A5A" w:rsidRDefault="00510FAC" w:rsidP="008E059A">
      <w:pPr>
        <w:numPr>
          <w:ilvl w:val="0"/>
          <w:numId w:val="11"/>
        </w:numPr>
        <w:jc w:val="both"/>
        <w:rPr>
          <w:rFonts w:cs="Tahoma"/>
          <w:lang w:bidi="ar-SA"/>
        </w:rPr>
      </w:pPr>
      <w:r w:rsidRPr="00544A5A">
        <w:rPr>
          <w:rFonts w:cs="Tahoma"/>
          <w:lang w:bidi="ar-SA"/>
        </w:rPr>
        <w:t>Prodávající se touto smlouvou zavazuje:</w:t>
      </w:r>
    </w:p>
    <w:p w:rsidR="00510FAC" w:rsidRPr="00544A5A" w:rsidRDefault="00510FAC" w:rsidP="008E059A">
      <w:pPr>
        <w:numPr>
          <w:ilvl w:val="1"/>
          <w:numId w:val="11"/>
        </w:numPr>
        <w:jc w:val="both"/>
        <w:rPr>
          <w:rFonts w:cs="Tahoma"/>
          <w:lang w:bidi="ar-SA"/>
        </w:rPr>
      </w:pPr>
      <w:r w:rsidRPr="00544A5A">
        <w:rPr>
          <w:rFonts w:cs="Tahoma"/>
          <w:lang w:bidi="ar-SA"/>
        </w:rPr>
        <w:t xml:space="preserve">poskytnout kupujícímu </w:t>
      </w:r>
      <w:r w:rsidR="00572DEF">
        <w:rPr>
          <w:rFonts w:cs="Tahoma"/>
          <w:lang w:bidi="ar-SA"/>
        </w:rPr>
        <w:t>plnění specifikované výše.</w:t>
      </w:r>
    </w:p>
    <w:p w:rsidR="00510FAC" w:rsidRPr="00510FAC" w:rsidRDefault="00510FAC" w:rsidP="008E059A">
      <w:pPr>
        <w:jc w:val="both"/>
        <w:rPr>
          <w:rFonts w:cs="Tahoma"/>
          <w:lang w:bidi="ar-SA"/>
        </w:rPr>
      </w:pPr>
    </w:p>
    <w:p w:rsidR="00510FAC" w:rsidRPr="00510FAC" w:rsidRDefault="00510FAC" w:rsidP="008E059A">
      <w:pPr>
        <w:numPr>
          <w:ilvl w:val="0"/>
          <w:numId w:val="11"/>
        </w:numPr>
        <w:jc w:val="both"/>
        <w:rPr>
          <w:rFonts w:cs="Tahoma"/>
          <w:lang w:bidi="ar-SA"/>
        </w:rPr>
      </w:pPr>
      <w:r w:rsidRPr="00510FAC">
        <w:rPr>
          <w:rFonts w:cs="Tahoma"/>
          <w:lang w:bidi="ar-SA"/>
        </w:rPr>
        <w:lastRenderedPageBreak/>
        <w:t>Kupující se zavazuje odebrat od prodávajícího předmět smlouvy a zaplatit mu kupní cenu specifikovanou v článku IV. této smlouvy. Kupující je povinen poskytnout prodávajícímu veškerou součinnost, která je nezbytná pro řádné a včasné splnění předmětu smlouvy, zejména:</w:t>
      </w:r>
    </w:p>
    <w:p w:rsidR="00510FAC" w:rsidRPr="00544A5A" w:rsidRDefault="00510FAC" w:rsidP="008E059A">
      <w:pPr>
        <w:numPr>
          <w:ilvl w:val="1"/>
          <w:numId w:val="11"/>
        </w:numPr>
        <w:jc w:val="both"/>
        <w:rPr>
          <w:rFonts w:cs="Tahoma"/>
          <w:lang w:bidi="ar-SA"/>
        </w:rPr>
      </w:pPr>
      <w:r w:rsidRPr="00544A5A">
        <w:rPr>
          <w:rFonts w:cs="Tahoma"/>
          <w:lang w:bidi="ar-SA"/>
        </w:rPr>
        <w:t>zajistit, aby prodávající (jeho zaměstnanci či subdod</w:t>
      </w:r>
      <w:r w:rsidR="00523F35">
        <w:rPr>
          <w:rFonts w:cs="Tahoma"/>
          <w:lang w:bidi="ar-SA"/>
        </w:rPr>
        <w:t xml:space="preserve">avatelé) mohl provést dodávku </w:t>
      </w:r>
      <w:r w:rsidRPr="00544A5A">
        <w:rPr>
          <w:rFonts w:cs="Tahoma"/>
          <w:lang w:bidi="ar-SA"/>
        </w:rPr>
        <w:t>předmětu smlouvy v místě plnění</w:t>
      </w:r>
      <w:r w:rsidR="00544A5A">
        <w:rPr>
          <w:rFonts w:cs="Tahoma"/>
          <w:lang w:bidi="ar-SA"/>
        </w:rPr>
        <w:t>, a to každý den v době od 8:00 do 17:00 hod</w:t>
      </w:r>
      <w:r w:rsidR="00544A5A" w:rsidRPr="00544A5A">
        <w:rPr>
          <w:rFonts w:cs="Tahoma"/>
          <w:lang w:bidi="ar-SA"/>
        </w:rPr>
        <w:t>.</w:t>
      </w:r>
      <w:r w:rsidR="00946A10">
        <w:rPr>
          <w:rFonts w:cs="Tahoma"/>
          <w:lang w:bidi="ar-SA"/>
        </w:rPr>
        <w:t xml:space="preserve"> Dodavatel se zavazuje předem informovat kupujícího o termínu a čase dodání</w:t>
      </w:r>
    </w:p>
    <w:p w:rsidR="00510FAC" w:rsidRPr="00510FAC" w:rsidRDefault="00510FAC" w:rsidP="008E059A">
      <w:pPr>
        <w:jc w:val="both"/>
        <w:rPr>
          <w:rFonts w:cs="Tahoma"/>
          <w:lang w:bidi="ar-SA"/>
        </w:rPr>
      </w:pPr>
    </w:p>
    <w:p w:rsidR="00510FAC" w:rsidRPr="00510FAC" w:rsidRDefault="00510FAC" w:rsidP="008E059A">
      <w:pPr>
        <w:jc w:val="both"/>
        <w:rPr>
          <w:rFonts w:cs="Tahoma"/>
          <w:lang w:bidi="ar-SA"/>
        </w:rPr>
      </w:pPr>
    </w:p>
    <w:p w:rsidR="00510FAC" w:rsidRPr="00510FAC" w:rsidRDefault="00510FAC" w:rsidP="008E059A">
      <w:pPr>
        <w:pStyle w:val="Odstavecseseznamem"/>
        <w:numPr>
          <w:ilvl w:val="0"/>
          <w:numId w:val="16"/>
        </w:numPr>
        <w:jc w:val="both"/>
        <w:rPr>
          <w:rFonts w:cs="Tahoma"/>
          <w:b/>
          <w:bCs/>
          <w:sz w:val="22"/>
          <w:szCs w:val="22"/>
          <w:lang w:bidi="ar-SA"/>
        </w:rPr>
      </w:pPr>
      <w:r w:rsidRPr="00510FAC">
        <w:rPr>
          <w:rFonts w:cs="Tahoma"/>
          <w:b/>
          <w:bCs/>
          <w:sz w:val="22"/>
          <w:szCs w:val="22"/>
          <w:lang w:bidi="ar-SA"/>
        </w:rPr>
        <w:t>Doba a místo plnění</w:t>
      </w:r>
      <w:r w:rsidR="00746AFC">
        <w:rPr>
          <w:rFonts w:cs="Tahoma"/>
          <w:b/>
          <w:bCs/>
          <w:sz w:val="22"/>
          <w:szCs w:val="22"/>
          <w:lang w:bidi="ar-SA"/>
        </w:rPr>
        <w:t>, dodací p</w:t>
      </w:r>
      <w:r w:rsidR="00946A10">
        <w:rPr>
          <w:rFonts w:cs="Tahoma"/>
          <w:b/>
          <w:bCs/>
          <w:sz w:val="22"/>
          <w:szCs w:val="22"/>
          <w:lang w:bidi="ar-SA"/>
        </w:rPr>
        <w:t>o</w:t>
      </w:r>
      <w:r w:rsidR="00746AFC">
        <w:rPr>
          <w:rFonts w:cs="Tahoma"/>
          <w:b/>
          <w:bCs/>
          <w:sz w:val="22"/>
          <w:szCs w:val="22"/>
          <w:lang w:bidi="ar-SA"/>
        </w:rPr>
        <w:t>dmínky</w:t>
      </w:r>
    </w:p>
    <w:p w:rsidR="00510FAC" w:rsidRPr="00510FAC" w:rsidRDefault="00510FAC" w:rsidP="008E059A">
      <w:pPr>
        <w:jc w:val="both"/>
        <w:rPr>
          <w:rFonts w:cs="Tahoma"/>
          <w:lang w:bidi="ar-SA"/>
        </w:rPr>
      </w:pPr>
    </w:p>
    <w:p w:rsidR="00510FAC" w:rsidRDefault="00510FAC" w:rsidP="008E059A">
      <w:pPr>
        <w:numPr>
          <w:ilvl w:val="0"/>
          <w:numId w:val="12"/>
        </w:numPr>
        <w:jc w:val="both"/>
        <w:rPr>
          <w:rFonts w:cs="Tahoma"/>
          <w:lang w:bidi="ar-SA"/>
        </w:rPr>
      </w:pPr>
      <w:r w:rsidRPr="00523F35">
        <w:rPr>
          <w:rFonts w:cs="Tahoma"/>
          <w:lang w:bidi="ar-SA"/>
        </w:rPr>
        <w:t>Prodávající je povinen poskytnout předmět smlouvy následovně:</w:t>
      </w:r>
    </w:p>
    <w:p w:rsidR="00DE3FF7" w:rsidRDefault="00DE3FF7" w:rsidP="00DE3FF7">
      <w:pPr>
        <w:ind w:left="360"/>
        <w:jc w:val="both"/>
        <w:rPr>
          <w:rFonts w:cs="Tahoma"/>
          <w:lang w:bidi="ar-SA"/>
        </w:rPr>
      </w:pPr>
    </w:p>
    <w:p w:rsidR="00467925" w:rsidRDefault="00467925" w:rsidP="00DE3FF7">
      <w:pPr>
        <w:ind w:left="360"/>
        <w:jc w:val="both"/>
        <w:rPr>
          <w:rFonts w:cs="Tahoma"/>
          <w:lang w:bidi="ar-SA"/>
        </w:rPr>
      </w:pPr>
      <w:r w:rsidRPr="00A1125F">
        <w:rPr>
          <w:rFonts w:cs="Tahoma"/>
          <w:lang w:bidi="ar-SA"/>
        </w:rPr>
        <w:t xml:space="preserve">Poskytnutí služby a dodání veškerých dokumentů včetně faktury do 10 pracovních dnů po </w:t>
      </w:r>
      <w:r w:rsidR="00986B5D">
        <w:rPr>
          <w:rFonts w:cs="Tahoma"/>
          <w:lang w:bidi="ar-SA"/>
        </w:rPr>
        <w:t>potvrzení objednávky dodavatelem</w:t>
      </w:r>
      <w:r w:rsidRPr="00A1125F">
        <w:rPr>
          <w:rFonts w:cs="Tahoma"/>
          <w:lang w:bidi="ar-SA"/>
        </w:rPr>
        <w:t>.</w:t>
      </w:r>
    </w:p>
    <w:p w:rsidR="00467925" w:rsidRPr="00523F35" w:rsidRDefault="00467925" w:rsidP="00DE3FF7">
      <w:pPr>
        <w:ind w:left="360"/>
        <w:jc w:val="both"/>
        <w:rPr>
          <w:rFonts w:cs="Tahoma"/>
          <w:lang w:bidi="ar-SA"/>
        </w:rPr>
      </w:pPr>
    </w:p>
    <w:p w:rsidR="005D6A76" w:rsidRPr="00467925" w:rsidRDefault="005D6A76" w:rsidP="005D6A76">
      <w:pPr>
        <w:ind w:left="360"/>
        <w:jc w:val="both"/>
        <w:rPr>
          <w:rFonts w:cs="Tahoma"/>
          <w:lang w:bidi="ar-SA"/>
        </w:rPr>
      </w:pPr>
      <w:r w:rsidRPr="00467925">
        <w:rPr>
          <w:rFonts w:cs="Tahoma"/>
          <w:lang w:bidi="ar-SA"/>
        </w:rPr>
        <w:t xml:space="preserve">Kontaktní osobou </w:t>
      </w:r>
      <w:r>
        <w:rPr>
          <w:rFonts w:cs="Tahoma"/>
          <w:lang w:bidi="ar-SA"/>
        </w:rPr>
        <w:t>kupujícího</w:t>
      </w:r>
      <w:r w:rsidRPr="00467925">
        <w:rPr>
          <w:rFonts w:cs="Tahoma"/>
          <w:lang w:bidi="ar-SA"/>
        </w:rPr>
        <w:t xml:space="preserve"> je:</w:t>
      </w:r>
    </w:p>
    <w:p w:rsidR="005D6A76" w:rsidRPr="00467925" w:rsidRDefault="005D6A76" w:rsidP="005D6A76">
      <w:pPr>
        <w:ind w:left="567"/>
        <w:jc w:val="both"/>
        <w:rPr>
          <w:rFonts w:cs="Tahoma"/>
          <w:lang w:bidi="ar-SA"/>
        </w:rPr>
      </w:pPr>
      <w:r w:rsidRPr="00467925">
        <w:rPr>
          <w:rFonts w:cs="Tahoma"/>
          <w:lang w:bidi="ar-SA"/>
        </w:rPr>
        <w:t xml:space="preserve">Ing. </w:t>
      </w:r>
      <w:r>
        <w:rPr>
          <w:rFonts w:cs="Tahoma"/>
          <w:lang w:bidi="ar-SA"/>
        </w:rPr>
        <w:t>Pavel Bubeník</w:t>
      </w:r>
    </w:p>
    <w:p w:rsidR="005D6A76" w:rsidRDefault="005D6A76" w:rsidP="005D6A76">
      <w:pPr>
        <w:ind w:left="360"/>
        <w:jc w:val="both"/>
        <w:rPr>
          <w:rFonts w:cs="Tahoma"/>
          <w:lang w:bidi="ar-SA"/>
        </w:rPr>
      </w:pPr>
    </w:p>
    <w:p w:rsidR="005D6A76" w:rsidRDefault="005D6A76" w:rsidP="005D6A76">
      <w:pPr>
        <w:ind w:left="360"/>
        <w:jc w:val="both"/>
        <w:rPr>
          <w:rFonts w:cs="Tahoma"/>
          <w:lang w:bidi="ar-SA"/>
        </w:rPr>
      </w:pPr>
      <w:r>
        <w:rPr>
          <w:rFonts w:cs="Tahoma"/>
          <w:lang w:bidi="ar-SA"/>
        </w:rPr>
        <w:t>Osobou pověřenou převzetím a kontrolou předmětu plnění je:</w:t>
      </w:r>
    </w:p>
    <w:p w:rsidR="005D6A76" w:rsidRDefault="005D6A76" w:rsidP="005D6A76">
      <w:pPr>
        <w:ind w:left="567"/>
        <w:jc w:val="both"/>
        <w:rPr>
          <w:rFonts w:cs="Tahoma"/>
          <w:lang w:bidi="ar-SA"/>
        </w:rPr>
      </w:pPr>
      <w:r>
        <w:rPr>
          <w:rFonts w:cs="Tahoma"/>
          <w:lang w:bidi="ar-SA"/>
        </w:rPr>
        <w:t>Tomáš Bašus</w:t>
      </w:r>
    </w:p>
    <w:p w:rsidR="005D6A76" w:rsidRDefault="005D6A76" w:rsidP="005D6A76">
      <w:pPr>
        <w:ind w:left="360"/>
        <w:jc w:val="both"/>
        <w:rPr>
          <w:rFonts w:cs="Tahoma"/>
          <w:lang w:bidi="ar-SA"/>
        </w:rPr>
      </w:pPr>
    </w:p>
    <w:p w:rsidR="005D6A76" w:rsidRDefault="005D6A76" w:rsidP="005D6A76">
      <w:pPr>
        <w:ind w:left="360"/>
        <w:jc w:val="both"/>
        <w:rPr>
          <w:rFonts w:cs="Tahoma"/>
          <w:lang w:bidi="ar-SA"/>
        </w:rPr>
      </w:pPr>
      <w:r>
        <w:rPr>
          <w:rFonts w:cs="Tahoma"/>
          <w:lang w:bidi="ar-SA"/>
        </w:rPr>
        <w:t>Kontaktní osobou prodávajícího je:</w:t>
      </w:r>
    </w:p>
    <w:p w:rsidR="005D6A76" w:rsidRDefault="005D6A76" w:rsidP="005D6A76">
      <w:pPr>
        <w:ind w:left="567"/>
        <w:jc w:val="both"/>
        <w:rPr>
          <w:rFonts w:cs="Tahoma"/>
          <w:lang w:bidi="ar-SA"/>
        </w:rPr>
      </w:pPr>
      <w:r>
        <w:rPr>
          <w:rFonts w:cs="Tahoma"/>
          <w:lang w:bidi="ar-SA"/>
        </w:rPr>
        <w:t>Monika Kantorová</w:t>
      </w:r>
    </w:p>
    <w:p w:rsidR="00210B0C" w:rsidRDefault="00210B0C" w:rsidP="005D6A76">
      <w:pPr>
        <w:ind w:left="567"/>
        <w:jc w:val="both"/>
        <w:rPr>
          <w:rFonts w:cs="Tahoma"/>
          <w:lang w:bidi="ar-SA"/>
        </w:rPr>
      </w:pPr>
      <w:bookmarkStart w:id="1" w:name="_GoBack"/>
      <w:bookmarkEnd w:id="1"/>
    </w:p>
    <w:p w:rsidR="00510FAC" w:rsidRPr="00544A5A" w:rsidRDefault="00510FAC" w:rsidP="008E059A">
      <w:pPr>
        <w:numPr>
          <w:ilvl w:val="0"/>
          <w:numId w:val="12"/>
        </w:numPr>
        <w:jc w:val="both"/>
        <w:rPr>
          <w:rFonts w:cs="Tahoma"/>
          <w:lang w:bidi="ar-SA"/>
        </w:rPr>
      </w:pPr>
      <w:r w:rsidRPr="00544A5A">
        <w:rPr>
          <w:rFonts w:cs="Tahoma"/>
          <w:lang w:bidi="ar-SA"/>
        </w:rPr>
        <w:t>Jsou-li jednotlivé součásti předmětu smlouvy dodány kupujícímu před provedením jejich instalace prodávajícím v místě plnění, nese kupující po dobu od tohoto dodání součástí předmětu smlouvy kupujícímu do doby, kdy si je prodávající převezme od kupujícího za účelem jejich instalace, nebezpečí škody na nich. Dokladem o dodání součástí předmětu smlouvy kupujícímu je zápis o jejich předání podepsaný zástupci obou smluvních stran.</w:t>
      </w:r>
    </w:p>
    <w:p w:rsidR="00510FAC" w:rsidRPr="00510FAC" w:rsidRDefault="00510FAC" w:rsidP="008E059A">
      <w:pPr>
        <w:jc w:val="both"/>
        <w:rPr>
          <w:rFonts w:cs="Tahoma"/>
          <w:lang w:bidi="ar-SA"/>
        </w:rPr>
      </w:pPr>
    </w:p>
    <w:p w:rsidR="00510FAC" w:rsidRPr="00510FAC" w:rsidRDefault="00510FAC" w:rsidP="008E059A">
      <w:pPr>
        <w:numPr>
          <w:ilvl w:val="0"/>
          <w:numId w:val="12"/>
        </w:numPr>
        <w:jc w:val="both"/>
        <w:rPr>
          <w:rFonts w:cs="Tahoma"/>
          <w:lang w:bidi="ar-SA"/>
        </w:rPr>
      </w:pPr>
      <w:r w:rsidRPr="00510FAC">
        <w:rPr>
          <w:rFonts w:cs="Tahoma"/>
          <w:lang w:bidi="ar-SA"/>
        </w:rPr>
        <w:t>V případě, že prodávající nebude moci provést dodávku předmětu smlouvy, resp. jeho jednotlivých částí v dohodnutém termínu z důvodů vyšší moci nebo z důvodu neposkytnutí potřebné součinnosti ze strany kupujícího, nedostává se prodávající do prodlení a termín plnění se posouvá o dobu trvání těchto důvodů.</w:t>
      </w:r>
    </w:p>
    <w:p w:rsidR="00510FAC" w:rsidRPr="00510FAC" w:rsidRDefault="00510FAC" w:rsidP="008E059A">
      <w:pPr>
        <w:jc w:val="both"/>
        <w:rPr>
          <w:rFonts w:cs="Tahoma"/>
          <w:lang w:bidi="ar-SA"/>
        </w:rPr>
      </w:pPr>
    </w:p>
    <w:p w:rsidR="00510FAC" w:rsidRPr="00D65062" w:rsidRDefault="00510FAC" w:rsidP="008E059A">
      <w:pPr>
        <w:numPr>
          <w:ilvl w:val="0"/>
          <w:numId w:val="12"/>
        </w:numPr>
        <w:jc w:val="both"/>
        <w:rPr>
          <w:rFonts w:cs="Tahoma"/>
          <w:lang w:bidi="ar-SA"/>
        </w:rPr>
      </w:pPr>
      <w:r w:rsidRPr="00D65062">
        <w:rPr>
          <w:rFonts w:cs="Tahoma"/>
          <w:lang w:bidi="ar-SA"/>
        </w:rPr>
        <w:t>Dokladem o předání a převzetí předmětu smlouvy nebo jeho části je oběma smluvními stranami podepsaný předávací nebo akceptační protokol. Datum podepsání předávacího (akceptačního) protokolu je datem dodání předmětu smlouvy nebo jeho části. Je-li předmět smlouvy předáván po částech, je dokladem o předání předmětu smlouvy jako celku oběma smluvními stranami podepsaný předávací (akceptační) protokol o předání poslední části předmětu smlouvy. Datum podepsání tohoto protokolu je datem dodání předmětu smlouvy jako celku.</w:t>
      </w:r>
    </w:p>
    <w:p w:rsidR="00510FAC" w:rsidRPr="00510FAC" w:rsidRDefault="00510FAC" w:rsidP="008E059A">
      <w:pPr>
        <w:jc w:val="both"/>
        <w:rPr>
          <w:rFonts w:cs="Tahoma"/>
          <w:lang w:bidi="ar-SA"/>
        </w:rPr>
      </w:pPr>
    </w:p>
    <w:p w:rsidR="00510FAC" w:rsidRPr="00544A5A" w:rsidRDefault="00510FAC" w:rsidP="008E059A">
      <w:pPr>
        <w:numPr>
          <w:ilvl w:val="0"/>
          <w:numId w:val="12"/>
        </w:numPr>
        <w:jc w:val="both"/>
        <w:rPr>
          <w:rFonts w:cs="Tahoma"/>
          <w:lang w:bidi="ar-SA"/>
        </w:rPr>
      </w:pPr>
      <w:r w:rsidRPr="00544A5A">
        <w:rPr>
          <w:rFonts w:cs="Tahoma"/>
          <w:lang w:bidi="ar-SA"/>
        </w:rPr>
        <w:t xml:space="preserve">Místem plnění předmětu smlouvy je sídlo kupujícího na adrese: </w:t>
      </w:r>
      <w:r w:rsidR="00544A5A" w:rsidRPr="00544A5A">
        <w:rPr>
          <w:rStyle w:val="Siln"/>
          <w:b w:val="0"/>
        </w:rPr>
        <w:t>Národní informační a poradenské středisko pro kulturu</w:t>
      </w:r>
      <w:r w:rsidR="00544A5A">
        <w:rPr>
          <w:rStyle w:val="Siln"/>
          <w:b w:val="0"/>
        </w:rPr>
        <w:t xml:space="preserve">, </w:t>
      </w:r>
      <w:r w:rsidR="00544A5A" w:rsidRPr="00544A5A">
        <w:t>Fügnerovo náměstí 1866/5, 120 21 Praha 2</w:t>
      </w:r>
      <w:r w:rsidR="00544A5A">
        <w:t>.</w:t>
      </w:r>
    </w:p>
    <w:p w:rsidR="00510FAC" w:rsidRDefault="00510FAC" w:rsidP="008E059A">
      <w:pPr>
        <w:jc w:val="both"/>
        <w:rPr>
          <w:rFonts w:cs="Tahoma"/>
          <w:lang w:bidi="ar-SA"/>
        </w:rPr>
      </w:pPr>
    </w:p>
    <w:p w:rsidR="00523F35" w:rsidRPr="00510FAC" w:rsidRDefault="00523F35" w:rsidP="008E059A">
      <w:pPr>
        <w:jc w:val="both"/>
        <w:rPr>
          <w:rFonts w:cs="Tahoma"/>
          <w:lang w:bidi="ar-SA"/>
        </w:rPr>
      </w:pPr>
    </w:p>
    <w:p w:rsidR="00510FAC" w:rsidRPr="00510FAC" w:rsidRDefault="00510FAC" w:rsidP="008E059A">
      <w:pPr>
        <w:pStyle w:val="Odstavecseseznamem"/>
        <w:numPr>
          <w:ilvl w:val="0"/>
          <w:numId w:val="16"/>
        </w:numPr>
        <w:jc w:val="both"/>
        <w:rPr>
          <w:rFonts w:cs="Tahoma"/>
          <w:b/>
          <w:bCs/>
          <w:sz w:val="22"/>
          <w:szCs w:val="22"/>
          <w:lang w:bidi="ar-SA"/>
        </w:rPr>
      </w:pPr>
      <w:r w:rsidRPr="00510FAC">
        <w:rPr>
          <w:rFonts w:cs="Tahoma"/>
          <w:b/>
          <w:bCs/>
          <w:sz w:val="22"/>
          <w:szCs w:val="22"/>
          <w:lang w:bidi="ar-SA"/>
        </w:rPr>
        <w:t>Kupní cena, platební podmínky</w:t>
      </w:r>
    </w:p>
    <w:p w:rsidR="00510FAC" w:rsidRPr="00510FAC" w:rsidRDefault="00510FAC" w:rsidP="008E059A">
      <w:pPr>
        <w:jc w:val="both"/>
        <w:rPr>
          <w:rFonts w:cs="Tahoma"/>
          <w:lang w:bidi="ar-SA"/>
        </w:rPr>
      </w:pPr>
    </w:p>
    <w:p w:rsidR="00EB6BAB" w:rsidRPr="00D90D3D" w:rsidRDefault="00510FAC" w:rsidP="00233B1A">
      <w:pPr>
        <w:numPr>
          <w:ilvl w:val="0"/>
          <w:numId w:val="1"/>
        </w:numPr>
        <w:ind w:left="400" w:hanging="400"/>
        <w:jc w:val="both"/>
        <w:rPr>
          <w:rFonts w:cs="Tahoma"/>
          <w:lang w:eastAsia="cs-CZ" w:bidi="ar-SA"/>
        </w:rPr>
      </w:pPr>
      <w:r w:rsidRPr="00D90D3D">
        <w:rPr>
          <w:rFonts w:cs="Tahoma"/>
          <w:lang w:eastAsia="cs-CZ" w:bidi="ar-SA"/>
        </w:rPr>
        <w:t xml:space="preserve">Kupující se zavazuje zaplatit prodávajícímu za dodání předmětu smlouvy kupní cenu ve výši </w:t>
      </w:r>
      <w:r w:rsidR="00233B1A" w:rsidRPr="00233B1A">
        <w:rPr>
          <w:rFonts w:cs="Tahoma"/>
          <w:b/>
          <w:lang w:eastAsia="cs-CZ" w:bidi="ar-SA"/>
        </w:rPr>
        <w:t>48 900</w:t>
      </w:r>
      <w:r w:rsidR="00CD0F29" w:rsidRPr="00233B1A">
        <w:rPr>
          <w:rFonts w:cs="Tahoma"/>
          <w:b/>
          <w:lang w:eastAsia="cs-CZ" w:bidi="ar-SA"/>
        </w:rPr>
        <w:t xml:space="preserve">,00 </w:t>
      </w:r>
      <w:r w:rsidRPr="00233B1A">
        <w:rPr>
          <w:rFonts w:cs="Tahoma"/>
          <w:b/>
          <w:lang w:eastAsia="cs-CZ" w:bidi="ar-SA"/>
        </w:rPr>
        <w:t>Kč bez DPH</w:t>
      </w:r>
      <w:r w:rsidRPr="00D90D3D">
        <w:rPr>
          <w:rFonts w:cs="Tahoma"/>
          <w:lang w:eastAsia="cs-CZ" w:bidi="ar-SA"/>
        </w:rPr>
        <w:t xml:space="preserve">. DPH 21% činí </w:t>
      </w:r>
      <w:r w:rsidR="00233B1A" w:rsidRPr="00233B1A">
        <w:rPr>
          <w:rFonts w:cs="Tahoma"/>
          <w:lang w:eastAsia="cs-CZ" w:bidi="ar-SA"/>
        </w:rPr>
        <w:t>10</w:t>
      </w:r>
      <w:r w:rsidR="00233B1A">
        <w:rPr>
          <w:rFonts w:cs="Tahoma"/>
          <w:lang w:eastAsia="cs-CZ" w:bidi="ar-SA"/>
        </w:rPr>
        <w:t> </w:t>
      </w:r>
      <w:r w:rsidR="00233B1A" w:rsidRPr="00233B1A">
        <w:rPr>
          <w:rFonts w:cs="Tahoma"/>
          <w:lang w:eastAsia="cs-CZ" w:bidi="ar-SA"/>
        </w:rPr>
        <w:t>269,00</w:t>
      </w:r>
      <w:r w:rsidR="00233B1A">
        <w:rPr>
          <w:rFonts w:cs="Tahoma"/>
          <w:lang w:eastAsia="cs-CZ" w:bidi="ar-SA"/>
        </w:rPr>
        <w:t> </w:t>
      </w:r>
      <w:r w:rsidR="00233B1A" w:rsidRPr="00233B1A">
        <w:rPr>
          <w:rFonts w:cs="Tahoma"/>
          <w:lang w:eastAsia="cs-CZ" w:bidi="ar-SA"/>
        </w:rPr>
        <w:t>Kč</w:t>
      </w:r>
      <w:r w:rsidRPr="00D90D3D">
        <w:rPr>
          <w:rFonts w:cs="Tahoma"/>
          <w:lang w:eastAsia="cs-CZ" w:bidi="ar-SA"/>
        </w:rPr>
        <w:t>. Celková kupní cena včetně DPH činí</w:t>
      </w:r>
      <w:r w:rsidR="00233B1A">
        <w:rPr>
          <w:rFonts w:cs="Tahoma"/>
          <w:lang w:eastAsia="cs-CZ" w:bidi="ar-SA"/>
        </w:rPr>
        <w:t xml:space="preserve"> 59 169,00 </w:t>
      </w:r>
      <w:r w:rsidR="00233B1A" w:rsidRPr="00233B1A">
        <w:rPr>
          <w:rFonts w:cs="Tahoma"/>
          <w:lang w:eastAsia="cs-CZ" w:bidi="ar-SA"/>
        </w:rPr>
        <w:t>Kč</w:t>
      </w:r>
      <w:r w:rsidRPr="00D90D3D">
        <w:rPr>
          <w:rFonts w:cs="Tahoma"/>
          <w:lang w:eastAsia="cs-CZ" w:bidi="ar-SA"/>
        </w:rPr>
        <w:t>.</w:t>
      </w:r>
    </w:p>
    <w:p w:rsidR="00EB6BAB" w:rsidRDefault="00EB6BAB" w:rsidP="00EB6BAB">
      <w:pPr>
        <w:jc w:val="both"/>
        <w:rPr>
          <w:rFonts w:cs="Tahoma"/>
          <w:lang w:eastAsia="cs-CZ" w:bidi="ar-SA"/>
        </w:rPr>
      </w:pPr>
    </w:p>
    <w:p w:rsidR="00EB6BAB" w:rsidRPr="00EB6BAB" w:rsidRDefault="00EB6BAB" w:rsidP="00EB6BAB">
      <w:pPr>
        <w:numPr>
          <w:ilvl w:val="0"/>
          <w:numId w:val="1"/>
        </w:numPr>
        <w:ind w:left="400" w:hanging="400"/>
        <w:jc w:val="both"/>
        <w:rPr>
          <w:rFonts w:cs="Tahoma"/>
          <w:lang w:eastAsia="cs-CZ" w:bidi="ar-SA"/>
        </w:rPr>
      </w:pPr>
      <w:r>
        <w:rPr>
          <w:rFonts w:cs="Tahoma"/>
          <w:lang w:eastAsia="cs-CZ" w:bidi="ar-SA"/>
        </w:rPr>
        <w:t xml:space="preserve">Kupní cena je cenou nejvýše přípustnou (nepřekročitelnou), kterou lze měnit pouze v případě změny zákonné sazby DPH nebo změny povinné osoby k dani podle zákona č. 235/2004 Sb., o dani z přidané hodnoty </w:t>
      </w:r>
      <w:r w:rsidR="00D4061A">
        <w:rPr>
          <w:rFonts w:cs="Tahoma"/>
          <w:lang w:eastAsia="cs-CZ" w:bidi="ar-SA"/>
        </w:rPr>
        <w:t>ve znění pozdějších předpisů.</w:t>
      </w:r>
    </w:p>
    <w:p w:rsidR="00510FAC" w:rsidRPr="00510FAC" w:rsidRDefault="00510FAC" w:rsidP="008E059A">
      <w:pPr>
        <w:ind w:left="400"/>
        <w:jc w:val="both"/>
        <w:rPr>
          <w:rFonts w:cs="Tahoma"/>
          <w:lang w:eastAsia="cs-CZ" w:bidi="ar-SA"/>
        </w:rPr>
      </w:pPr>
    </w:p>
    <w:p w:rsidR="00510FAC" w:rsidRPr="00510FAC" w:rsidRDefault="00510FAC" w:rsidP="008E059A">
      <w:pPr>
        <w:numPr>
          <w:ilvl w:val="0"/>
          <w:numId w:val="1"/>
        </w:numPr>
        <w:ind w:left="400" w:hanging="400"/>
        <w:jc w:val="both"/>
        <w:rPr>
          <w:rFonts w:cs="Tahoma"/>
          <w:lang w:eastAsia="cs-CZ" w:bidi="ar-SA"/>
        </w:rPr>
      </w:pPr>
      <w:r w:rsidRPr="00510FAC">
        <w:rPr>
          <w:rFonts w:cs="Tahoma"/>
          <w:lang w:eastAsia="cs-CZ" w:bidi="ar-SA"/>
        </w:rPr>
        <w:lastRenderedPageBreak/>
        <w:t>Kupní cena bude kupujícím uhrazena bezhotovostním převodem na účet prodávajícího uvedený v článku I. smlouvy na základě faktury - daňového dokladu vystavené prodávajícím po dodání předmětu smlouvy.</w:t>
      </w:r>
    </w:p>
    <w:p w:rsidR="00510FAC" w:rsidRPr="00510FAC" w:rsidRDefault="00510FAC" w:rsidP="008E059A">
      <w:pPr>
        <w:jc w:val="both"/>
        <w:rPr>
          <w:rFonts w:cs="Tahoma"/>
          <w:lang w:bidi="ar-SA"/>
        </w:rPr>
      </w:pPr>
    </w:p>
    <w:p w:rsidR="00510FAC" w:rsidRPr="00510FAC" w:rsidRDefault="00510FAC" w:rsidP="008E059A">
      <w:pPr>
        <w:numPr>
          <w:ilvl w:val="0"/>
          <w:numId w:val="1"/>
        </w:numPr>
        <w:ind w:left="400" w:hanging="400"/>
        <w:jc w:val="both"/>
        <w:rPr>
          <w:rFonts w:cs="Tahoma"/>
          <w:lang w:eastAsia="cs-CZ" w:bidi="ar-SA"/>
        </w:rPr>
      </w:pPr>
      <w:r w:rsidRPr="00510FAC">
        <w:rPr>
          <w:rFonts w:cs="Tahoma"/>
          <w:lang w:eastAsia="cs-CZ" w:bidi="ar-SA"/>
        </w:rPr>
        <w:t>Protokolární dodání předmětu smlouvy je pokládáno za uskutečnění zdanitelného plnění ve smyslu zákona o dani z přidané hodnoty. Vystavená faktura vedle náležitostí daňového dokladu podle zákona o dani z přidané hodnoty a náležitostí obchodní listiny podle § 435 občanského zákoníku bude obsahovat identifikaci smlouvy, na jejímž základě bylo plněno, identifikaci dokladu osvědčujícího zdanitelného plnění, číslo faktury, datum splatnosti, popřípadě částku poskytnuté zálohy.</w:t>
      </w:r>
    </w:p>
    <w:p w:rsidR="00510FAC" w:rsidRPr="00510FAC" w:rsidRDefault="00510FAC" w:rsidP="008E059A">
      <w:pPr>
        <w:jc w:val="both"/>
        <w:rPr>
          <w:rFonts w:cs="Tahoma"/>
          <w:lang w:bidi="ar-SA"/>
        </w:rPr>
      </w:pPr>
    </w:p>
    <w:p w:rsidR="00510FAC" w:rsidRPr="00510FAC" w:rsidRDefault="00510FAC" w:rsidP="008E059A">
      <w:pPr>
        <w:numPr>
          <w:ilvl w:val="0"/>
          <w:numId w:val="1"/>
        </w:numPr>
        <w:ind w:left="400" w:right="10" w:hanging="400"/>
        <w:jc w:val="both"/>
        <w:rPr>
          <w:rFonts w:cs="Tahoma"/>
          <w:snapToGrid w:val="0"/>
          <w:color w:val="000000"/>
          <w:lang w:bidi="ar-SA"/>
        </w:rPr>
      </w:pPr>
      <w:r w:rsidRPr="00510FAC">
        <w:rPr>
          <w:rFonts w:cs="Tahoma"/>
          <w:snapToGrid w:val="0"/>
          <w:color w:val="000000"/>
          <w:lang w:bidi="ar-SA"/>
        </w:rPr>
        <w:t xml:space="preserve">Splatnost faktury je dohodou smluvních stran sjednána </w:t>
      </w:r>
      <w:r w:rsidRPr="00342858">
        <w:rPr>
          <w:rFonts w:cs="Tahoma"/>
          <w:snapToGrid w:val="0"/>
          <w:color w:val="000000"/>
          <w:lang w:bidi="ar-SA"/>
        </w:rPr>
        <w:t xml:space="preserve">na </w:t>
      </w:r>
      <w:r w:rsidR="009C6DE7">
        <w:rPr>
          <w:rFonts w:cs="Tahoma"/>
          <w:snapToGrid w:val="0"/>
          <w:lang w:bidi="ar-SA"/>
        </w:rPr>
        <w:t>14</w:t>
      </w:r>
      <w:r w:rsidRPr="00510FAC">
        <w:rPr>
          <w:rFonts w:cs="Tahoma"/>
          <w:snapToGrid w:val="0"/>
          <w:lang w:bidi="ar-SA"/>
        </w:rPr>
        <w:t xml:space="preserve"> </w:t>
      </w:r>
      <w:r w:rsidRPr="00510FAC">
        <w:rPr>
          <w:rFonts w:cs="Tahoma"/>
          <w:snapToGrid w:val="0"/>
          <w:color w:val="000000"/>
          <w:lang w:bidi="ar-SA"/>
        </w:rPr>
        <w:t xml:space="preserve">dnů ode dne jejího vystavení. </w:t>
      </w:r>
    </w:p>
    <w:p w:rsidR="00510FAC" w:rsidRPr="00510FAC" w:rsidRDefault="00510FAC" w:rsidP="008E059A">
      <w:pPr>
        <w:tabs>
          <w:tab w:val="num" w:pos="400"/>
        </w:tabs>
        <w:ind w:left="400" w:right="10" w:hanging="400"/>
        <w:jc w:val="both"/>
        <w:rPr>
          <w:rFonts w:cs="Tahoma"/>
          <w:snapToGrid w:val="0"/>
          <w:color w:val="000000"/>
          <w:lang w:bidi="ar-SA"/>
        </w:rPr>
      </w:pPr>
    </w:p>
    <w:p w:rsidR="00510FAC" w:rsidRPr="00510FAC" w:rsidRDefault="00510FAC" w:rsidP="008E059A">
      <w:pPr>
        <w:numPr>
          <w:ilvl w:val="0"/>
          <w:numId w:val="1"/>
        </w:numPr>
        <w:ind w:left="400" w:right="10" w:hanging="400"/>
        <w:jc w:val="both"/>
        <w:rPr>
          <w:rFonts w:cs="Tahoma"/>
          <w:snapToGrid w:val="0"/>
          <w:color w:val="000000"/>
          <w:lang w:bidi="ar-SA"/>
        </w:rPr>
      </w:pPr>
      <w:r w:rsidRPr="00510FAC">
        <w:rPr>
          <w:rFonts w:cs="Tahoma"/>
          <w:snapToGrid w:val="0"/>
          <w:color w:val="000000"/>
          <w:lang w:bidi="ar-SA"/>
        </w:rPr>
        <w:t>V případě, že faktura obsahuje nesprávné údaje nebo v ní některé náležitosti chybí, je kupující oprávněn fakturu vrátit zpět prodávajícímu, a to neprodleně, nejpozději však do 10 dnů po jejím obdržení. V takovém případě je prodávající povinen vystavit novou fakturu.</w:t>
      </w:r>
    </w:p>
    <w:p w:rsidR="00510FAC" w:rsidRPr="00510FAC" w:rsidRDefault="00510FAC" w:rsidP="008E059A">
      <w:pPr>
        <w:tabs>
          <w:tab w:val="num" w:pos="400"/>
        </w:tabs>
        <w:ind w:left="400" w:right="10" w:hanging="400"/>
        <w:jc w:val="both"/>
        <w:rPr>
          <w:rFonts w:cs="Tahoma"/>
          <w:snapToGrid w:val="0"/>
          <w:color w:val="000000"/>
          <w:lang w:bidi="ar-SA"/>
        </w:rPr>
      </w:pPr>
    </w:p>
    <w:p w:rsidR="00510FAC" w:rsidRPr="00510FAC" w:rsidRDefault="00510FAC" w:rsidP="008E059A">
      <w:pPr>
        <w:numPr>
          <w:ilvl w:val="0"/>
          <w:numId w:val="1"/>
        </w:numPr>
        <w:ind w:left="400" w:right="10" w:hanging="400"/>
        <w:jc w:val="both"/>
        <w:rPr>
          <w:rFonts w:cs="Tahoma"/>
          <w:snapToGrid w:val="0"/>
          <w:color w:val="000000"/>
          <w:lang w:bidi="ar-SA"/>
        </w:rPr>
      </w:pPr>
      <w:r w:rsidRPr="00510FAC">
        <w:rPr>
          <w:rFonts w:cs="Tahoma"/>
          <w:snapToGrid w:val="0"/>
          <w:color w:val="000000"/>
          <w:lang w:bidi="ar-SA"/>
        </w:rPr>
        <w:t>Za den splnění povinnosti uhradit kupní cenu se považuje den připsání částky kupní ceny na bankovní účet prodávajícího.</w:t>
      </w:r>
    </w:p>
    <w:p w:rsidR="00510FAC" w:rsidRPr="00510FAC" w:rsidRDefault="00510FAC" w:rsidP="008E059A">
      <w:pPr>
        <w:jc w:val="both"/>
        <w:rPr>
          <w:rFonts w:cs="Tahoma"/>
          <w:lang w:bidi="ar-SA"/>
        </w:rPr>
      </w:pPr>
    </w:p>
    <w:p w:rsidR="00510FAC" w:rsidRPr="00510FAC" w:rsidRDefault="00510FAC" w:rsidP="008E059A">
      <w:pPr>
        <w:jc w:val="both"/>
        <w:rPr>
          <w:rFonts w:cs="Tahoma"/>
          <w:lang w:bidi="ar-SA"/>
        </w:rPr>
      </w:pPr>
    </w:p>
    <w:p w:rsidR="00510FAC" w:rsidRPr="00510FAC" w:rsidRDefault="00510FAC" w:rsidP="008E059A">
      <w:pPr>
        <w:pStyle w:val="Odstavecseseznamem"/>
        <w:numPr>
          <w:ilvl w:val="0"/>
          <w:numId w:val="16"/>
        </w:numPr>
        <w:jc w:val="both"/>
        <w:rPr>
          <w:rFonts w:cs="Tahoma"/>
          <w:b/>
          <w:bCs/>
          <w:sz w:val="22"/>
          <w:szCs w:val="22"/>
          <w:lang w:bidi="ar-SA"/>
        </w:rPr>
      </w:pPr>
      <w:r w:rsidRPr="00510FAC">
        <w:rPr>
          <w:rFonts w:cs="Tahoma"/>
          <w:b/>
          <w:bCs/>
          <w:sz w:val="22"/>
          <w:szCs w:val="22"/>
          <w:lang w:bidi="ar-SA"/>
        </w:rPr>
        <w:t>Povinnosti prodávajícího</w:t>
      </w:r>
    </w:p>
    <w:p w:rsidR="00510FAC" w:rsidRPr="00510FAC" w:rsidRDefault="00510FAC" w:rsidP="008E059A">
      <w:pPr>
        <w:jc w:val="both"/>
        <w:rPr>
          <w:rFonts w:cs="Tahoma"/>
          <w:lang w:bidi="ar-SA"/>
        </w:rPr>
      </w:pPr>
    </w:p>
    <w:p w:rsidR="00510FAC" w:rsidRPr="00510FAC" w:rsidRDefault="00510FAC" w:rsidP="008E059A">
      <w:pPr>
        <w:numPr>
          <w:ilvl w:val="0"/>
          <w:numId w:val="2"/>
        </w:numPr>
        <w:tabs>
          <w:tab w:val="num" w:pos="400"/>
        </w:tabs>
        <w:ind w:left="400" w:hanging="400"/>
        <w:jc w:val="both"/>
        <w:rPr>
          <w:rFonts w:cs="Tahoma"/>
          <w:lang w:eastAsia="cs-CZ" w:bidi="ar-SA"/>
        </w:rPr>
      </w:pPr>
      <w:r w:rsidRPr="00510FAC">
        <w:rPr>
          <w:rFonts w:cs="Tahoma"/>
          <w:lang w:eastAsia="cs-CZ" w:bidi="ar-SA"/>
        </w:rPr>
        <w:t xml:space="preserve">Prodávající se zavazuje dodat předmět smlouvy specifikovaný v této smlouvě. </w:t>
      </w:r>
    </w:p>
    <w:p w:rsidR="00510FAC" w:rsidRPr="00510FAC" w:rsidRDefault="00510FAC" w:rsidP="008E059A">
      <w:pPr>
        <w:jc w:val="both"/>
        <w:rPr>
          <w:rFonts w:cs="Tahoma"/>
          <w:lang w:bidi="ar-SA"/>
        </w:rPr>
      </w:pPr>
    </w:p>
    <w:p w:rsidR="00510FAC" w:rsidRPr="00510FAC" w:rsidRDefault="00510FAC" w:rsidP="008E059A">
      <w:pPr>
        <w:numPr>
          <w:ilvl w:val="0"/>
          <w:numId w:val="2"/>
        </w:numPr>
        <w:tabs>
          <w:tab w:val="num" w:pos="400"/>
        </w:tabs>
        <w:ind w:left="400" w:hanging="400"/>
        <w:jc w:val="both"/>
        <w:rPr>
          <w:rFonts w:cs="Tahoma"/>
          <w:lang w:eastAsia="cs-CZ" w:bidi="ar-SA"/>
        </w:rPr>
      </w:pPr>
      <w:r w:rsidRPr="00510FAC">
        <w:rPr>
          <w:rFonts w:cs="Tahoma"/>
          <w:lang w:eastAsia="cs-CZ" w:bidi="ar-SA"/>
        </w:rPr>
        <w:t>Prodávající odpovídá za to, že zboží dodané a předané podle této smlouvy bude ke dni dodání plně funkční a bude splňovat požadavky uvedené v této smlouvě a požadavky stanovené obecně závaznými právními předpisy.</w:t>
      </w:r>
    </w:p>
    <w:p w:rsidR="00510FAC" w:rsidRPr="00510FAC" w:rsidRDefault="00510FAC" w:rsidP="008E059A">
      <w:pPr>
        <w:jc w:val="both"/>
        <w:rPr>
          <w:rFonts w:cs="Tahoma"/>
          <w:lang w:bidi="ar-SA"/>
        </w:rPr>
      </w:pPr>
    </w:p>
    <w:p w:rsidR="00510FAC" w:rsidRPr="009C6DE7" w:rsidRDefault="00510FAC" w:rsidP="008E059A">
      <w:pPr>
        <w:numPr>
          <w:ilvl w:val="0"/>
          <w:numId w:val="2"/>
        </w:numPr>
        <w:tabs>
          <w:tab w:val="num" w:pos="400"/>
        </w:tabs>
        <w:ind w:left="400" w:hanging="400"/>
        <w:jc w:val="both"/>
        <w:rPr>
          <w:rFonts w:cs="Tahoma"/>
          <w:lang w:eastAsia="cs-CZ" w:bidi="ar-SA"/>
        </w:rPr>
      </w:pPr>
      <w:r w:rsidRPr="009C6DE7">
        <w:rPr>
          <w:rFonts w:cs="Tahoma"/>
          <w:lang w:eastAsia="cs-CZ" w:bidi="ar-SA"/>
        </w:rPr>
        <w:t xml:space="preserve">Prodávající bude informovat kupujícího nejméně </w:t>
      </w:r>
      <w:r w:rsidR="009C6DE7" w:rsidRPr="009C6DE7">
        <w:rPr>
          <w:rFonts w:cs="Tahoma"/>
          <w:lang w:eastAsia="cs-CZ" w:bidi="ar-SA"/>
        </w:rPr>
        <w:t>1</w:t>
      </w:r>
      <w:r w:rsidRPr="009C6DE7">
        <w:rPr>
          <w:rFonts w:cs="Tahoma"/>
          <w:lang w:eastAsia="cs-CZ" w:bidi="ar-SA"/>
        </w:rPr>
        <w:t xml:space="preserve"> </w:t>
      </w:r>
      <w:r w:rsidR="009C6DE7" w:rsidRPr="009C6DE7">
        <w:rPr>
          <w:rFonts w:cs="Tahoma"/>
          <w:lang w:eastAsia="cs-CZ" w:bidi="ar-SA"/>
        </w:rPr>
        <w:t>den</w:t>
      </w:r>
      <w:r w:rsidRPr="009C6DE7">
        <w:rPr>
          <w:rFonts w:cs="Tahoma"/>
          <w:lang w:eastAsia="cs-CZ" w:bidi="ar-SA"/>
        </w:rPr>
        <w:t xml:space="preserve"> předem o datu dodání předmětu smlouvy, resp. jeho jednotlivých částí.</w:t>
      </w:r>
    </w:p>
    <w:p w:rsidR="00510FAC" w:rsidRPr="00510FAC" w:rsidRDefault="00510FAC" w:rsidP="008E059A">
      <w:pPr>
        <w:jc w:val="both"/>
        <w:rPr>
          <w:rFonts w:cs="Tahoma"/>
          <w:lang w:bidi="ar-SA"/>
        </w:rPr>
      </w:pPr>
    </w:p>
    <w:p w:rsidR="00510FAC" w:rsidRPr="00510FAC" w:rsidRDefault="00510FAC" w:rsidP="008E059A">
      <w:pPr>
        <w:numPr>
          <w:ilvl w:val="0"/>
          <w:numId w:val="2"/>
        </w:numPr>
        <w:tabs>
          <w:tab w:val="num" w:pos="400"/>
        </w:tabs>
        <w:ind w:left="400" w:hanging="400"/>
        <w:jc w:val="both"/>
        <w:rPr>
          <w:rFonts w:cs="Tahoma"/>
          <w:lang w:bidi="ar-SA"/>
        </w:rPr>
      </w:pPr>
      <w:r w:rsidRPr="00510FAC">
        <w:rPr>
          <w:rFonts w:cs="Tahoma"/>
          <w:lang w:bidi="ar-SA"/>
        </w:rPr>
        <w:t>Prodávající je povinen při plnění předmětu smlouvy dodržovat zásady bezpečnosti a ochrany zdraví při práci a zásady protipožární ochrany, podle obecně závazných právních předpisů.</w:t>
      </w:r>
    </w:p>
    <w:p w:rsidR="00510FAC" w:rsidRPr="00510FAC" w:rsidRDefault="00510FAC" w:rsidP="008E059A">
      <w:pPr>
        <w:jc w:val="both"/>
        <w:rPr>
          <w:rFonts w:cs="Tahoma"/>
          <w:lang w:bidi="ar-SA"/>
        </w:rPr>
      </w:pPr>
    </w:p>
    <w:p w:rsidR="00510FAC" w:rsidRPr="00510FAC" w:rsidRDefault="00510FAC" w:rsidP="008E059A">
      <w:pPr>
        <w:jc w:val="both"/>
        <w:rPr>
          <w:rFonts w:cs="Tahoma"/>
          <w:lang w:bidi="ar-SA"/>
        </w:rPr>
      </w:pPr>
    </w:p>
    <w:p w:rsidR="00510FAC" w:rsidRPr="00510FAC" w:rsidRDefault="00510FAC" w:rsidP="008E059A">
      <w:pPr>
        <w:pStyle w:val="Odstavecseseznamem"/>
        <w:numPr>
          <w:ilvl w:val="0"/>
          <w:numId w:val="16"/>
        </w:numPr>
        <w:jc w:val="both"/>
        <w:rPr>
          <w:rFonts w:cs="Tahoma"/>
          <w:b/>
          <w:bCs/>
          <w:sz w:val="22"/>
          <w:szCs w:val="22"/>
          <w:lang w:bidi="ar-SA"/>
        </w:rPr>
      </w:pPr>
      <w:r w:rsidRPr="00510FAC">
        <w:rPr>
          <w:rFonts w:cs="Tahoma"/>
          <w:b/>
          <w:bCs/>
          <w:sz w:val="22"/>
          <w:szCs w:val="22"/>
          <w:lang w:bidi="ar-SA"/>
        </w:rPr>
        <w:t>Povinnosti kupujícího</w:t>
      </w:r>
    </w:p>
    <w:p w:rsidR="00510FAC" w:rsidRPr="00510FAC" w:rsidRDefault="00510FAC" w:rsidP="008E059A">
      <w:pPr>
        <w:jc w:val="both"/>
        <w:rPr>
          <w:rFonts w:cs="Tahoma"/>
          <w:lang w:bidi="ar-SA"/>
        </w:rPr>
      </w:pPr>
    </w:p>
    <w:p w:rsidR="00510FAC" w:rsidRPr="00510FAC" w:rsidRDefault="00510FAC" w:rsidP="008E059A">
      <w:pPr>
        <w:numPr>
          <w:ilvl w:val="0"/>
          <w:numId w:val="3"/>
        </w:numPr>
        <w:tabs>
          <w:tab w:val="num" w:pos="400"/>
        </w:tabs>
        <w:ind w:left="400" w:hanging="400"/>
        <w:jc w:val="both"/>
        <w:rPr>
          <w:rFonts w:cs="Tahoma"/>
          <w:lang w:bidi="ar-SA"/>
        </w:rPr>
      </w:pPr>
      <w:r w:rsidRPr="00510FAC">
        <w:rPr>
          <w:rFonts w:cs="Tahoma"/>
          <w:lang w:bidi="ar-SA"/>
        </w:rPr>
        <w:t>Kupující je povinen včas informovat prodávajícího o všech skutečnostech, které by mohly mít vliv na plnění této smlouvy.</w:t>
      </w:r>
    </w:p>
    <w:p w:rsidR="00510FAC" w:rsidRPr="00510FAC" w:rsidRDefault="00510FAC" w:rsidP="008E059A">
      <w:pPr>
        <w:jc w:val="both"/>
        <w:rPr>
          <w:rFonts w:cs="Tahoma"/>
          <w:lang w:bidi="ar-SA"/>
        </w:rPr>
      </w:pPr>
    </w:p>
    <w:p w:rsidR="00510FAC" w:rsidRPr="00510FAC" w:rsidRDefault="00510FAC" w:rsidP="008E059A">
      <w:pPr>
        <w:numPr>
          <w:ilvl w:val="0"/>
          <w:numId w:val="3"/>
        </w:numPr>
        <w:tabs>
          <w:tab w:val="num" w:pos="400"/>
        </w:tabs>
        <w:ind w:left="400" w:hanging="400"/>
        <w:jc w:val="both"/>
        <w:rPr>
          <w:rFonts w:cs="Tahoma"/>
          <w:lang w:bidi="ar-SA"/>
        </w:rPr>
      </w:pPr>
      <w:r w:rsidRPr="00510FAC">
        <w:rPr>
          <w:rFonts w:cs="Tahoma"/>
          <w:lang w:bidi="ar-SA"/>
        </w:rPr>
        <w:t>Kupující není oprávněn odmítnout převzetí předmětu smlouvy, jestliže vykazuje drobné vady, které samy o sobě ani ve spojení s jinými nebrání užívání předmětu smlouvy.</w:t>
      </w:r>
    </w:p>
    <w:p w:rsidR="00510FAC" w:rsidRPr="00510FAC" w:rsidRDefault="00510FAC" w:rsidP="008E059A">
      <w:pPr>
        <w:jc w:val="both"/>
        <w:rPr>
          <w:rFonts w:cs="Tahoma"/>
          <w:lang w:bidi="ar-SA"/>
        </w:rPr>
      </w:pPr>
    </w:p>
    <w:p w:rsidR="00510FAC" w:rsidRPr="00510FAC" w:rsidRDefault="00510FAC" w:rsidP="008E059A">
      <w:pPr>
        <w:jc w:val="both"/>
        <w:rPr>
          <w:rFonts w:cs="Tahoma"/>
          <w:lang w:bidi="ar-SA"/>
        </w:rPr>
      </w:pPr>
    </w:p>
    <w:p w:rsidR="00510FAC" w:rsidRPr="00510FAC" w:rsidRDefault="00510FAC" w:rsidP="008E059A">
      <w:pPr>
        <w:pStyle w:val="Odstavecseseznamem"/>
        <w:numPr>
          <w:ilvl w:val="0"/>
          <w:numId w:val="16"/>
        </w:numPr>
        <w:jc w:val="both"/>
        <w:rPr>
          <w:rFonts w:cs="Tahoma"/>
          <w:b/>
          <w:bCs/>
          <w:sz w:val="22"/>
          <w:szCs w:val="22"/>
          <w:lang w:bidi="ar-SA"/>
        </w:rPr>
      </w:pPr>
      <w:r w:rsidRPr="00510FAC">
        <w:rPr>
          <w:rFonts w:cs="Tahoma"/>
          <w:b/>
          <w:bCs/>
          <w:sz w:val="22"/>
          <w:szCs w:val="22"/>
          <w:lang w:bidi="ar-SA"/>
        </w:rPr>
        <w:t>Odpovědnost prodávajícího za vady</w:t>
      </w:r>
    </w:p>
    <w:p w:rsidR="00510FAC" w:rsidRPr="00510FAC" w:rsidRDefault="00510FAC" w:rsidP="008E059A">
      <w:pPr>
        <w:jc w:val="both"/>
        <w:rPr>
          <w:rFonts w:cs="Tahoma"/>
          <w:lang w:bidi="ar-SA"/>
        </w:rPr>
      </w:pPr>
    </w:p>
    <w:p w:rsidR="00510FAC" w:rsidRPr="00510FAC" w:rsidRDefault="00510FAC" w:rsidP="008E059A">
      <w:pPr>
        <w:numPr>
          <w:ilvl w:val="0"/>
          <w:numId w:val="4"/>
        </w:numPr>
        <w:tabs>
          <w:tab w:val="num" w:pos="400"/>
        </w:tabs>
        <w:ind w:left="400" w:hanging="400"/>
        <w:jc w:val="both"/>
        <w:rPr>
          <w:rFonts w:cs="Tahoma"/>
          <w:lang w:bidi="ar-SA"/>
        </w:rPr>
      </w:pPr>
      <w:r w:rsidRPr="00510FAC">
        <w:rPr>
          <w:rFonts w:cs="Tahoma"/>
          <w:lang w:bidi="ar-SA"/>
        </w:rPr>
        <w:t>Prodávající odpovídá za to, že předmět smlouvy nebude mít faktické ani právní vady.</w:t>
      </w:r>
    </w:p>
    <w:p w:rsidR="00510FAC" w:rsidRPr="00510FAC" w:rsidRDefault="00510FAC" w:rsidP="008E059A">
      <w:pPr>
        <w:jc w:val="both"/>
        <w:rPr>
          <w:rFonts w:cs="Tahoma"/>
          <w:lang w:bidi="ar-SA"/>
        </w:rPr>
      </w:pPr>
    </w:p>
    <w:p w:rsidR="00510FAC" w:rsidRPr="00510FAC" w:rsidRDefault="00510FAC" w:rsidP="008E059A">
      <w:pPr>
        <w:numPr>
          <w:ilvl w:val="0"/>
          <w:numId w:val="4"/>
        </w:numPr>
        <w:tabs>
          <w:tab w:val="num" w:pos="400"/>
        </w:tabs>
        <w:ind w:left="400" w:hanging="400"/>
        <w:jc w:val="both"/>
        <w:rPr>
          <w:rFonts w:cs="Tahoma"/>
          <w:lang w:bidi="ar-SA"/>
        </w:rPr>
      </w:pPr>
      <w:r w:rsidRPr="00510FAC">
        <w:rPr>
          <w:rFonts w:cs="Tahoma"/>
          <w:lang w:bidi="ar-SA"/>
        </w:rPr>
        <w:t xml:space="preserve">Prodávající poskytuje kupujícímu na </w:t>
      </w:r>
      <w:r w:rsidR="009C6DE7">
        <w:rPr>
          <w:rFonts w:cs="Tahoma"/>
          <w:lang w:bidi="ar-SA"/>
        </w:rPr>
        <w:t>předmět smlouvy</w:t>
      </w:r>
      <w:r w:rsidR="00E87D31">
        <w:rPr>
          <w:rFonts w:cs="Tahoma"/>
          <w:lang w:bidi="ar-SA"/>
        </w:rPr>
        <w:t xml:space="preserve"> záruku 3 měsíce</w:t>
      </w:r>
      <w:r w:rsidRPr="00510FAC">
        <w:rPr>
          <w:rFonts w:cs="Tahoma"/>
          <w:lang w:bidi="ar-SA"/>
        </w:rPr>
        <w:t>. Záruka začíná běžet dnem protokolárního předání předmětu smlouvy. Prodávající odpovídá kupujícímu za to, že v záruční době bude mít předmět smlouvy smluvenou jakost a provedení, bude způsobilý pro použití ke smluvenému účelu a zachová si smluvené vlastnosti.</w:t>
      </w:r>
    </w:p>
    <w:p w:rsidR="00510FAC" w:rsidRPr="00510FAC" w:rsidRDefault="00510FAC" w:rsidP="008E059A">
      <w:pPr>
        <w:jc w:val="both"/>
        <w:rPr>
          <w:rFonts w:cs="Tahoma"/>
          <w:lang w:bidi="ar-SA"/>
        </w:rPr>
      </w:pPr>
    </w:p>
    <w:p w:rsidR="00510FAC" w:rsidRPr="00510FAC" w:rsidRDefault="00510FAC" w:rsidP="008E059A">
      <w:pPr>
        <w:numPr>
          <w:ilvl w:val="0"/>
          <w:numId w:val="4"/>
        </w:numPr>
        <w:tabs>
          <w:tab w:val="num" w:pos="400"/>
        </w:tabs>
        <w:ind w:left="400" w:hanging="400"/>
        <w:jc w:val="both"/>
        <w:rPr>
          <w:rFonts w:cs="Tahoma"/>
          <w:lang w:bidi="ar-SA"/>
        </w:rPr>
      </w:pPr>
      <w:r w:rsidRPr="00510FAC">
        <w:rPr>
          <w:rFonts w:cs="Tahoma"/>
          <w:lang w:bidi="ar-SA"/>
        </w:rPr>
        <w:t>Pokud dojde ke zjištění vad v průběhu záruční doby, je kupující oprávněn tyto vady prokazatelným způsobem oznámit prodávajícímu (reklamovat). Kupující je povinen reklamovat vady neprodleně po jejich výskytu, nejpozději však do konce záruční doby.</w:t>
      </w:r>
    </w:p>
    <w:p w:rsidR="00510FAC" w:rsidRPr="00510FAC" w:rsidRDefault="00510FAC" w:rsidP="008E059A">
      <w:pPr>
        <w:jc w:val="both"/>
        <w:rPr>
          <w:rFonts w:cs="Tahoma"/>
          <w:lang w:bidi="ar-SA"/>
        </w:rPr>
      </w:pPr>
    </w:p>
    <w:p w:rsidR="00510FAC" w:rsidRPr="00510FAC" w:rsidRDefault="00510FAC" w:rsidP="008E059A">
      <w:pPr>
        <w:numPr>
          <w:ilvl w:val="0"/>
          <w:numId w:val="4"/>
        </w:numPr>
        <w:tabs>
          <w:tab w:val="num" w:pos="400"/>
        </w:tabs>
        <w:ind w:left="400" w:hanging="400"/>
        <w:jc w:val="both"/>
        <w:rPr>
          <w:rFonts w:cs="Tahoma"/>
          <w:lang w:bidi="ar-SA"/>
        </w:rPr>
      </w:pPr>
      <w:r w:rsidRPr="00510FAC">
        <w:rPr>
          <w:rFonts w:cs="Tahoma"/>
          <w:lang w:bidi="ar-SA"/>
        </w:rPr>
        <w:t xml:space="preserve">Prodávající je povinen poté, co mu bude oznámena reklamace vad kupujícím, zjistit, zda se jedná o vadu, na kterou se vztahuje záruka. Pokud se bude jednat o takovou vadu, je prodávající povinen vadu opravit. </w:t>
      </w:r>
      <w:r w:rsidRPr="00E87D31">
        <w:rPr>
          <w:rFonts w:cs="Tahoma"/>
          <w:lang w:bidi="ar-SA"/>
        </w:rPr>
        <w:t>Tato povinnost platí pouze v pracovní dny.</w:t>
      </w:r>
      <w:r w:rsidRPr="00510FAC">
        <w:rPr>
          <w:rFonts w:cs="Tahoma"/>
          <w:lang w:bidi="ar-SA"/>
        </w:rPr>
        <w:t xml:space="preserve"> V případě, že se bude jednat o vadu krytou zárukou a vada bude takového charakteru, že ji nebude možné opravit na místě, dohodnou se pověření zástupci smluvních stran na dalším postupu opravy vedoucí k co možná nejrychlejšímu uvedení předmětu smlouvy opět do provozu. Volba způsobu odstranění vady přísluší prodávajícímu.</w:t>
      </w:r>
    </w:p>
    <w:p w:rsidR="00510FAC" w:rsidRPr="00510FAC" w:rsidRDefault="00510FAC" w:rsidP="008E059A">
      <w:pPr>
        <w:jc w:val="both"/>
        <w:rPr>
          <w:rFonts w:cs="Tahoma"/>
          <w:lang w:bidi="ar-SA"/>
        </w:rPr>
      </w:pPr>
    </w:p>
    <w:p w:rsidR="00510FAC" w:rsidRPr="00510FAC" w:rsidRDefault="00510FAC" w:rsidP="008E059A">
      <w:pPr>
        <w:numPr>
          <w:ilvl w:val="0"/>
          <w:numId w:val="4"/>
        </w:numPr>
        <w:tabs>
          <w:tab w:val="num" w:pos="400"/>
        </w:tabs>
        <w:ind w:left="400" w:hanging="400"/>
        <w:jc w:val="both"/>
        <w:rPr>
          <w:rFonts w:cs="Tahoma"/>
          <w:lang w:bidi="ar-SA"/>
        </w:rPr>
      </w:pPr>
      <w:r w:rsidRPr="00510FAC">
        <w:rPr>
          <w:rFonts w:cs="Tahoma"/>
          <w:lang w:bidi="ar-SA"/>
        </w:rPr>
        <w:t>Odpovědnost prodávajícího za vady, na něž se vztahuje záruka za jakost, a tím i povinnost odstranit bezplatně vady, které se vyskytly v záruční době, nevzniká, jestliže tyto vady byly způsobeny po přechodu nebezpečí škody na zboží vnějšími událostmi a nezpůsobil je prodávající nebo osoby, s jejichž pomocí prodávající plnil svůj závazek.</w:t>
      </w:r>
    </w:p>
    <w:p w:rsidR="00510FAC" w:rsidRPr="00510FAC" w:rsidRDefault="00510FAC" w:rsidP="008E059A">
      <w:pPr>
        <w:jc w:val="both"/>
        <w:rPr>
          <w:rFonts w:cs="Tahoma"/>
          <w:lang w:bidi="ar-SA"/>
        </w:rPr>
      </w:pPr>
    </w:p>
    <w:p w:rsidR="00510FAC" w:rsidRPr="00510FAC" w:rsidRDefault="00510FAC" w:rsidP="008E059A">
      <w:pPr>
        <w:jc w:val="both"/>
        <w:rPr>
          <w:rFonts w:cs="Tahoma"/>
          <w:lang w:bidi="ar-SA"/>
        </w:rPr>
      </w:pPr>
    </w:p>
    <w:p w:rsidR="00510FAC" w:rsidRPr="00510FAC" w:rsidRDefault="00510FAC" w:rsidP="008E059A">
      <w:pPr>
        <w:pStyle w:val="Odstavecseseznamem"/>
        <w:numPr>
          <w:ilvl w:val="0"/>
          <w:numId w:val="16"/>
        </w:numPr>
        <w:jc w:val="both"/>
        <w:rPr>
          <w:rFonts w:cs="Tahoma"/>
          <w:b/>
          <w:bCs/>
          <w:sz w:val="22"/>
          <w:szCs w:val="22"/>
          <w:lang w:bidi="ar-SA"/>
        </w:rPr>
      </w:pPr>
      <w:r w:rsidRPr="00510FAC">
        <w:rPr>
          <w:rFonts w:cs="Tahoma"/>
          <w:b/>
          <w:bCs/>
          <w:sz w:val="22"/>
          <w:szCs w:val="22"/>
          <w:lang w:bidi="ar-SA"/>
        </w:rPr>
        <w:t>Ukončení smluvního vztahu</w:t>
      </w:r>
    </w:p>
    <w:p w:rsidR="00510FAC" w:rsidRPr="00510FAC" w:rsidRDefault="00510FAC" w:rsidP="008E059A">
      <w:pPr>
        <w:jc w:val="both"/>
        <w:rPr>
          <w:rFonts w:cs="Tahoma"/>
          <w:lang w:bidi="ar-SA"/>
        </w:rPr>
      </w:pPr>
    </w:p>
    <w:p w:rsidR="00510FAC" w:rsidRPr="00510FAC" w:rsidRDefault="00510FAC" w:rsidP="008E059A">
      <w:pPr>
        <w:numPr>
          <w:ilvl w:val="0"/>
          <w:numId w:val="5"/>
        </w:numPr>
        <w:tabs>
          <w:tab w:val="num" w:pos="400"/>
        </w:tabs>
        <w:ind w:left="432" w:hanging="432"/>
        <w:jc w:val="both"/>
        <w:rPr>
          <w:rFonts w:cs="Tahoma"/>
          <w:lang w:eastAsia="cs-CZ" w:bidi="ar-SA"/>
        </w:rPr>
      </w:pPr>
      <w:r w:rsidRPr="00510FAC">
        <w:rPr>
          <w:rFonts w:cs="Tahoma"/>
          <w:lang w:eastAsia="cs-CZ" w:bidi="ar-SA"/>
        </w:rPr>
        <w:t>Tento smluvní vztah může být ukončen písemnou dohodou smluvních stran nebo písemným odstoupením od této smlouvy jednou smluvní stranou v případě, že dojde k podstatnému porušení této smlouvy druhou smluvní stranou.</w:t>
      </w:r>
    </w:p>
    <w:p w:rsidR="00510FAC" w:rsidRPr="00510FAC" w:rsidRDefault="00510FAC" w:rsidP="008E059A">
      <w:pPr>
        <w:jc w:val="both"/>
        <w:rPr>
          <w:rFonts w:cs="Tahoma"/>
          <w:lang w:bidi="ar-SA"/>
        </w:rPr>
      </w:pPr>
    </w:p>
    <w:p w:rsidR="00510FAC" w:rsidRPr="00510FAC" w:rsidRDefault="00510FAC" w:rsidP="008E059A">
      <w:pPr>
        <w:numPr>
          <w:ilvl w:val="0"/>
          <w:numId w:val="5"/>
        </w:numPr>
        <w:tabs>
          <w:tab w:val="num" w:pos="400"/>
        </w:tabs>
        <w:ind w:left="432" w:hanging="432"/>
        <w:jc w:val="both"/>
        <w:rPr>
          <w:rFonts w:cs="Tahoma"/>
          <w:lang w:eastAsia="cs-CZ" w:bidi="ar-SA"/>
        </w:rPr>
      </w:pPr>
      <w:r w:rsidRPr="00510FAC">
        <w:rPr>
          <w:rFonts w:cs="Tahoma"/>
          <w:lang w:eastAsia="cs-CZ" w:bidi="ar-SA"/>
        </w:rPr>
        <w:t>Za podstatné porušení smlouvy se pro účely této smlouvy považuje:</w:t>
      </w:r>
    </w:p>
    <w:p w:rsidR="00510FAC" w:rsidRPr="00510FAC" w:rsidRDefault="00510FAC" w:rsidP="008E059A">
      <w:pPr>
        <w:numPr>
          <w:ilvl w:val="0"/>
          <w:numId w:val="6"/>
        </w:numPr>
        <w:tabs>
          <w:tab w:val="num" w:pos="1000"/>
        </w:tabs>
        <w:spacing w:before="120"/>
        <w:ind w:left="1000" w:hanging="600"/>
        <w:jc w:val="both"/>
        <w:rPr>
          <w:rFonts w:cs="Tahoma"/>
          <w:lang w:eastAsia="cs-CZ" w:bidi="ar-SA"/>
        </w:rPr>
      </w:pPr>
      <w:r w:rsidRPr="00510FAC">
        <w:rPr>
          <w:rFonts w:cs="Tahoma"/>
          <w:lang w:eastAsia="cs-CZ" w:bidi="ar-SA"/>
        </w:rPr>
        <w:t>jestliže prodávající nedodá předmět této smlouvy v takovém provedení, jak je uvedeno v této smlouvě, a toto pochybení nenapraví ani v dodatečné přiměřené lhůtě poskytnuté mu k tomu kupujícím,</w:t>
      </w:r>
    </w:p>
    <w:p w:rsidR="00510FAC" w:rsidRPr="00510FAC" w:rsidRDefault="00510FAC" w:rsidP="008E059A">
      <w:pPr>
        <w:numPr>
          <w:ilvl w:val="0"/>
          <w:numId w:val="6"/>
        </w:numPr>
        <w:tabs>
          <w:tab w:val="num" w:pos="1000"/>
        </w:tabs>
        <w:spacing w:before="120"/>
        <w:ind w:left="1000" w:hanging="600"/>
        <w:jc w:val="both"/>
        <w:rPr>
          <w:rFonts w:cs="Tahoma"/>
          <w:lang w:eastAsia="cs-CZ" w:bidi="ar-SA"/>
        </w:rPr>
      </w:pPr>
      <w:r w:rsidRPr="00510FAC">
        <w:rPr>
          <w:rFonts w:cs="Tahoma"/>
          <w:lang w:eastAsia="cs-CZ" w:bidi="ar-SA"/>
        </w:rPr>
        <w:t xml:space="preserve">výskyt vad předmětu smlouvy, které zcela znemožňují jeho užívání, </w:t>
      </w:r>
    </w:p>
    <w:p w:rsidR="00510FAC" w:rsidRPr="00510FAC" w:rsidRDefault="00510FAC" w:rsidP="008E059A">
      <w:pPr>
        <w:numPr>
          <w:ilvl w:val="0"/>
          <w:numId w:val="6"/>
        </w:numPr>
        <w:tabs>
          <w:tab w:val="num" w:pos="1000"/>
        </w:tabs>
        <w:spacing w:before="120"/>
        <w:ind w:left="1000" w:hanging="600"/>
        <w:jc w:val="both"/>
        <w:rPr>
          <w:rFonts w:cs="Tahoma"/>
          <w:lang w:eastAsia="cs-CZ" w:bidi="ar-SA"/>
        </w:rPr>
      </w:pPr>
      <w:r w:rsidRPr="00510FAC">
        <w:rPr>
          <w:rFonts w:cs="Tahoma"/>
          <w:lang w:eastAsia="cs-CZ" w:bidi="ar-SA"/>
        </w:rPr>
        <w:t xml:space="preserve">prodlení prodávajícího s dodáním a zprovozněním předmětu smlouvy o více </w:t>
      </w:r>
      <w:r w:rsidRPr="00D65062">
        <w:rPr>
          <w:rFonts w:cs="Tahoma"/>
          <w:lang w:eastAsia="cs-CZ" w:bidi="ar-SA"/>
        </w:rPr>
        <w:t>než 60 dnů,</w:t>
      </w:r>
    </w:p>
    <w:p w:rsidR="00510FAC" w:rsidRPr="00510FAC" w:rsidRDefault="00510FAC" w:rsidP="008E059A">
      <w:pPr>
        <w:numPr>
          <w:ilvl w:val="0"/>
          <w:numId w:val="6"/>
        </w:numPr>
        <w:tabs>
          <w:tab w:val="num" w:pos="1000"/>
        </w:tabs>
        <w:spacing w:before="120"/>
        <w:ind w:left="1000" w:hanging="600"/>
        <w:jc w:val="both"/>
        <w:rPr>
          <w:rFonts w:cs="Tahoma"/>
          <w:lang w:eastAsia="cs-CZ" w:bidi="ar-SA"/>
        </w:rPr>
      </w:pPr>
      <w:r w:rsidRPr="00510FAC">
        <w:rPr>
          <w:rFonts w:cs="Tahoma"/>
          <w:lang w:eastAsia="cs-CZ" w:bidi="ar-SA"/>
        </w:rPr>
        <w:t>neposkytnutí součinnosti kupujícím prodávajícímu k řádnému a včasnému splnění smlouvy a nesjednání nápravy ani v dodatečné přiměřené lhůtě poskytnuté mu k tomu prodávajícím,</w:t>
      </w:r>
    </w:p>
    <w:p w:rsidR="00510FAC" w:rsidRPr="00510FAC" w:rsidRDefault="00510FAC" w:rsidP="008E059A">
      <w:pPr>
        <w:numPr>
          <w:ilvl w:val="0"/>
          <w:numId w:val="6"/>
        </w:numPr>
        <w:tabs>
          <w:tab w:val="num" w:pos="1000"/>
        </w:tabs>
        <w:spacing w:before="120"/>
        <w:ind w:left="1000" w:hanging="600"/>
        <w:jc w:val="both"/>
        <w:rPr>
          <w:rFonts w:cs="Tahoma"/>
          <w:lang w:eastAsia="cs-CZ" w:bidi="ar-SA"/>
        </w:rPr>
      </w:pPr>
      <w:r w:rsidRPr="00510FAC">
        <w:rPr>
          <w:rFonts w:cs="Tahoma"/>
          <w:lang w:eastAsia="cs-CZ" w:bidi="ar-SA"/>
        </w:rPr>
        <w:t xml:space="preserve">prodlení kupujícího s úhradou kupní ceny o více </w:t>
      </w:r>
      <w:r w:rsidRPr="00D65062">
        <w:rPr>
          <w:rFonts w:cs="Tahoma"/>
          <w:lang w:eastAsia="cs-CZ" w:bidi="ar-SA"/>
        </w:rPr>
        <w:t>než 60 dnů,</w:t>
      </w:r>
    </w:p>
    <w:p w:rsidR="00510FAC" w:rsidRPr="00510FAC" w:rsidRDefault="00510FAC" w:rsidP="008E059A">
      <w:pPr>
        <w:jc w:val="both"/>
        <w:rPr>
          <w:rFonts w:cs="Tahoma"/>
          <w:lang w:bidi="ar-SA"/>
        </w:rPr>
      </w:pPr>
    </w:p>
    <w:p w:rsidR="00510FAC" w:rsidRPr="00510FAC" w:rsidRDefault="00510FAC" w:rsidP="008E059A">
      <w:pPr>
        <w:numPr>
          <w:ilvl w:val="0"/>
          <w:numId w:val="5"/>
        </w:numPr>
        <w:tabs>
          <w:tab w:val="num" w:pos="400"/>
        </w:tabs>
        <w:ind w:left="400" w:hanging="400"/>
        <w:jc w:val="both"/>
        <w:rPr>
          <w:rFonts w:cs="Tahoma"/>
          <w:lang w:eastAsia="cs-CZ" w:bidi="ar-SA"/>
        </w:rPr>
      </w:pPr>
      <w:r w:rsidRPr="00510FAC">
        <w:rPr>
          <w:rFonts w:cs="Tahoma"/>
          <w:lang w:eastAsia="cs-CZ" w:bidi="ar-SA"/>
        </w:rPr>
        <w:t>V písemném odstoupení od smlouvy musí odstupující smluvní strana uvést, v čem spatřuje důvod odstoupení od smlouvy, popřípadě připojit k tomuto úkonu doklady prokazující tvrzené důvody. Dojde-li k odstoupení od smlouvy, má odstupující smluvní strana právo na náhradu nákladů, které účelně vynaložila v souvislosti s uzavřením a plněním této smlouvy do doby odstoupení od ní. Odstoupením od smlouvy se tato smlouva ruší od počátku.</w:t>
      </w:r>
    </w:p>
    <w:p w:rsidR="00510FAC" w:rsidRPr="00510FAC" w:rsidRDefault="00510FAC" w:rsidP="008E059A">
      <w:pPr>
        <w:jc w:val="both"/>
        <w:rPr>
          <w:rFonts w:cs="Tahoma"/>
          <w:lang w:bidi="ar-SA"/>
        </w:rPr>
      </w:pPr>
    </w:p>
    <w:p w:rsidR="00510FAC" w:rsidRPr="00510FAC" w:rsidRDefault="00510FAC" w:rsidP="008E059A">
      <w:pPr>
        <w:numPr>
          <w:ilvl w:val="0"/>
          <w:numId w:val="5"/>
        </w:numPr>
        <w:tabs>
          <w:tab w:val="num" w:pos="400"/>
        </w:tabs>
        <w:ind w:left="400" w:hanging="400"/>
        <w:jc w:val="both"/>
        <w:rPr>
          <w:rFonts w:cs="Tahoma"/>
          <w:lang w:eastAsia="cs-CZ" w:bidi="ar-SA"/>
        </w:rPr>
      </w:pPr>
      <w:r w:rsidRPr="00510FAC">
        <w:rPr>
          <w:rFonts w:cs="Tahoma"/>
          <w:lang w:eastAsia="cs-CZ" w:bidi="ar-SA"/>
        </w:rPr>
        <w:t>Odstoupením od smlouvy není dotčeno právo odstupující smluvní strany na smluvní pokutu, na níž jí vznikl nárok před ukončením smlouvy, a na náhradu škody vzniklé jí v důsledku odstoupení od smlouvy.</w:t>
      </w:r>
    </w:p>
    <w:p w:rsidR="00510FAC" w:rsidRPr="00510FAC" w:rsidRDefault="00510FAC" w:rsidP="008E059A">
      <w:pPr>
        <w:jc w:val="both"/>
        <w:rPr>
          <w:rFonts w:cs="Tahoma"/>
          <w:lang w:bidi="ar-SA"/>
        </w:rPr>
      </w:pPr>
    </w:p>
    <w:p w:rsidR="00510FAC" w:rsidRPr="00510FAC" w:rsidRDefault="00510FAC" w:rsidP="008E059A">
      <w:pPr>
        <w:jc w:val="both"/>
        <w:rPr>
          <w:rFonts w:cs="Tahoma"/>
          <w:lang w:bidi="ar-SA"/>
        </w:rPr>
      </w:pPr>
    </w:p>
    <w:p w:rsidR="00510FAC" w:rsidRPr="00510FAC" w:rsidRDefault="00510FAC" w:rsidP="008E059A">
      <w:pPr>
        <w:pStyle w:val="Odstavecseseznamem"/>
        <w:numPr>
          <w:ilvl w:val="0"/>
          <w:numId w:val="16"/>
        </w:numPr>
        <w:jc w:val="both"/>
        <w:rPr>
          <w:rFonts w:cs="Tahoma"/>
          <w:b/>
          <w:bCs/>
          <w:sz w:val="22"/>
          <w:szCs w:val="22"/>
          <w:lang w:bidi="ar-SA"/>
        </w:rPr>
      </w:pPr>
      <w:r w:rsidRPr="00510FAC">
        <w:rPr>
          <w:rFonts w:cs="Tahoma"/>
          <w:b/>
          <w:bCs/>
          <w:sz w:val="22"/>
          <w:szCs w:val="22"/>
          <w:lang w:bidi="ar-SA"/>
        </w:rPr>
        <w:t>Smluvní pokuty</w:t>
      </w:r>
    </w:p>
    <w:p w:rsidR="00510FAC" w:rsidRPr="00510FAC" w:rsidRDefault="00510FAC" w:rsidP="008E059A">
      <w:pPr>
        <w:jc w:val="both"/>
        <w:rPr>
          <w:rFonts w:cs="Tahoma"/>
          <w:lang w:bidi="ar-SA"/>
        </w:rPr>
      </w:pPr>
    </w:p>
    <w:p w:rsidR="00510FAC" w:rsidRPr="00342858" w:rsidRDefault="00510FAC" w:rsidP="008E059A">
      <w:pPr>
        <w:numPr>
          <w:ilvl w:val="0"/>
          <w:numId w:val="7"/>
        </w:numPr>
        <w:tabs>
          <w:tab w:val="num" w:pos="400"/>
        </w:tabs>
        <w:ind w:left="400" w:hanging="400"/>
        <w:jc w:val="both"/>
        <w:rPr>
          <w:rFonts w:cs="Tahoma"/>
          <w:lang w:bidi="ar-SA"/>
        </w:rPr>
      </w:pPr>
      <w:r w:rsidRPr="00510FAC">
        <w:rPr>
          <w:rFonts w:cs="Tahoma"/>
          <w:lang w:bidi="ar-SA"/>
        </w:rPr>
        <w:t xml:space="preserve">V případě prodlení prodávajícího s dodáním předmětu smlouvy je kupující oprávněn požadovat po prodávajícím zaplacení smluvní pokuty ve </w:t>
      </w:r>
      <w:r w:rsidRPr="00342858">
        <w:rPr>
          <w:rFonts w:cs="Tahoma"/>
          <w:lang w:bidi="ar-SA"/>
        </w:rPr>
        <w:t>výši 0,01% z ceny části předmětu smlouvy, s jehož dodáním je prodávající v prodlení, za každý den prodlení.</w:t>
      </w:r>
    </w:p>
    <w:p w:rsidR="00510FAC" w:rsidRPr="00342858" w:rsidRDefault="00510FAC" w:rsidP="008E059A">
      <w:pPr>
        <w:jc w:val="both"/>
        <w:rPr>
          <w:rFonts w:cs="Tahoma"/>
          <w:lang w:bidi="ar-SA"/>
        </w:rPr>
      </w:pPr>
    </w:p>
    <w:p w:rsidR="00510FAC" w:rsidRPr="00342858" w:rsidRDefault="00510FAC" w:rsidP="008E059A">
      <w:pPr>
        <w:numPr>
          <w:ilvl w:val="0"/>
          <w:numId w:val="7"/>
        </w:numPr>
        <w:tabs>
          <w:tab w:val="num" w:pos="400"/>
        </w:tabs>
        <w:ind w:left="400" w:hanging="400"/>
        <w:jc w:val="both"/>
        <w:rPr>
          <w:rFonts w:cs="Tahoma"/>
          <w:lang w:bidi="ar-SA"/>
        </w:rPr>
      </w:pPr>
      <w:r w:rsidRPr="00342858">
        <w:rPr>
          <w:rFonts w:cs="Tahoma"/>
          <w:lang w:bidi="ar-SA"/>
        </w:rPr>
        <w:t>V případě prodlení kupujícího s úhradou kupní ceny či plněním jiného peněžitého závazku dle této smlouvy je prodávající oprávněn požadovat po kupujícím zaplacení smluvní pokuty ve výši 0,01% z dlužné částky za každý den prodlení.</w:t>
      </w:r>
    </w:p>
    <w:p w:rsidR="00510FAC" w:rsidRPr="00510FAC" w:rsidRDefault="00510FAC" w:rsidP="008E059A">
      <w:pPr>
        <w:jc w:val="both"/>
        <w:rPr>
          <w:rFonts w:cs="Tahoma"/>
          <w:lang w:bidi="ar-SA"/>
        </w:rPr>
      </w:pPr>
    </w:p>
    <w:p w:rsidR="00510FAC" w:rsidRPr="00510FAC" w:rsidRDefault="00510FAC" w:rsidP="008E059A">
      <w:pPr>
        <w:numPr>
          <w:ilvl w:val="0"/>
          <w:numId w:val="7"/>
        </w:numPr>
        <w:tabs>
          <w:tab w:val="num" w:pos="400"/>
        </w:tabs>
        <w:ind w:left="400" w:hanging="400"/>
        <w:jc w:val="both"/>
        <w:rPr>
          <w:rFonts w:cs="Tahoma"/>
          <w:lang w:bidi="ar-SA"/>
        </w:rPr>
      </w:pPr>
      <w:r w:rsidRPr="00510FAC">
        <w:rPr>
          <w:rFonts w:cs="Tahoma"/>
          <w:lang w:bidi="ar-SA"/>
        </w:rPr>
        <w:lastRenderedPageBreak/>
        <w:t>Smluvní pokuta musí být druhé smluvní straně písemně vyúčtována a vyúčtování jí musí být doručeno. Na vyúčtování musí být uvedena výše smluvní pokuty a její důvod. Splatnost vyúčtované smluvní pokuty je 14 dnů od doručení jejího vyúčtování.</w:t>
      </w:r>
    </w:p>
    <w:p w:rsidR="00510FAC" w:rsidRPr="00510FAC" w:rsidRDefault="00510FAC" w:rsidP="008E059A">
      <w:pPr>
        <w:jc w:val="both"/>
        <w:rPr>
          <w:rFonts w:cs="Tahoma"/>
          <w:lang w:bidi="ar-SA"/>
        </w:rPr>
      </w:pPr>
    </w:p>
    <w:p w:rsidR="00510FAC" w:rsidRPr="00510FAC" w:rsidRDefault="00510FAC" w:rsidP="008E059A">
      <w:pPr>
        <w:numPr>
          <w:ilvl w:val="0"/>
          <w:numId w:val="7"/>
        </w:numPr>
        <w:tabs>
          <w:tab w:val="num" w:pos="400"/>
        </w:tabs>
        <w:ind w:left="400" w:hanging="400"/>
        <w:jc w:val="both"/>
        <w:rPr>
          <w:rFonts w:cs="Tahoma"/>
          <w:lang w:bidi="ar-SA"/>
        </w:rPr>
      </w:pPr>
      <w:r w:rsidRPr="00510FAC">
        <w:rPr>
          <w:rFonts w:cs="Tahoma"/>
          <w:lang w:bidi="ar-SA"/>
        </w:rPr>
        <w:t>Každá ze smluvních stran souhlasí s tím, že její práva na smluvní pokuty dle této smlouvy a na náhradu škody vůči druhé smluvní straně jsou omezena souhrnnou částkou odpovídající výši kupní ceny bez DPH. Omezení práva na náhradu škody se však nevztahuje na případy, kdy ke vzniku škody došlo v důsledku úmyslu nebo hrubé nedbalosti druhé smluvní strany.</w:t>
      </w:r>
    </w:p>
    <w:p w:rsidR="00510FAC" w:rsidRPr="00510FAC" w:rsidRDefault="00510FAC" w:rsidP="008E059A">
      <w:pPr>
        <w:jc w:val="both"/>
        <w:rPr>
          <w:rFonts w:cs="Tahoma"/>
          <w:lang w:bidi="ar-SA"/>
        </w:rPr>
      </w:pPr>
    </w:p>
    <w:p w:rsidR="00510FAC" w:rsidRPr="00510FAC" w:rsidRDefault="00510FAC" w:rsidP="008E059A">
      <w:pPr>
        <w:jc w:val="both"/>
        <w:rPr>
          <w:rFonts w:cs="Tahoma"/>
          <w:lang w:bidi="ar-SA"/>
        </w:rPr>
      </w:pPr>
    </w:p>
    <w:p w:rsidR="00510FAC" w:rsidRPr="00510FAC" w:rsidRDefault="00510FAC" w:rsidP="008E059A">
      <w:pPr>
        <w:pStyle w:val="Odstavecseseznamem"/>
        <w:numPr>
          <w:ilvl w:val="0"/>
          <w:numId w:val="16"/>
        </w:numPr>
        <w:jc w:val="both"/>
        <w:rPr>
          <w:rFonts w:cs="Tahoma"/>
          <w:b/>
          <w:bCs/>
          <w:sz w:val="22"/>
          <w:szCs w:val="22"/>
          <w:lang w:bidi="ar-SA"/>
        </w:rPr>
      </w:pPr>
      <w:r w:rsidRPr="00510FAC">
        <w:rPr>
          <w:rFonts w:cs="Tahoma"/>
          <w:b/>
          <w:bCs/>
          <w:sz w:val="22"/>
          <w:szCs w:val="22"/>
          <w:lang w:bidi="ar-SA"/>
        </w:rPr>
        <w:t>Vlastnictví, nebezpečí škody</w:t>
      </w:r>
    </w:p>
    <w:p w:rsidR="00510FAC" w:rsidRPr="00510FAC" w:rsidRDefault="00510FAC" w:rsidP="008E059A">
      <w:pPr>
        <w:jc w:val="both"/>
        <w:rPr>
          <w:rFonts w:cs="Tahoma"/>
          <w:lang w:bidi="ar-SA"/>
        </w:rPr>
      </w:pPr>
    </w:p>
    <w:p w:rsidR="00510FAC" w:rsidRDefault="00510FAC" w:rsidP="008E059A">
      <w:pPr>
        <w:numPr>
          <w:ilvl w:val="0"/>
          <w:numId w:val="9"/>
        </w:numPr>
        <w:tabs>
          <w:tab w:val="num" w:pos="400"/>
        </w:tabs>
        <w:ind w:left="400" w:hanging="400"/>
        <w:jc w:val="both"/>
        <w:rPr>
          <w:rFonts w:cs="Tahoma"/>
          <w:lang w:bidi="ar-SA"/>
        </w:rPr>
      </w:pPr>
      <w:r w:rsidRPr="00342858">
        <w:rPr>
          <w:rFonts w:cs="Tahoma"/>
          <w:lang w:bidi="ar-SA"/>
        </w:rPr>
        <w:t xml:space="preserve">Smluvní strany se dohodly, že předmět smlouvy zůstává plným vlastnictvím prodávajícího až do úplného zaplacení kupní ceny kupujícím. </w:t>
      </w:r>
    </w:p>
    <w:p w:rsidR="00342858" w:rsidRPr="00342858" w:rsidRDefault="00342858" w:rsidP="009A07C6">
      <w:pPr>
        <w:ind w:left="400"/>
        <w:jc w:val="both"/>
        <w:rPr>
          <w:rFonts w:cs="Tahoma"/>
          <w:lang w:bidi="ar-SA"/>
        </w:rPr>
      </w:pPr>
    </w:p>
    <w:p w:rsidR="00510FAC" w:rsidRPr="00510FAC" w:rsidRDefault="00510FAC" w:rsidP="008E059A">
      <w:pPr>
        <w:numPr>
          <w:ilvl w:val="0"/>
          <w:numId w:val="9"/>
        </w:numPr>
        <w:tabs>
          <w:tab w:val="num" w:pos="400"/>
        </w:tabs>
        <w:ind w:left="400" w:hanging="400"/>
        <w:jc w:val="both"/>
        <w:rPr>
          <w:rFonts w:cs="Tahoma"/>
          <w:lang w:bidi="ar-SA"/>
        </w:rPr>
      </w:pPr>
      <w:r w:rsidRPr="00510FAC">
        <w:rPr>
          <w:rFonts w:cs="Tahoma"/>
          <w:lang w:bidi="ar-SA"/>
        </w:rPr>
        <w:t xml:space="preserve">Dojde-li k prodlení s úhradou kupní ceny o více </w:t>
      </w:r>
      <w:r w:rsidRPr="00342858">
        <w:rPr>
          <w:rFonts w:cs="Tahoma"/>
          <w:lang w:bidi="ar-SA"/>
        </w:rPr>
        <w:t>než 60</w:t>
      </w:r>
      <w:r w:rsidRPr="00510FAC">
        <w:rPr>
          <w:rFonts w:cs="Tahoma"/>
          <w:lang w:bidi="ar-SA"/>
        </w:rPr>
        <w:t xml:space="preserve"> dnů, potom má prodávající právo (bez újmy na kterýchkoli dalších právech) odstoupit od smlouvy a vzít si zpět řádně a včas nezaplacený předmět smlouvy a bude mít právo vstoupit do prostorů kupujícího, ve kterých se předmět smlouvy nachází, a to i bez souhlasu kupujícího. Prodávající je tedy oprávněn přímo se ujmout svého vlastnictví a kupující s tímto souhlasí.</w:t>
      </w:r>
    </w:p>
    <w:p w:rsidR="00510FAC" w:rsidRPr="00510FAC" w:rsidRDefault="00510FAC" w:rsidP="008E059A">
      <w:pPr>
        <w:jc w:val="both"/>
        <w:rPr>
          <w:rFonts w:cs="Tahoma"/>
          <w:lang w:bidi="ar-SA"/>
        </w:rPr>
      </w:pPr>
    </w:p>
    <w:p w:rsidR="00510FAC" w:rsidRPr="00510FAC" w:rsidRDefault="00510FAC" w:rsidP="008E059A">
      <w:pPr>
        <w:numPr>
          <w:ilvl w:val="0"/>
          <w:numId w:val="9"/>
        </w:numPr>
        <w:tabs>
          <w:tab w:val="num" w:pos="400"/>
        </w:tabs>
        <w:ind w:left="400" w:hanging="400"/>
        <w:jc w:val="both"/>
        <w:rPr>
          <w:rFonts w:cs="Tahoma"/>
          <w:lang w:bidi="ar-SA"/>
        </w:rPr>
      </w:pPr>
      <w:r w:rsidRPr="00510FAC">
        <w:rPr>
          <w:rFonts w:cs="Tahoma"/>
          <w:lang w:bidi="ar-SA"/>
        </w:rPr>
        <w:t>Uplatnění tohoto práva prodávajícím nemá vliv na jeho právo požadovat na kupujícím náhradu škody, která mu byla odstoupením od smlouvy způsobena, a ušlý zisk. Za účelem úhrady případné škody, způsobené takto prodávajícímu, má prodávající právo pozastavit část kupní ceny již uhrazené kupujícím a právo z této části kupní ceny se v rámci náhrady škody a ušlého zisku uspokojit.</w:t>
      </w:r>
    </w:p>
    <w:p w:rsidR="00510FAC" w:rsidRPr="00510FAC" w:rsidRDefault="00510FAC" w:rsidP="008E059A">
      <w:pPr>
        <w:jc w:val="both"/>
        <w:rPr>
          <w:rFonts w:cs="Tahoma"/>
          <w:lang w:bidi="ar-SA"/>
        </w:rPr>
      </w:pPr>
    </w:p>
    <w:p w:rsidR="00510FAC" w:rsidRPr="00510FAC" w:rsidRDefault="00510FAC" w:rsidP="008E059A">
      <w:pPr>
        <w:numPr>
          <w:ilvl w:val="0"/>
          <w:numId w:val="9"/>
        </w:numPr>
        <w:tabs>
          <w:tab w:val="num" w:pos="400"/>
        </w:tabs>
        <w:ind w:left="400" w:hanging="400"/>
        <w:jc w:val="both"/>
        <w:rPr>
          <w:rFonts w:cs="Tahoma"/>
          <w:lang w:bidi="ar-SA"/>
        </w:rPr>
      </w:pPr>
      <w:r w:rsidRPr="00510FAC">
        <w:rPr>
          <w:rFonts w:cs="Tahoma"/>
          <w:lang w:bidi="ar-SA"/>
        </w:rPr>
        <w:t>Nebezpečí vzniku škody na věci přechází na kupujícího v okamžiku, kdy mu jednotlivé části předmětu smlouvy budou předány v místě plnění a prodávající ztratí možnost vznik škody na předmětu smlouvy ovlivnit.</w:t>
      </w:r>
    </w:p>
    <w:p w:rsidR="00510FAC" w:rsidRPr="00510FAC" w:rsidRDefault="00510FAC" w:rsidP="008E059A">
      <w:pPr>
        <w:jc w:val="both"/>
        <w:rPr>
          <w:rFonts w:cs="Tahoma"/>
          <w:lang w:bidi="ar-SA"/>
        </w:rPr>
      </w:pPr>
    </w:p>
    <w:p w:rsidR="00510FAC" w:rsidRPr="00510FAC" w:rsidRDefault="00510FAC" w:rsidP="008E059A">
      <w:pPr>
        <w:jc w:val="both"/>
        <w:rPr>
          <w:rFonts w:cs="Tahoma"/>
          <w:lang w:bidi="ar-SA"/>
        </w:rPr>
      </w:pPr>
    </w:p>
    <w:p w:rsidR="00DE0D8F" w:rsidRPr="00DE0D8F" w:rsidRDefault="00DE0D8F" w:rsidP="00DE0D8F">
      <w:pPr>
        <w:pStyle w:val="Odstavecseseznamem"/>
        <w:numPr>
          <w:ilvl w:val="0"/>
          <w:numId w:val="16"/>
        </w:numPr>
        <w:jc w:val="both"/>
        <w:rPr>
          <w:rFonts w:cs="Tahoma"/>
          <w:b/>
          <w:bCs/>
          <w:sz w:val="22"/>
          <w:szCs w:val="22"/>
          <w:lang w:bidi="ar-SA"/>
        </w:rPr>
      </w:pPr>
      <w:r w:rsidRPr="00DE0D8F">
        <w:rPr>
          <w:rFonts w:cs="Tahoma"/>
          <w:b/>
          <w:bCs/>
          <w:sz w:val="22"/>
          <w:szCs w:val="22"/>
          <w:lang w:bidi="ar-SA"/>
        </w:rPr>
        <w:t>Ochrana informací</w:t>
      </w:r>
    </w:p>
    <w:p w:rsidR="00DE0D8F" w:rsidRPr="00B11DAD" w:rsidRDefault="00DE0D8F" w:rsidP="00DE0D8F">
      <w:pPr>
        <w:rPr>
          <w:rFonts w:ascii="Arial" w:hAnsi="Arial" w:cs="Arial"/>
        </w:rPr>
      </w:pPr>
    </w:p>
    <w:p w:rsidR="00DE0D8F" w:rsidRPr="00B11DAD" w:rsidRDefault="00DE0D8F" w:rsidP="00DE0D8F">
      <w:pPr>
        <w:numPr>
          <w:ilvl w:val="0"/>
          <w:numId w:val="17"/>
        </w:numPr>
        <w:tabs>
          <w:tab w:val="num" w:pos="366"/>
          <w:tab w:val="num" w:pos="1065"/>
        </w:tabs>
        <w:ind w:left="341"/>
        <w:jc w:val="both"/>
        <w:rPr>
          <w:rFonts w:ascii="Arial" w:hAnsi="Arial" w:cs="Arial"/>
        </w:rPr>
      </w:pPr>
      <w:r w:rsidRPr="00B11DAD">
        <w:rPr>
          <w:rFonts w:ascii="Arial" w:hAnsi="Arial" w:cs="Arial"/>
          <w:lang w:bidi="ar-SA"/>
        </w:rPr>
        <w:t>Smluvní strany jsou povinny zajistit utajení získaných důvěrných informací způsobem obvyklým pro utajování takových informací, není-li výslovně sjednáno jinak. Tato povinnost platí bez ohledu na ukončení účinnosti této smlouvy. Smluvní strany mají právo požadovat navzájem doložení dostatečnosti utajení důvěrných informací. Smluvní strany jsou povinny zajistit utajení důvěrných informací i u svých zaměstnanců, zástupců, jakož i jiných spolupracujících třetích stran, pokud jim takové informace byly poskytnuty. Za porušení povinnosti ochrany informací těmito osobami odpovídá příslušná smluvní strana tak, jako by povinnost porušila sama.</w:t>
      </w:r>
    </w:p>
    <w:p w:rsidR="00DE0D8F" w:rsidRPr="00B11DAD" w:rsidRDefault="00DE0D8F" w:rsidP="00DE0D8F">
      <w:pPr>
        <w:pStyle w:val="Zkladntextodsazen"/>
        <w:tabs>
          <w:tab w:val="num" w:pos="400"/>
        </w:tabs>
        <w:spacing w:after="0"/>
        <w:ind w:left="341" w:hanging="400"/>
        <w:rPr>
          <w:rFonts w:cs="Arial"/>
          <w:szCs w:val="22"/>
        </w:rPr>
      </w:pPr>
    </w:p>
    <w:p w:rsidR="00DE0D8F" w:rsidRPr="00B11DAD" w:rsidRDefault="00DE0D8F" w:rsidP="00DE0D8F">
      <w:pPr>
        <w:numPr>
          <w:ilvl w:val="0"/>
          <w:numId w:val="17"/>
        </w:numPr>
        <w:tabs>
          <w:tab w:val="num" w:pos="705"/>
          <w:tab w:val="num" w:pos="1065"/>
        </w:tabs>
        <w:ind w:left="341"/>
        <w:jc w:val="both"/>
        <w:rPr>
          <w:rFonts w:ascii="Arial" w:hAnsi="Arial" w:cs="Arial"/>
        </w:rPr>
      </w:pPr>
      <w:r w:rsidRPr="00B11DAD">
        <w:rPr>
          <w:rFonts w:ascii="Arial" w:hAnsi="Arial" w:cs="Arial"/>
          <w:lang w:bidi="ar-SA"/>
        </w:rPr>
        <w:t>Právo užívat, poskytovat a zpřístupnit důvěrné informace mají obě smluvní strany pouze v rozsahu a za podmínek nezbytných pro řádné plnění práv a povinností vyplývajících z této smlouvy.</w:t>
      </w:r>
    </w:p>
    <w:p w:rsidR="00DE0D8F" w:rsidRPr="00B11DAD" w:rsidRDefault="00DE0D8F" w:rsidP="00DE0D8F">
      <w:pPr>
        <w:tabs>
          <w:tab w:val="num" w:pos="1065"/>
        </w:tabs>
        <w:ind w:left="341"/>
        <w:jc w:val="both"/>
        <w:rPr>
          <w:rFonts w:ascii="Arial" w:hAnsi="Arial" w:cs="Arial"/>
        </w:rPr>
      </w:pPr>
    </w:p>
    <w:p w:rsidR="00DE0D8F" w:rsidRPr="00B11DAD" w:rsidRDefault="00DE0D8F" w:rsidP="00DE0D8F">
      <w:pPr>
        <w:numPr>
          <w:ilvl w:val="0"/>
          <w:numId w:val="17"/>
        </w:numPr>
        <w:tabs>
          <w:tab w:val="num" w:pos="705"/>
          <w:tab w:val="num" w:pos="1065"/>
        </w:tabs>
        <w:ind w:left="341"/>
        <w:jc w:val="both"/>
        <w:rPr>
          <w:rFonts w:ascii="Arial" w:hAnsi="Arial" w:cs="Arial"/>
        </w:rPr>
      </w:pPr>
      <w:r w:rsidRPr="00B11DAD">
        <w:rPr>
          <w:rFonts w:ascii="Arial" w:hAnsi="Arial" w:cs="Arial"/>
          <w:lang w:bidi="ar-SA"/>
        </w:rPr>
        <w:t>Za důvěrné informace se bez ohledu na formu jejich zachycení považují veškeré informace, které nebyly některou ze smluvních stran označeny jako veřejné a které se týkají této smlouvy a jejího plnění (zejména informace o právech a povinnostech smluvních stran, jakož i informace o cenách) a dále informace, které se týkají některé ze smluvních stran (zejména obchodní tajemství, informace o jejich činnosti, struktuře, hospodářských výsledcích, know-how) anebo informace, pro nakládání s nimiž je stanoven právními předpisy zvláštní režim utajení. Dále se považují za důvěrné informace takové informace, které jsou jako důvěrné výslovně některou ze smluvních stran označeny.</w:t>
      </w:r>
    </w:p>
    <w:p w:rsidR="00DE0D8F" w:rsidRPr="00B11DAD" w:rsidRDefault="00DE0D8F" w:rsidP="00DE0D8F">
      <w:pPr>
        <w:tabs>
          <w:tab w:val="num" w:pos="1065"/>
        </w:tabs>
        <w:ind w:left="341"/>
        <w:jc w:val="both"/>
        <w:rPr>
          <w:rFonts w:ascii="Arial" w:hAnsi="Arial" w:cs="Arial"/>
        </w:rPr>
      </w:pPr>
    </w:p>
    <w:p w:rsidR="00DE0D8F" w:rsidRPr="00B11DAD" w:rsidRDefault="00DE0D8F" w:rsidP="00DE0D8F">
      <w:pPr>
        <w:numPr>
          <w:ilvl w:val="0"/>
          <w:numId w:val="17"/>
        </w:numPr>
        <w:tabs>
          <w:tab w:val="num" w:pos="705"/>
          <w:tab w:val="num" w:pos="1065"/>
        </w:tabs>
        <w:ind w:left="341"/>
        <w:jc w:val="both"/>
        <w:rPr>
          <w:rFonts w:ascii="Arial" w:hAnsi="Arial" w:cs="Arial"/>
        </w:rPr>
      </w:pPr>
      <w:r w:rsidRPr="00B11DAD">
        <w:rPr>
          <w:rFonts w:ascii="Arial" w:hAnsi="Arial" w:cs="Arial"/>
          <w:lang w:bidi="ar-SA"/>
        </w:rPr>
        <w:t xml:space="preserve">Za důvěrné informace se v žádném případě nepovažují informace, které se staly veřejně přístupnými, pokud se tak nestalo porušením povinnosti jejich ochrany, dále informace získané na základě postupu nezávislého na této smlouvě nebo druhé smluvní straně, pokud je smluvní strana, která informace získala, schopna tuto skutečnost doložit, a konečně informace poskytnuté </w:t>
      </w:r>
      <w:r w:rsidRPr="00B11DAD">
        <w:rPr>
          <w:rFonts w:ascii="Arial" w:hAnsi="Arial" w:cs="Arial"/>
          <w:lang w:bidi="ar-SA"/>
        </w:rPr>
        <w:lastRenderedPageBreak/>
        <w:t>smluvní straně třetí osobou, která takové informace nezískala porušením povinnosti jejich ochrany.</w:t>
      </w:r>
    </w:p>
    <w:p w:rsidR="00DE0D8F" w:rsidRPr="00B11DAD" w:rsidRDefault="00DE0D8F" w:rsidP="00DE0D8F">
      <w:pPr>
        <w:tabs>
          <w:tab w:val="num" w:pos="1065"/>
        </w:tabs>
        <w:ind w:left="341"/>
        <w:jc w:val="both"/>
        <w:rPr>
          <w:rFonts w:ascii="Arial" w:hAnsi="Arial" w:cs="Arial"/>
        </w:rPr>
      </w:pPr>
    </w:p>
    <w:p w:rsidR="00DE0D8F" w:rsidRPr="00B11DAD" w:rsidRDefault="00DE0D8F" w:rsidP="00DE0D8F">
      <w:pPr>
        <w:numPr>
          <w:ilvl w:val="0"/>
          <w:numId w:val="17"/>
        </w:numPr>
        <w:tabs>
          <w:tab w:val="num" w:pos="705"/>
          <w:tab w:val="num" w:pos="1065"/>
        </w:tabs>
        <w:ind w:left="341"/>
        <w:jc w:val="both"/>
        <w:rPr>
          <w:rFonts w:ascii="Arial" w:hAnsi="Arial" w:cs="Arial"/>
        </w:rPr>
      </w:pPr>
      <w:r w:rsidRPr="00B11DAD">
        <w:rPr>
          <w:rFonts w:ascii="Arial" w:hAnsi="Arial" w:cs="Arial"/>
          <w:lang w:bidi="ar-SA"/>
        </w:rPr>
        <w:t>Žádné ustanovení této smlouvy přitom nebrání nebo neomezuje zhotovitele ve zveřejnění nebo obchodním využití jakékoliv technické znalosti, dovednosti nebo zkušenosti obecné povahy, kterou získal při plnění této smlouvy.</w:t>
      </w:r>
    </w:p>
    <w:p w:rsidR="00DE0D8F" w:rsidRPr="00B11DAD" w:rsidRDefault="00DE0D8F" w:rsidP="00DE0D8F">
      <w:pPr>
        <w:tabs>
          <w:tab w:val="num" w:pos="1065"/>
        </w:tabs>
        <w:ind w:left="341"/>
        <w:jc w:val="both"/>
        <w:rPr>
          <w:rFonts w:ascii="Arial" w:hAnsi="Arial" w:cs="Arial"/>
        </w:rPr>
      </w:pPr>
    </w:p>
    <w:p w:rsidR="00DE0D8F" w:rsidRPr="00B11DAD" w:rsidRDefault="00DE0D8F" w:rsidP="00DE0D8F">
      <w:pPr>
        <w:numPr>
          <w:ilvl w:val="0"/>
          <w:numId w:val="17"/>
        </w:numPr>
        <w:tabs>
          <w:tab w:val="num" w:pos="705"/>
          <w:tab w:val="num" w:pos="1065"/>
        </w:tabs>
        <w:ind w:left="341"/>
        <w:jc w:val="both"/>
        <w:rPr>
          <w:rFonts w:ascii="Arial" w:hAnsi="Arial" w:cs="Arial"/>
        </w:rPr>
      </w:pPr>
      <w:r w:rsidRPr="00B11DAD">
        <w:rPr>
          <w:rFonts w:ascii="Arial" w:hAnsi="Arial" w:cs="Arial"/>
          <w:lang w:bidi="ar-SA"/>
        </w:rPr>
        <w:t>Povinnost ochrany informací se nevztahuje na informace, jejichž sdělení je požadováno v souladu se zákonem soudy či příslušnými orgány veřejné správy. Povinnost ochrany informací se dále nevztahuje na předávání a sdílení informací ve skupině společností zhotovitele (Proact IT Group) a ve vztahu k informacím, které jsou zhotovitel nebo kterákoliv jiná společnost se skupiny Proact IT Group povinni zveřejnit v souvislosti s kotací Proact IT Group na burze Nasdaq OMX Nordic ve Stockholmu, příp. na jiných veřejných trzích.</w:t>
      </w:r>
    </w:p>
    <w:p w:rsidR="00DE0D8F" w:rsidRPr="00B11DAD" w:rsidRDefault="00DE0D8F" w:rsidP="00DE0D8F">
      <w:pPr>
        <w:tabs>
          <w:tab w:val="num" w:pos="1065"/>
        </w:tabs>
        <w:ind w:left="341"/>
        <w:jc w:val="both"/>
        <w:rPr>
          <w:rFonts w:ascii="Arial" w:hAnsi="Arial" w:cs="Arial"/>
        </w:rPr>
      </w:pPr>
    </w:p>
    <w:p w:rsidR="00DE0D8F" w:rsidRPr="00B11DAD" w:rsidRDefault="00DE0D8F" w:rsidP="00DE0D8F">
      <w:pPr>
        <w:numPr>
          <w:ilvl w:val="0"/>
          <w:numId w:val="17"/>
        </w:numPr>
        <w:tabs>
          <w:tab w:val="num" w:pos="705"/>
          <w:tab w:val="num" w:pos="1065"/>
        </w:tabs>
        <w:ind w:left="341"/>
        <w:jc w:val="both"/>
        <w:rPr>
          <w:rFonts w:ascii="Arial" w:hAnsi="Arial" w:cs="Arial"/>
        </w:rPr>
      </w:pPr>
      <w:r w:rsidRPr="00B11DAD">
        <w:rPr>
          <w:rFonts w:ascii="Arial" w:hAnsi="Arial" w:cs="Arial"/>
          <w:lang w:bidi="ar-SA"/>
        </w:rPr>
        <w:t>Povinnost mlčenlivosti trvá po dobu trvání této smlouvy a po dobu nejméně 3 let po skončení účinnosti této smlouvy.</w:t>
      </w:r>
    </w:p>
    <w:p w:rsidR="00DE0D8F" w:rsidRPr="00B11DAD" w:rsidRDefault="00DE0D8F" w:rsidP="00DE0D8F">
      <w:pPr>
        <w:ind w:left="1065"/>
        <w:jc w:val="both"/>
        <w:rPr>
          <w:rFonts w:ascii="Arial" w:hAnsi="Arial" w:cs="Arial"/>
          <w:lang w:bidi="ar-SA"/>
        </w:rPr>
      </w:pPr>
    </w:p>
    <w:p w:rsidR="00DE0D8F" w:rsidRPr="00B11DAD" w:rsidRDefault="00DE0D8F" w:rsidP="00DE0D8F">
      <w:pPr>
        <w:rPr>
          <w:rFonts w:ascii="Arial" w:hAnsi="Arial" w:cs="Arial"/>
          <w:lang w:bidi="ar-SA"/>
        </w:rPr>
      </w:pPr>
    </w:p>
    <w:p w:rsidR="00DE0D8F" w:rsidRPr="0040162F" w:rsidRDefault="00DE0D8F" w:rsidP="0040162F">
      <w:pPr>
        <w:pStyle w:val="Odstavecseseznamem"/>
        <w:numPr>
          <w:ilvl w:val="0"/>
          <w:numId w:val="16"/>
        </w:numPr>
        <w:jc w:val="both"/>
        <w:rPr>
          <w:rFonts w:cs="Tahoma"/>
          <w:b/>
          <w:bCs/>
          <w:sz w:val="22"/>
          <w:szCs w:val="22"/>
          <w:lang w:bidi="ar-SA"/>
        </w:rPr>
      </w:pPr>
      <w:r w:rsidRPr="0040162F">
        <w:rPr>
          <w:rFonts w:cs="Tahoma"/>
          <w:b/>
          <w:bCs/>
          <w:sz w:val="22"/>
          <w:szCs w:val="22"/>
          <w:lang w:bidi="ar-SA"/>
        </w:rPr>
        <w:t>Ostatní ujednání</w:t>
      </w:r>
    </w:p>
    <w:p w:rsidR="00DE0D8F" w:rsidRPr="00B11DAD" w:rsidRDefault="00DE0D8F" w:rsidP="00DE0D8F">
      <w:pPr>
        <w:rPr>
          <w:rFonts w:ascii="Arial" w:hAnsi="Arial" w:cs="Arial"/>
          <w:lang w:bidi="ar-SA"/>
        </w:rPr>
      </w:pPr>
    </w:p>
    <w:p w:rsidR="00DE0D8F" w:rsidRPr="00B11DAD" w:rsidRDefault="00DE0D8F" w:rsidP="00DE0D8F">
      <w:pPr>
        <w:numPr>
          <w:ilvl w:val="0"/>
          <w:numId w:val="13"/>
        </w:numPr>
        <w:jc w:val="both"/>
        <w:rPr>
          <w:rFonts w:ascii="Arial" w:hAnsi="Arial" w:cs="Arial"/>
          <w:lang w:bidi="ar-SA"/>
        </w:rPr>
      </w:pPr>
      <w:r w:rsidRPr="00B11DAD">
        <w:rPr>
          <w:rFonts w:ascii="Arial" w:hAnsi="Arial" w:cs="Arial"/>
          <w:lang w:bidi="ar-SA"/>
        </w:rPr>
        <w:t>Prodávající zaručuje, že na dodaném předmětu smlouvy neváznou práva třetích osob bránící uzavření této smlouvy a řádnému užívání předmětu smlouvy kupujícím, zejména práva vyplývající z průmyslového vlastnictví.</w:t>
      </w:r>
    </w:p>
    <w:p w:rsidR="00DE0D8F" w:rsidRPr="00B11DAD" w:rsidRDefault="00DE0D8F" w:rsidP="00DE0D8F">
      <w:pPr>
        <w:jc w:val="both"/>
        <w:rPr>
          <w:rFonts w:ascii="Arial" w:hAnsi="Arial" w:cs="Arial"/>
          <w:lang w:bidi="ar-SA"/>
        </w:rPr>
      </w:pPr>
    </w:p>
    <w:p w:rsidR="00DE0D8F" w:rsidRPr="00B11DAD" w:rsidRDefault="00DE0D8F" w:rsidP="00DE0D8F">
      <w:pPr>
        <w:numPr>
          <w:ilvl w:val="0"/>
          <w:numId w:val="13"/>
        </w:numPr>
        <w:jc w:val="both"/>
        <w:rPr>
          <w:rFonts w:ascii="Arial" w:hAnsi="Arial" w:cs="Arial"/>
          <w:lang w:bidi="ar-SA"/>
        </w:rPr>
      </w:pPr>
      <w:r w:rsidRPr="00B11DAD">
        <w:rPr>
          <w:rFonts w:ascii="Arial" w:hAnsi="Arial" w:cs="Arial"/>
          <w:lang w:bidi="ar-SA"/>
        </w:rPr>
        <w:t>Pokud se v průběhu plnění této smlouvy zjistí skutečnost, o níž prodávající nevěděl a vědět nemohl, která ztíží nebo znemožní splnění předmětu smlouvy ve sjednaném rozsahu, čase nebo ceně, sdělí ji prodávající neprodleně kupujícímu a projedná s ním další postup. Bude-li mít tato skutečnost vliv na termín plnění nebo cenu předmětu smlouvy, budou případné změny po vzájemném projednání provedeny formou dodatku k této smlouvě. Smluvní strany se zavazují takový dodatek bez zbytečného odkladu uzavřít, jinak odpovídají druhé smluvní straně za škodu, která jí z tohoto důvodu vznikne.</w:t>
      </w:r>
    </w:p>
    <w:p w:rsidR="00DE0D8F" w:rsidRPr="00B11DAD" w:rsidRDefault="00DE0D8F" w:rsidP="00DE0D8F">
      <w:pPr>
        <w:jc w:val="both"/>
        <w:rPr>
          <w:rFonts w:ascii="Arial" w:hAnsi="Arial" w:cs="Arial"/>
          <w:lang w:bidi="ar-SA"/>
        </w:rPr>
      </w:pPr>
    </w:p>
    <w:p w:rsidR="00DE0D8F" w:rsidRPr="00B11DAD" w:rsidRDefault="00DE0D8F" w:rsidP="00DE0D8F">
      <w:pPr>
        <w:numPr>
          <w:ilvl w:val="0"/>
          <w:numId w:val="13"/>
        </w:numPr>
        <w:jc w:val="both"/>
        <w:rPr>
          <w:rFonts w:ascii="Arial" w:hAnsi="Arial" w:cs="Arial"/>
          <w:lang w:bidi="ar-SA"/>
        </w:rPr>
      </w:pPr>
      <w:r w:rsidRPr="00B11DAD">
        <w:rPr>
          <w:rFonts w:ascii="Arial" w:hAnsi="Arial" w:cs="Arial"/>
          <w:lang w:bidi="ar-SA"/>
        </w:rPr>
        <w:t>Všechny informace sdělené druhé smluvní straně a jejím zaměstnancům nebo informace přístupné v souvislosti s uzavřením a realizací této smlouvy musí být podle této smlouvy drženy v tajnosti. Tato povinnost trvá i po ukončení smlouvy. Povinnost mlčenlivosti se nevztahuje na informace obecně známé nebo v obchodních kruzích běžně dostupné a dále na informace, které měla strana, jíž byla informace sdělena druhou smluvní stranou, ve svém držení již před tímto sdělením bez porušení závazku mlčenlivosti. Kupující je oprávněn uveřejnit tuto smlouvu, ukládá-li mu takovou povinnost zákon.</w:t>
      </w:r>
    </w:p>
    <w:p w:rsidR="00DE0D8F" w:rsidRPr="00B11DAD" w:rsidRDefault="00DE0D8F" w:rsidP="00DE0D8F">
      <w:pPr>
        <w:pStyle w:val="Odstavecseseznamem"/>
        <w:rPr>
          <w:rFonts w:ascii="Arial" w:hAnsi="Arial" w:cs="Arial"/>
          <w:lang w:bidi="ar-SA"/>
        </w:rPr>
      </w:pPr>
    </w:p>
    <w:p w:rsidR="00DE0D8F" w:rsidRPr="00B11DAD" w:rsidRDefault="00DE0D8F" w:rsidP="00DE0D8F">
      <w:pPr>
        <w:numPr>
          <w:ilvl w:val="0"/>
          <w:numId w:val="13"/>
        </w:numPr>
        <w:jc w:val="both"/>
        <w:rPr>
          <w:rFonts w:ascii="Arial" w:hAnsi="Arial" w:cs="Arial"/>
          <w:lang w:bidi="ar-SA"/>
        </w:rPr>
      </w:pPr>
      <w:r w:rsidRPr="00B11DAD">
        <w:rPr>
          <w:rFonts w:ascii="Arial" w:hAnsi="Arial" w:cs="Arial"/>
          <w:lang w:bidi="ar-SA"/>
        </w:rPr>
        <w:t>Započtení vzájemných pohledávek prodávajícího a kupujícího je možné jen na základě dohody obou smluvních stran.</w:t>
      </w:r>
    </w:p>
    <w:p w:rsidR="00DE0D8F" w:rsidRPr="00B11DAD" w:rsidRDefault="00DE0D8F" w:rsidP="00DE0D8F">
      <w:pPr>
        <w:jc w:val="both"/>
        <w:rPr>
          <w:rFonts w:ascii="Arial" w:hAnsi="Arial" w:cs="Arial"/>
          <w:lang w:bidi="ar-SA"/>
        </w:rPr>
      </w:pPr>
    </w:p>
    <w:p w:rsidR="00DE0D8F" w:rsidRPr="00B11DAD" w:rsidRDefault="00DE0D8F" w:rsidP="00DE0D8F">
      <w:pPr>
        <w:numPr>
          <w:ilvl w:val="0"/>
          <w:numId w:val="13"/>
        </w:numPr>
        <w:jc w:val="both"/>
        <w:rPr>
          <w:rFonts w:ascii="Arial" w:hAnsi="Arial" w:cs="Arial"/>
          <w:lang w:bidi="ar-SA"/>
        </w:rPr>
      </w:pPr>
      <w:r w:rsidRPr="00B11DAD">
        <w:rPr>
          <w:rFonts w:ascii="Arial" w:hAnsi="Arial" w:cs="Arial"/>
          <w:lang w:bidi="ar-SA"/>
        </w:rPr>
        <w:t xml:space="preserve">Smluvní strany se dohodly, že na právní vztahy mezi prodávajícím a kupujícím se nepoužijí ustanovení: </w:t>
      </w:r>
    </w:p>
    <w:p w:rsidR="00DE0D8F" w:rsidRPr="00B11DAD" w:rsidRDefault="00DE0D8F" w:rsidP="00DE0D8F">
      <w:pPr>
        <w:numPr>
          <w:ilvl w:val="1"/>
          <w:numId w:val="13"/>
        </w:numPr>
        <w:jc w:val="both"/>
        <w:rPr>
          <w:rFonts w:ascii="Arial" w:hAnsi="Arial" w:cs="Arial"/>
          <w:lang w:bidi="ar-SA"/>
        </w:rPr>
      </w:pPr>
      <w:r w:rsidRPr="00B11DAD">
        <w:rPr>
          <w:rFonts w:ascii="Arial" w:hAnsi="Arial" w:cs="Arial"/>
          <w:lang w:bidi="ar-SA"/>
        </w:rPr>
        <w:t>o přijetí nabídky s dodatkem nebo odchylkou dle § 1740 odst. 3 občanského zákoníku,</w:t>
      </w:r>
    </w:p>
    <w:p w:rsidR="00DE0D8F" w:rsidRPr="00B11DAD" w:rsidRDefault="00DE0D8F" w:rsidP="00DE0D8F">
      <w:pPr>
        <w:numPr>
          <w:ilvl w:val="1"/>
          <w:numId w:val="13"/>
        </w:numPr>
        <w:jc w:val="both"/>
        <w:rPr>
          <w:rFonts w:ascii="Arial" w:hAnsi="Arial" w:cs="Arial"/>
          <w:lang w:bidi="ar-SA"/>
        </w:rPr>
      </w:pPr>
      <w:r w:rsidRPr="00B11DAD">
        <w:rPr>
          <w:rFonts w:ascii="Arial" w:hAnsi="Arial" w:cs="Arial"/>
          <w:lang w:bidi="ar-SA"/>
        </w:rPr>
        <w:t xml:space="preserve">§ 1743 občanského zákoníku o pozdním přijetí nabídky ve formě ústního vyrozumění o takovém přijetí či chování se ve shodě s nabídkou. </w:t>
      </w:r>
    </w:p>
    <w:p w:rsidR="00DE0D8F" w:rsidRPr="00B11DAD" w:rsidRDefault="00DE0D8F" w:rsidP="00DE0D8F">
      <w:pPr>
        <w:jc w:val="both"/>
        <w:rPr>
          <w:rFonts w:ascii="Arial" w:hAnsi="Arial" w:cs="Arial"/>
          <w:lang w:bidi="ar-SA"/>
        </w:rPr>
      </w:pPr>
    </w:p>
    <w:p w:rsidR="00DE0D8F" w:rsidRPr="00B11DAD" w:rsidRDefault="00DE0D8F" w:rsidP="00DE0D8F">
      <w:pPr>
        <w:numPr>
          <w:ilvl w:val="0"/>
          <w:numId w:val="13"/>
        </w:numPr>
        <w:jc w:val="both"/>
        <w:rPr>
          <w:rFonts w:ascii="Arial" w:hAnsi="Arial" w:cs="Arial"/>
          <w:lang w:bidi="ar-SA"/>
        </w:rPr>
      </w:pPr>
      <w:r w:rsidRPr="00B11DAD">
        <w:rPr>
          <w:rFonts w:ascii="Arial" w:hAnsi="Arial" w:cs="Arial"/>
          <w:lang w:bidi="ar-SA"/>
        </w:rPr>
        <w:t>Smluvní strany prohlašují, že tato smlouva není smlouvou uzavíranou adhezním způsobem. Pro vyloučení budoucích nejasností či pochybností však přesto sjednávají, že na právní vztahy mezi nimi se nepoužijí ustanovení § 1799 a § 1800 občanského zákoníku.</w:t>
      </w:r>
    </w:p>
    <w:p w:rsidR="00DE0D8F" w:rsidRPr="00B11DAD" w:rsidRDefault="00DE0D8F" w:rsidP="00DE0D8F">
      <w:pPr>
        <w:jc w:val="both"/>
        <w:rPr>
          <w:rFonts w:ascii="Arial" w:hAnsi="Arial" w:cs="Arial"/>
          <w:lang w:bidi="ar-SA"/>
        </w:rPr>
      </w:pPr>
    </w:p>
    <w:p w:rsidR="00DE0D8F" w:rsidRPr="00B11DAD" w:rsidRDefault="00DE0D8F" w:rsidP="00DE0D8F">
      <w:pPr>
        <w:numPr>
          <w:ilvl w:val="0"/>
          <w:numId w:val="13"/>
        </w:numPr>
        <w:jc w:val="both"/>
        <w:rPr>
          <w:rFonts w:ascii="Arial" w:hAnsi="Arial" w:cs="Arial"/>
          <w:lang w:bidi="ar-SA"/>
        </w:rPr>
      </w:pPr>
      <w:r w:rsidRPr="00B11DAD">
        <w:rPr>
          <w:rFonts w:ascii="Arial" w:hAnsi="Arial" w:cs="Arial"/>
          <w:lang w:bidi="ar-SA"/>
        </w:rPr>
        <w:t>Kupující prohlašuje, že ve smyslu ustanovení § 630 občanského zákoníku prodlužuje délku promlčecí doby práv prodávajícího vyplývajících z této smlouvy na 10 let od doby, kdy právo mohlo být uplatněno poprvé.</w:t>
      </w:r>
    </w:p>
    <w:p w:rsidR="00DE0D8F" w:rsidRPr="00B11DAD" w:rsidRDefault="00DE0D8F" w:rsidP="00DE0D8F">
      <w:pPr>
        <w:jc w:val="both"/>
        <w:rPr>
          <w:rFonts w:ascii="Arial" w:hAnsi="Arial" w:cs="Arial"/>
          <w:lang w:bidi="ar-SA"/>
        </w:rPr>
      </w:pPr>
    </w:p>
    <w:p w:rsidR="00DE0D8F" w:rsidRPr="00B11DAD" w:rsidRDefault="00DE0D8F" w:rsidP="00DE0D8F">
      <w:pPr>
        <w:numPr>
          <w:ilvl w:val="0"/>
          <w:numId w:val="13"/>
        </w:numPr>
        <w:jc w:val="both"/>
        <w:rPr>
          <w:rFonts w:ascii="Arial" w:hAnsi="Arial" w:cs="Arial"/>
          <w:lang w:bidi="ar-SA"/>
        </w:rPr>
      </w:pPr>
      <w:r w:rsidRPr="00B11DAD">
        <w:rPr>
          <w:rFonts w:ascii="Arial" w:hAnsi="Arial" w:cs="Arial"/>
          <w:lang w:bidi="ar-SA"/>
        </w:rPr>
        <w:t>Smluvní strany se v souladu s ustanovením § 558 odst. 2 občanského zákoníku dohodly, že obchodní zvyklosti nemají přednost před ustanoveními zákona, a to ani tehdy, jedná-li se o ustanovení zákona, jež nemají donucující účinky.</w:t>
      </w:r>
    </w:p>
    <w:p w:rsidR="00DE0D8F" w:rsidRPr="00B11DAD" w:rsidRDefault="00DE0D8F" w:rsidP="00DE0D8F">
      <w:pPr>
        <w:pStyle w:val="Odstavecseseznamem"/>
        <w:rPr>
          <w:rFonts w:ascii="Arial" w:hAnsi="Arial" w:cs="Arial"/>
          <w:lang w:bidi="ar-SA"/>
        </w:rPr>
      </w:pPr>
    </w:p>
    <w:p w:rsidR="00DE0D8F" w:rsidRPr="00B11DAD" w:rsidRDefault="00DE0D8F" w:rsidP="00DE0D8F">
      <w:pPr>
        <w:numPr>
          <w:ilvl w:val="0"/>
          <w:numId w:val="13"/>
        </w:numPr>
        <w:jc w:val="both"/>
        <w:rPr>
          <w:rFonts w:ascii="Arial" w:hAnsi="Arial" w:cs="Arial"/>
          <w:lang w:bidi="ar-SA"/>
        </w:rPr>
      </w:pPr>
      <w:r w:rsidRPr="00B11DAD">
        <w:rPr>
          <w:rFonts w:ascii="Arial" w:hAnsi="Arial" w:cs="Arial"/>
        </w:rPr>
        <w:t>Smluvní strany se dohodly, že prodávající je oprávněn předat kontaktní údaje zástupce kupujícího, které prodávající od kupujícího obdrží, svému dodavateli za účelem zajištění předání a převzetí předmětu smlouvy, případně jeho části kupujícím. Kupující prohlašuje, že předáním kontaktních údajů podle předchozí věty nedojde k porušení obecně závazných právních předpisů ani Nařízení Evropského parlamentu a Rady č. 2016/679 ze dne 27. 4. 2016 o ochraně fyzických osob v souvislosti se zpracováním osobních údajů a o volném pohybu těchto údajů a o zrušení směrnice 95/46/ES (GDPR).</w:t>
      </w:r>
    </w:p>
    <w:p w:rsidR="00DE0D8F" w:rsidRPr="00B11DAD" w:rsidRDefault="00DE0D8F" w:rsidP="00DE0D8F">
      <w:pPr>
        <w:jc w:val="both"/>
        <w:rPr>
          <w:rFonts w:ascii="Arial" w:hAnsi="Arial" w:cs="Arial"/>
          <w:lang w:bidi="ar-SA"/>
        </w:rPr>
      </w:pPr>
    </w:p>
    <w:p w:rsidR="00DE0D8F" w:rsidRPr="0040162F" w:rsidRDefault="00DE0D8F" w:rsidP="0040162F">
      <w:pPr>
        <w:pStyle w:val="Odstavecseseznamem"/>
        <w:numPr>
          <w:ilvl w:val="0"/>
          <w:numId w:val="16"/>
        </w:numPr>
        <w:jc w:val="both"/>
        <w:rPr>
          <w:rFonts w:cs="Tahoma"/>
          <w:b/>
          <w:bCs/>
          <w:sz w:val="22"/>
          <w:szCs w:val="22"/>
          <w:lang w:bidi="ar-SA"/>
        </w:rPr>
      </w:pPr>
      <w:r w:rsidRPr="0040162F">
        <w:rPr>
          <w:rFonts w:cs="Tahoma"/>
          <w:b/>
          <w:bCs/>
          <w:sz w:val="22"/>
          <w:szCs w:val="22"/>
          <w:lang w:bidi="ar-SA"/>
        </w:rPr>
        <w:t>Závěrečná ustanovení</w:t>
      </w:r>
    </w:p>
    <w:p w:rsidR="00DE0D8F" w:rsidRPr="00B11DAD" w:rsidRDefault="00DE0D8F" w:rsidP="00DE0D8F">
      <w:pPr>
        <w:ind w:left="400" w:hanging="400"/>
        <w:jc w:val="both"/>
        <w:rPr>
          <w:rFonts w:ascii="Arial" w:hAnsi="Arial" w:cs="Arial"/>
          <w:lang w:bidi="ar-SA"/>
        </w:rPr>
      </w:pPr>
    </w:p>
    <w:p w:rsidR="00DE0D8F" w:rsidRPr="00B11DAD" w:rsidRDefault="00DE0D8F" w:rsidP="00DE0D8F">
      <w:pPr>
        <w:numPr>
          <w:ilvl w:val="0"/>
          <w:numId w:val="8"/>
        </w:numPr>
        <w:tabs>
          <w:tab w:val="num" w:pos="400"/>
        </w:tabs>
        <w:ind w:left="400" w:hanging="400"/>
        <w:jc w:val="both"/>
        <w:rPr>
          <w:rFonts w:ascii="Arial" w:hAnsi="Arial" w:cs="Arial"/>
          <w:lang w:bidi="ar-SA"/>
        </w:rPr>
      </w:pPr>
      <w:r w:rsidRPr="00B11DAD">
        <w:rPr>
          <w:rFonts w:ascii="Arial" w:hAnsi="Arial" w:cs="Arial"/>
          <w:lang w:bidi="ar-SA"/>
        </w:rPr>
        <w:t>Kupující akceptuje návrh této kupní smlouvy v plném rozsahu, tzn. že přijetí tohoto návrhu s odchylkou nebo dodatkem (včetně odchylky nebo dodatku nepodstatného) je v souladu s touto smlouvou vyloučeno a za akceptaci této kupní smlouvy se tedy nepovažuje. Za akceptaci této kupní smlouvy se dále nepovažuje ústní oznámení o přijetí jejího návrhu anebo chování ve shodě s návrhem této smlouvy či nabídkou prodávajícího bez jejich bezvýhradné písemné akceptace.</w:t>
      </w:r>
    </w:p>
    <w:p w:rsidR="00DE0D8F" w:rsidRPr="00B11DAD" w:rsidRDefault="00DE0D8F" w:rsidP="00DE0D8F">
      <w:pPr>
        <w:jc w:val="both"/>
        <w:rPr>
          <w:rFonts w:ascii="Arial" w:hAnsi="Arial" w:cs="Arial"/>
          <w:lang w:bidi="ar-SA"/>
        </w:rPr>
      </w:pPr>
    </w:p>
    <w:p w:rsidR="00DE0D8F" w:rsidRPr="00B11DAD" w:rsidRDefault="00DE0D8F" w:rsidP="00DE0D8F">
      <w:pPr>
        <w:numPr>
          <w:ilvl w:val="0"/>
          <w:numId w:val="8"/>
        </w:numPr>
        <w:tabs>
          <w:tab w:val="num" w:pos="400"/>
        </w:tabs>
        <w:ind w:left="400" w:hanging="400"/>
        <w:jc w:val="both"/>
        <w:rPr>
          <w:rFonts w:ascii="Arial" w:hAnsi="Arial" w:cs="Arial"/>
          <w:lang w:bidi="ar-SA"/>
        </w:rPr>
      </w:pPr>
      <w:r w:rsidRPr="00B11DAD">
        <w:rPr>
          <w:rFonts w:ascii="Arial" w:hAnsi="Arial" w:cs="Arial"/>
          <w:lang w:bidi="ar-SA"/>
        </w:rPr>
        <w:t>Smluvní vztah založený touto smlouvou se bude řídit výlučně ujednáními obsaženými v této smlouvě, včetně jejích příloh. Veškerá korespondence mezi smluvními stranami, včetně jejich prohlášení, je ve vztahu k této smlouvě irelevantní, není-li ve smlouvě stanoveno jinak. Smluvní vztah založený touto smlouvou se nebude řídit žádnými obchodními nebo jinými smluvními podmínkami žádné ze smluvních stran, i kdyby na jejich aplikaci smluvní strana odkázala v jakékoliv formě komunikace s druhou smluvní stranou, ať už před uzavřením této smlouvy nebo po jejím uzavření.</w:t>
      </w:r>
    </w:p>
    <w:p w:rsidR="00DE0D8F" w:rsidRPr="00B11DAD" w:rsidRDefault="00DE0D8F" w:rsidP="00DE0D8F">
      <w:pPr>
        <w:ind w:left="400"/>
        <w:jc w:val="both"/>
        <w:rPr>
          <w:rFonts w:ascii="Arial" w:hAnsi="Arial" w:cs="Arial"/>
          <w:lang w:bidi="ar-SA"/>
        </w:rPr>
      </w:pPr>
    </w:p>
    <w:p w:rsidR="00DE0D8F" w:rsidRPr="00B11DAD" w:rsidRDefault="00DE0D8F" w:rsidP="00DE0D8F">
      <w:pPr>
        <w:numPr>
          <w:ilvl w:val="0"/>
          <w:numId w:val="8"/>
        </w:numPr>
        <w:tabs>
          <w:tab w:val="num" w:pos="400"/>
        </w:tabs>
        <w:ind w:left="400" w:hanging="400"/>
        <w:jc w:val="both"/>
        <w:rPr>
          <w:rFonts w:ascii="Arial" w:hAnsi="Arial" w:cs="Arial"/>
          <w:lang w:bidi="ar-SA"/>
        </w:rPr>
      </w:pPr>
      <w:r w:rsidRPr="00B11DAD">
        <w:rPr>
          <w:rFonts w:ascii="Arial" w:hAnsi="Arial" w:cs="Arial"/>
          <w:lang w:bidi="ar-SA"/>
        </w:rPr>
        <w:t>Pokud v této smlouvě není výslovně ujednáno jinak, řídí se vztahy kupujícího a prodávajícího příslušnými ustanoveními občanského zákoníku a dalších obecně závazných právních předpisů platných v České republice. Pro případ jakéhokoliv sporu vyplývajícího z této smlouvy si smluvní strany sjednávají v souladu s ustanovením § 89a občanského soudního řádu místní příslušnost soudu prvního stupně dle sídla prodávajícího.</w:t>
      </w:r>
    </w:p>
    <w:p w:rsidR="00DE0D8F" w:rsidRPr="00B11DAD" w:rsidRDefault="00DE0D8F" w:rsidP="00DE0D8F">
      <w:pPr>
        <w:rPr>
          <w:rFonts w:ascii="Arial" w:hAnsi="Arial" w:cs="Arial"/>
          <w:lang w:bidi="ar-SA"/>
        </w:rPr>
      </w:pPr>
    </w:p>
    <w:p w:rsidR="00DE0D8F" w:rsidRPr="00B11DAD" w:rsidRDefault="00DE0D8F" w:rsidP="00DE0D8F">
      <w:pPr>
        <w:numPr>
          <w:ilvl w:val="0"/>
          <w:numId w:val="8"/>
        </w:numPr>
        <w:tabs>
          <w:tab w:val="num" w:pos="400"/>
        </w:tabs>
        <w:ind w:left="400" w:hanging="400"/>
        <w:jc w:val="both"/>
        <w:rPr>
          <w:rFonts w:ascii="Arial" w:hAnsi="Arial" w:cs="Arial"/>
          <w:lang w:bidi="ar-SA"/>
        </w:rPr>
      </w:pPr>
      <w:r w:rsidRPr="00B11DAD">
        <w:rPr>
          <w:rFonts w:ascii="Arial" w:hAnsi="Arial" w:cs="Arial"/>
          <w:lang w:bidi="ar-SA"/>
        </w:rPr>
        <w:t>Tato smlouva může být uzavřena jen v písemné formě. Jakékoliv změny či zrušení této smlouvy mohou být provedeny rovněž pouze v písemné formě.</w:t>
      </w:r>
    </w:p>
    <w:p w:rsidR="00DE0D8F" w:rsidRPr="00B11DAD" w:rsidRDefault="00DE0D8F" w:rsidP="00DE0D8F">
      <w:pPr>
        <w:rPr>
          <w:rFonts w:ascii="Arial" w:hAnsi="Arial" w:cs="Arial"/>
          <w:lang w:bidi="ar-SA"/>
        </w:rPr>
      </w:pPr>
    </w:p>
    <w:p w:rsidR="00DE0D8F" w:rsidRPr="00E2689C" w:rsidRDefault="00FF580A" w:rsidP="00DE0D8F">
      <w:pPr>
        <w:numPr>
          <w:ilvl w:val="0"/>
          <w:numId w:val="8"/>
        </w:numPr>
        <w:tabs>
          <w:tab w:val="num" w:pos="400"/>
        </w:tabs>
        <w:ind w:left="400" w:hanging="400"/>
        <w:jc w:val="both"/>
        <w:rPr>
          <w:rFonts w:ascii="Arial" w:hAnsi="Arial" w:cs="Arial"/>
          <w:lang w:bidi="ar-SA"/>
        </w:rPr>
      </w:pPr>
      <w:r w:rsidRPr="00E2689C">
        <w:rPr>
          <w:rFonts w:ascii="Arial" w:hAnsi="Arial" w:cs="Arial"/>
          <w:lang w:bidi="ar-SA"/>
        </w:rPr>
        <w:t xml:space="preserve">Tato smlouva je platná </w:t>
      </w:r>
      <w:r w:rsidR="00DE0D8F" w:rsidRPr="00E2689C">
        <w:rPr>
          <w:rFonts w:ascii="Arial" w:hAnsi="Arial" w:cs="Arial"/>
          <w:lang w:bidi="ar-SA"/>
        </w:rPr>
        <w:t>ode dne jejího podpisu poslední ze smluvních stran</w:t>
      </w:r>
      <w:r w:rsidR="00E2689C" w:rsidRPr="00E2689C">
        <w:rPr>
          <w:rFonts w:ascii="Arial" w:hAnsi="Arial" w:cs="Arial"/>
          <w:lang w:bidi="ar-SA"/>
        </w:rPr>
        <w:t>, účinnosti nabývá dnem zveřejnění v registru smluv. Zveřejnění zajišťuje Kupující</w:t>
      </w:r>
      <w:r w:rsidR="00E2689C">
        <w:rPr>
          <w:rFonts w:ascii="Arial" w:hAnsi="Arial" w:cs="Arial"/>
          <w:lang w:bidi="ar-SA"/>
        </w:rPr>
        <w:t>.</w:t>
      </w:r>
    </w:p>
    <w:p w:rsidR="00DE0D8F" w:rsidRPr="00B11DAD" w:rsidRDefault="00DE0D8F" w:rsidP="00DE0D8F">
      <w:pPr>
        <w:rPr>
          <w:rFonts w:ascii="Arial" w:hAnsi="Arial" w:cs="Arial"/>
          <w:lang w:bidi="ar-SA"/>
        </w:rPr>
      </w:pPr>
    </w:p>
    <w:p w:rsidR="00DE0D8F" w:rsidRPr="00B11DAD" w:rsidRDefault="00DE0D8F" w:rsidP="00DE0D8F">
      <w:pPr>
        <w:numPr>
          <w:ilvl w:val="0"/>
          <w:numId w:val="8"/>
        </w:numPr>
        <w:tabs>
          <w:tab w:val="num" w:pos="400"/>
        </w:tabs>
        <w:ind w:left="400" w:hanging="400"/>
        <w:jc w:val="both"/>
        <w:rPr>
          <w:rFonts w:ascii="Arial" w:hAnsi="Arial" w:cs="Arial"/>
          <w:lang w:bidi="ar-SA"/>
        </w:rPr>
      </w:pPr>
      <w:r w:rsidRPr="00B11DAD">
        <w:rPr>
          <w:rFonts w:ascii="Arial" w:hAnsi="Arial" w:cs="Arial"/>
          <w:lang w:bidi="ar-SA"/>
        </w:rPr>
        <w:t xml:space="preserve">Tato smlouva je sepsána ve </w:t>
      </w:r>
      <w:r w:rsidR="00FA0BFE">
        <w:rPr>
          <w:rFonts w:ascii="Arial" w:hAnsi="Arial" w:cs="Arial"/>
          <w:lang w:bidi="ar-SA"/>
        </w:rPr>
        <w:t>3</w:t>
      </w:r>
      <w:r w:rsidRPr="00B11DAD">
        <w:rPr>
          <w:rFonts w:ascii="Arial" w:hAnsi="Arial" w:cs="Arial"/>
          <w:lang w:bidi="ar-SA"/>
        </w:rPr>
        <w:t xml:space="preserve"> vyhotoveních s platností originálu, z nichž </w:t>
      </w:r>
      <w:r w:rsidR="00FA0BFE">
        <w:rPr>
          <w:rFonts w:ascii="Arial" w:hAnsi="Arial" w:cs="Arial"/>
          <w:lang w:bidi="ar-SA"/>
        </w:rPr>
        <w:t xml:space="preserve">jeden obdrží prodávající a dva </w:t>
      </w:r>
      <w:r w:rsidRPr="00B11DAD">
        <w:rPr>
          <w:rFonts w:ascii="Arial" w:hAnsi="Arial" w:cs="Arial"/>
          <w:lang w:bidi="ar-SA"/>
        </w:rPr>
        <w:t>kupující.</w:t>
      </w:r>
    </w:p>
    <w:p w:rsidR="00DE0D8F" w:rsidRPr="00B11DAD" w:rsidRDefault="00DE0D8F" w:rsidP="00DE0D8F">
      <w:pPr>
        <w:rPr>
          <w:rFonts w:ascii="Arial" w:hAnsi="Arial" w:cs="Arial"/>
          <w:lang w:bidi="ar-SA"/>
        </w:rPr>
      </w:pPr>
    </w:p>
    <w:p w:rsidR="00DE0D8F" w:rsidRPr="00B11DAD" w:rsidRDefault="00DE0D8F" w:rsidP="00DE0D8F">
      <w:pPr>
        <w:numPr>
          <w:ilvl w:val="0"/>
          <w:numId w:val="8"/>
        </w:numPr>
        <w:tabs>
          <w:tab w:val="num" w:pos="400"/>
        </w:tabs>
        <w:ind w:left="400" w:hanging="400"/>
        <w:jc w:val="both"/>
        <w:rPr>
          <w:rFonts w:ascii="Arial" w:hAnsi="Arial" w:cs="Arial"/>
          <w:lang w:bidi="ar-SA"/>
        </w:rPr>
      </w:pPr>
      <w:r w:rsidRPr="00B11DAD">
        <w:rPr>
          <w:rFonts w:ascii="Arial" w:hAnsi="Arial" w:cs="Arial"/>
          <w:lang w:bidi="ar-SA"/>
        </w:rPr>
        <w:t>Obě smluvní strany prohlašují, že se seznámily s obsahem smlouvy, že tato byla uzavřena po vzájemném projednání podle jejich pravé a svobodné vůle, určitě, vážně a srozumitelně, nikoliv v tísni za nápadně nevýhodných podmínek, což stvrzují svými vlastnoručními podpisy.</w:t>
      </w:r>
    </w:p>
    <w:p w:rsidR="00510FAC" w:rsidRPr="00510FAC" w:rsidRDefault="00510FAC" w:rsidP="00510FAC">
      <w:pPr>
        <w:rPr>
          <w:rFonts w:cs="Tahoma"/>
          <w:lang w:bidi="ar-SA"/>
        </w:rPr>
      </w:pPr>
    </w:p>
    <w:tbl>
      <w:tblPr>
        <w:tblW w:w="0" w:type="auto"/>
        <w:tblInd w:w="2" w:type="dxa"/>
        <w:tblCellMar>
          <w:left w:w="70" w:type="dxa"/>
          <w:right w:w="70" w:type="dxa"/>
        </w:tblCellMar>
        <w:tblLook w:val="0000" w:firstRow="0" w:lastRow="0" w:firstColumn="0" w:lastColumn="0" w:noHBand="0" w:noVBand="0"/>
      </w:tblPr>
      <w:tblGrid>
        <w:gridCol w:w="4500"/>
        <w:gridCol w:w="540"/>
        <w:gridCol w:w="4032"/>
      </w:tblGrid>
      <w:tr w:rsidR="00510FAC" w:rsidRPr="00510FAC" w:rsidTr="00746AFC">
        <w:tc>
          <w:tcPr>
            <w:tcW w:w="4500" w:type="dxa"/>
            <w:tcBorders>
              <w:top w:val="nil"/>
              <w:left w:val="nil"/>
              <w:bottom w:val="nil"/>
              <w:right w:val="nil"/>
            </w:tcBorders>
          </w:tcPr>
          <w:p w:rsidR="00510FAC" w:rsidRPr="00510FAC" w:rsidRDefault="00510FAC" w:rsidP="002C352D">
            <w:pPr>
              <w:rPr>
                <w:rFonts w:cs="Tahoma"/>
                <w:lang w:bidi="ar-SA"/>
              </w:rPr>
            </w:pPr>
            <w:r w:rsidRPr="00510FAC">
              <w:rPr>
                <w:rFonts w:cs="Tahoma"/>
                <w:lang w:bidi="ar-SA"/>
              </w:rPr>
              <w:t>V</w:t>
            </w:r>
            <w:r w:rsidR="00342858">
              <w:rPr>
                <w:rFonts w:cs="Tahoma"/>
                <w:lang w:bidi="ar-SA"/>
              </w:rPr>
              <w:t> Praze</w:t>
            </w:r>
            <w:r w:rsidRPr="00510FAC">
              <w:rPr>
                <w:rFonts w:cs="Tahoma"/>
                <w:lang w:bidi="ar-SA"/>
              </w:rPr>
              <w:t xml:space="preserve">: </w:t>
            </w:r>
            <w:r w:rsidR="00FA0BFE">
              <w:rPr>
                <w:rFonts w:cs="Tahoma"/>
                <w:lang w:bidi="ar-SA"/>
              </w:rPr>
              <w:t>12. 12. 2019</w:t>
            </w:r>
          </w:p>
        </w:tc>
        <w:tc>
          <w:tcPr>
            <w:tcW w:w="540" w:type="dxa"/>
            <w:tcBorders>
              <w:top w:val="nil"/>
              <w:left w:val="nil"/>
              <w:bottom w:val="nil"/>
              <w:right w:val="nil"/>
            </w:tcBorders>
          </w:tcPr>
          <w:p w:rsidR="00510FAC" w:rsidRPr="00510FAC" w:rsidRDefault="00510FAC" w:rsidP="00510FAC">
            <w:pPr>
              <w:rPr>
                <w:rFonts w:cs="Tahoma"/>
                <w:lang w:bidi="ar-SA"/>
              </w:rPr>
            </w:pPr>
          </w:p>
        </w:tc>
        <w:tc>
          <w:tcPr>
            <w:tcW w:w="4032" w:type="dxa"/>
            <w:tcBorders>
              <w:top w:val="nil"/>
              <w:left w:val="nil"/>
              <w:bottom w:val="nil"/>
              <w:right w:val="nil"/>
            </w:tcBorders>
          </w:tcPr>
          <w:p w:rsidR="00510FAC" w:rsidRPr="00510FAC" w:rsidRDefault="00510FAC" w:rsidP="002C352D">
            <w:pPr>
              <w:rPr>
                <w:rFonts w:cs="Tahoma"/>
                <w:lang w:bidi="ar-SA"/>
              </w:rPr>
            </w:pPr>
            <w:r w:rsidRPr="00510FAC">
              <w:rPr>
                <w:rFonts w:cs="Tahoma"/>
                <w:lang w:bidi="ar-SA"/>
              </w:rPr>
              <w:t xml:space="preserve">V </w:t>
            </w:r>
            <w:r w:rsidRPr="00342858">
              <w:rPr>
                <w:rFonts w:cs="Tahoma"/>
                <w:lang w:bidi="ar-SA"/>
              </w:rPr>
              <w:t>Praze</w:t>
            </w:r>
            <w:r w:rsidR="002C352D">
              <w:rPr>
                <w:rFonts w:cs="Tahoma"/>
                <w:lang w:bidi="ar-SA"/>
              </w:rPr>
              <w:t>:</w:t>
            </w:r>
            <w:r w:rsidR="00F23C30">
              <w:rPr>
                <w:rFonts w:cs="Tahoma"/>
                <w:lang w:bidi="ar-SA"/>
              </w:rPr>
              <w:t xml:space="preserve"> 16.12. 2019</w:t>
            </w:r>
          </w:p>
        </w:tc>
      </w:tr>
      <w:tr w:rsidR="00510FAC" w:rsidRPr="00510FAC" w:rsidTr="00B5024B">
        <w:trPr>
          <w:trHeight w:val="1865"/>
        </w:trPr>
        <w:tc>
          <w:tcPr>
            <w:tcW w:w="4500" w:type="dxa"/>
            <w:tcBorders>
              <w:top w:val="nil"/>
              <w:left w:val="nil"/>
              <w:bottom w:val="single" w:sz="4" w:space="0" w:color="auto"/>
              <w:right w:val="nil"/>
            </w:tcBorders>
            <w:vAlign w:val="center"/>
          </w:tcPr>
          <w:p w:rsidR="00510FAC" w:rsidRPr="00510FAC" w:rsidRDefault="00510FAC" w:rsidP="00510FAC">
            <w:pPr>
              <w:jc w:val="center"/>
              <w:rPr>
                <w:rFonts w:cs="Tahoma"/>
                <w:lang w:bidi="ar-SA"/>
              </w:rPr>
            </w:pPr>
          </w:p>
        </w:tc>
        <w:tc>
          <w:tcPr>
            <w:tcW w:w="540" w:type="dxa"/>
            <w:tcBorders>
              <w:top w:val="nil"/>
              <w:left w:val="nil"/>
              <w:bottom w:val="nil"/>
              <w:right w:val="nil"/>
            </w:tcBorders>
            <w:vAlign w:val="center"/>
          </w:tcPr>
          <w:p w:rsidR="00510FAC" w:rsidRPr="00510FAC" w:rsidRDefault="00510FAC" w:rsidP="00510FAC">
            <w:pPr>
              <w:jc w:val="center"/>
              <w:rPr>
                <w:rFonts w:cs="Tahoma"/>
                <w:lang w:bidi="ar-SA"/>
              </w:rPr>
            </w:pPr>
          </w:p>
        </w:tc>
        <w:tc>
          <w:tcPr>
            <w:tcW w:w="4032" w:type="dxa"/>
            <w:tcBorders>
              <w:top w:val="nil"/>
              <w:left w:val="nil"/>
              <w:bottom w:val="single" w:sz="4" w:space="0" w:color="auto"/>
              <w:right w:val="nil"/>
            </w:tcBorders>
            <w:vAlign w:val="center"/>
          </w:tcPr>
          <w:p w:rsidR="00510FAC" w:rsidRPr="00510FAC" w:rsidRDefault="00510FAC" w:rsidP="00510FAC">
            <w:pPr>
              <w:jc w:val="center"/>
              <w:rPr>
                <w:rFonts w:cs="Tahoma"/>
                <w:lang w:bidi="ar-SA"/>
              </w:rPr>
            </w:pPr>
          </w:p>
        </w:tc>
      </w:tr>
      <w:tr w:rsidR="00510FAC" w:rsidRPr="00510FAC" w:rsidTr="00746AFC">
        <w:tc>
          <w:tcPr>
            <w:tcW w:w="4500" w:type="dxa"/>
            <w:tcBorders>
              <w:top w:val="single" w:sz="4" w:space="0" w:color="auto"/>
              <w:left w:val="nil"/>
              <w:bottom w:val="nil"/>
              <w:right w:val="nil"/>
            </w:tcBorders>
          </w:tcPr>
          <w:p w:rsidR="00510FAC" w:rsidRPr="00510FAC" w:rsidRDefault="00510FAC" w:rsidP="00510FAC">
            <w:pPr>
              <w:jc w:val="center"/>
              <w:rPr>
                <w:rFonts w:cs="Tahoma"/>
                <w:lang w:bidi="ar-SA"/>
              </w:rPr>
            </w:pPr>
            <w:r w:rsidRPr="00510FAC">
              <w:rPr>
                <w:rFonts w:cs="Tahoma"/>
                <w:lang w:bidi="ar-SA"/>
              </w:rPr>
              <w:t xml:space="preserve">za </w:t>
            </w:r>
            <w:r w:rsidR="00342858">
              <w:rPr>
                <w:rFonts w:cs="Tahoma"/>
                <w:lang w:bidi="ar-SA"/>
              </w:rPr>
              <w:t>NIPOS</w:t>
            </w:r>
          </w:p>
          <w:p w:rsidR="00510FAC" w:rsidRPr="00510FAC" w:rsidRDefault="00B5024B" w:rsidP="00510FAC">
            <w:pPr>
              <w:jc w:val="center"/>
              <w:rPr>
                <w:rFonts w:cs="Tahoma"/>
                <w:i/>
                <w:iCs/>
                <w:lang w:bidi="ar-SA"/>
              </w:rPr>
            </w:pPr>
            <w:r>
              <w:rPr>
                <w:rFonts w:cs="Tahoma"/>
                <w:lang w:bidi="ar-SA"/>
              </w:rPr>
              <w:t>Mgr. Lenka Lázňovská, ře</w:t>
            </w:r>
            <w:r w:rsidR="00342858">
              <w:rPr>
                <w:rFonts w:cs="Tahoma"/>
                <w:lang w:bidi="ar-SA"/>
              </w:rPr>
              <w:t>d</w:t>
            </w:r>
            <w:r>
              <w:rPr>
                <w:rFonts w:cs="Tahoma"/>
                <w:lang w:bidi="ar-SA"/>
              </w:rPr>
              <w:t>i</w:t>
            </w:r>
            <w:r w:rsidR="00342858">
              <w:rPr>
                <w:rFonts w:cs="Tahoma"/>
                <w:lang w:bidi="ar-SA"/>
              </w:rPr>
              <w:t>telka</w:t>
            </w:r>
          </w:p>
        </w:tc>
        <w:tc>
          <w:tcPr>
            <w:tcW w:w="540" w:type="dxa"/>
            <w:tcBorders>
              <w:top w:val="nil"/>
              <w:left w:val="nil"/>
              <w:bottom w:val="nil"/>
              <w:right w:val="nil"/>
            </w:tcBorders>
            <w:vAlign w:val="center"/>
          </w:tcPr>
          <w:p w:rsidR="00510FAC" w:rsidRPr="00510FAC" w:rsidRDefault="00510FAC" w:rsidP="00510FAC">
            <w:pPr>
              <w:jc w:val="center"/>
              <w:rPr>
                <w:rFonts w:cs="Tahoma"/>
                <w:lang w:bidi="ar-SA"/>
              </w:rPr>
            </w:pPr>
          </w:p>
        </w:tc>
        <w:tc>
          <w:tcPr>
            <w:tcW w:w="4032" w:type="dxa"/>
            <w:tcBorders>
              <w:top w:val="single" w:sz="4" w:space="0" w:color="auto"/>
              <w:left w:val="nil"/>
              <w:bottom w:val="nil"/>
              <w:right w:val="nil"/>
            </w:tcBorders>
          </w:tcPr>
          <w:p w:rsidR="00510FAC" w:rsidRPr="00510FAC" w:rsidRDefault="00510FAC" w:rsidP="00510FAC">
            <w:pPr>
              <w:jc w:val="center"/>
              <w:rPr>
                <w:rFonts w:cs="Tahoma"/>
                <w:lang w:bidi="ar-SA"/>
              </w:rPr>
            </w:pPr>
            <w:r w:rsidRPr="00510FAC">
              <w:rPr>
                <w:rFonts w:cs="Tahoma"/>
                <w:lang w:bidi="ar-SA"/>
              </w:rPr>
              <w:t>za Proact Czech Republic, s.r.o.</w:t>
            </w:r>
          </w:p>
          <w:p w:rsidR="00510FAC" w:rsidRPr="00510FAC" w:rsidRDefault="00510FAC" w:rsidP="00510FAC">
            <w:pPr>
              <w:jc w:val="center"/>
              <w:rPr>
                <w:rFonts w:cs="Tahoma"/>
                <w:lang w:bidi="ar-SA"/>
              </w:rPr>
            </w:pPr>
            <w:r w:rsidRPr="00510FAC">
              <w:rPr>
                <w:rFonts w:cs="Tahoma"/>
                <w:lang w:bidi="ar-SA"/>
              </w:rPr>
              <w:t>Ing. Vít Létavka, jednatel</w:t>
            </w:r>
          </w:p>
        </w:tc>
      </w:tr>
    </w:tbl>
    <w:p w:rsidR="00510FAC" w:rsidRPr="00510FAC" w:rsidRDefault="00510FAC" w:rsidP="00510FAC">
      <w:pPr>
        <w:rPr>
          <w:rFonts w:cs="Tahoma"/>
          <w:lang w:bidi="ar-SA"/>
        </w:rPr>
      </w:pPr>
    </w:p>
    <w:sectPr w:rsidR="00510FAC" w:rsidRPr="00510FAC" w:rsidSect="00746AF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FF7" w:rsidRDefault="00DE3FF7" w:rsidP="009E3B4D">
      <w:r>
        <w:separator/>
      </w:r>
    </w:p>
  </w:endnote>
  <w:endnote w:type="continuationSeparator" w:id="0">
    <w:p w:rsidR="00DE3FF7" w:rsidRDefault="00DE3FF7" w:rsidP="009E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D6" w:rsidRDefault="00B930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F7" w:rsidRDefault="00DE3FF7" w:rsidP="00746AFC">
    <w:pPr>
      <w:pStyle w:val="Zpat"/>
      <w:jc w:val="center"/>
    </w:pPr>
    <w:r>
      <w:rPr>
        <w:noProof/>
        <w:lang w:eastAsia="cs-CZ"/>
      </w:rPr>
      <w:drawing>
        <wp:anchor distT="0" distB="0" distL="114300" distR="114300" simplePos="0" relativeHeight="251660288" behindDoc="1" locked="0" layoutInCell="1" allowOverlap="1">
          <wp:simplePos x="0" y="0"/>
          <wp:positionH relativeFrom="column">
            <wp:posOffset>5734981</wp:posOffset>
          </wp:positionH>
          <wp:positionV relativeFrom="paragraph">
            <wp:posOffset>-65405</wp:posOffset>
          </wp:positionV>
          <wp:extent cx="942340" cy="668020"/>
          <wp:effectExtent l="0" t="0" r="0" b="0"/>
          <wp:wrapNone/>
          <wp:docPr id="7" name="Obrázek 7" descr="footer_Offer_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footer_Offer_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668020"/>
                  </a:xfrm>
                  <a:prstGeom prst="rect">
                    <a:avLst/>
                  </a:prstGeom>
                  <a:noFill/>
                </pic:spPr>
              </pic:pic>
            </a:graphicData>
          </a:graphic>
        </wp:anchor>
      </w:drawing>
    </w:r>
    <w:r>
      <w:rPr>
        <w:b/>
        <w:bCs/>
        <w:color w:val="BEC0C2"/>
        <w:sz w:val="18"/>
        <w:szCs w:val="18"/>
      </w:rPr>
      <w:t xml:space="preserve">Strana </w:t>
    </w:r>
    <w:r w:rsidR="00532C21" w:rsidRPr="00F26AF8">
      <w:rPr>
        <w:b/>
        <w:bCs/>
        <w:color w:val="BEC0C2"/>
        <w:sz w:val="18"/>
        <w:szCs w:val="18"/>
      </w:rPr>
      <w:fldChar w:fldCharType="begin"/>
    </w:r>
    <w:r w:rsidRPr="00F26AF8">
      <w:rPr>
        <w:b/>
        <w:bCs/>
        <w:color w:val="BEC0C2"/>
        <w:sz w:val="18"/>
        <w:szCs w:val="18"/>
      </w:rPr>
      <w:instrText>PAGE</w:instrText>
    </w:r>
    <w:r w:rsidR="00532C21" w:rsidRPr="00F26AF8">
      <w:rPr>
        <w:b/>
        <w:bCs/>
        <w:color w:val="BEC0C2"/>
        <w:sz w:val="18"/>
        <w:szCs w:val="18"/>
      </w:rPr>
      <w:fldChar w:fldCharType="separate"/>
    </w:r>
    <w:r w:rsidR="00210B0C">
      <w:rPr>
        <w:b/>
        <w:bCs/>
        <w:noProof/>
        <w:color w:val="BEC0C2"/>
        <w:sz w:val="18"/>
        <w:szCs w:val="18"/>
      </w:rPr>
      <w:t>5</w:t>
    </w:r>
    <w:r w:rsidR="00532C21" w:rsidRPr="00F26AF8">
      <w:rPr>
        <w:b/>
        <w:bCs/>
        <w:color w:val="BEC0C2"/>
        <w:sz w:val="18"/>
        <w:szCs w:val="18"/>
      </w:rPr>
      <w:fldChar w:fldCharType="end"/>
    </w:r>
    <w:r>
      <w:rPr>
        <w:color w:val="BEC0C2"/>
        <w:sz w:val="18"/>
        <w:szCs w:val="18"/>
      </w:rPr>
      <w:t xml:space="preserve"> z</w:t>
    </w:r>
    <w:r w:rsidRPr="00F26AF8">
      <w:rPr>
        <w:color w:val="BEC0C2"/>
        <w:sz w:val="18"/>
        <w:szCs w:val="18"/>
      </w:rPr>
      <w:t xml:space="preserve"> </w:t>
    </w:r>
    <w:r w:rsidR="00532C21" w:rsidRPr="00F26AF8">
      <w:rPr>
        <w:b/>
        <w:bCs/>
        <w:color w:val="BEC0C2"/>
        <w:sz w:val="18"/>
        <w:szCs w:val="18"/>
      </w:rPr>
      <w:fldChar w:fldCharType="begin"/>
    </w:r>
    <w:r w:rsidRPr="00F26AF8">
      <w:rPr>
        <w:b/>
        <w:bCs/>
        <w:color w:val="BEC0C2"/>
        <w:sz w:val="18"/>
        <w:szCs w:val="18"/>
      </w:rPr>
      <w:instrText>NUMPAGES</w:instrText>
    </w:r>
    <w:r w:rsidR="00532C21" w:rsidRPr="00F26AF8">
      <w:rPr>
        <w:b/>
        <w:bCs/>
        <w:color w:val="BEC0C2"/>
        <w:sz w:val="18"/>
        <w:szCs w:val="18"/>
      </w:rPr>
      <w:fldChar w:fldCharType="separate"/>
    </w:r>
    <w:r w:rsidR="00210B0C">
      <w:rPr>
        <w:b/>
        <w:bCs/>
        <w:noProof/>
        <w:color w:val="BEC0C2"/>
        <w:sz w:val="18"/>
        <w:szCs w:val="18"/>
      </w:rPr>
      <w:t>7</w:t>
    </w:r>
    <w:r w:rsidR="00532C21" w:rsidRPr="00F26AF8">
      <w:rPr>
        <w:b/>
        <w:bCs/>
        <w:color w:val="BEC0C2"/>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F7" w:rsidRDefault="00DE3FF7" w:rsidP="00746AFC">
    <w:pPr>
      <w:pStyle w:val="Zpat"/>
      <w:jc w:val="center"/>
    </w:pPr>
    <w:r>
      <w:rPr>
        <w:noProof/>
        <w:lang w:eastAsia="cs-CZ"/>
      </w:rPr>
      <w:drawing>
        <wp:anchor distT="0" distB="0" distL="114300" distR="114300" simplePos="0" relativeHeight="251659264" behindDoc="1" locked="0" layoutInCell="1" allowOverlap="1">
          <wp:simplePos x="0" y="0"/>
          <wp:positionH relativeFrom="column">
            <wp:posOffset>5038725</wp:posOffset>
          </wp:positionH>
          <wp:positionV relativeFrom="paragraph">
            <wp:posOffset>-478155</wp:posOffset>
          </wp:positionV>
          <wp:extent cx="1626870" cy="1065530"/>
          <wp:effectExtent l="0" t="0" r="0" b="127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1065530"/>
                  </a:xfrm>
                  <a:prstGeom prst="rect">
                    <a:avLst/>
                  </a:prstGeom>
                  <a:noFill/>
                </pic:spPr>
              </pic:pic>
            </a:graphicData>
          </a:graphic>
        </wp:anchor>
      </w:drawing>
    </w:r>
    <w:r>
      <w:rPr>
        <w:b/>
        <w:bCs/>
        <w:color w:val="BEC0C2"/>
        <w:sz w:val="18"/>
        <w:szCs w:val="18"/>
      </w:rPr>
      <w:t xml:space="preserve">Strana </w:t>
    </w:r>
    <w:r w:rsidR="00532C21" w:rsidRPr="00F26AF8">
      <w:rPr>
        <w:b/>
        <w:bCs/>
        <w:color w:val="BEC0C2"/>
        <w:sz w:val="18"/>
        <w:szCs w:val="18"/>
      </w:rPr>
      <w:fldChar w:fldCharType="begin"/>
    </w:r>
    <w:r w:rsidRPr="00F26AF8">
      <w:rPr>
        <w:b/>
        <w:bCs/>
        <w:color w:val="BEC0C2"/>
        <w:sz w:val="18"/>
        <w:szCs w:val="18"/>
      </w:rPr>
      <w:instrText>PAGE</w:instrText>
    </w:r>
    <w:r w:rsidR="00532C21" w:rsidRPr="00F26AF8">
      <w:rPr>
        <w:b/>
        <w:bCs/>
        <w:color w:val="BEC0C2"/>
        <w:sz w:val="18"/>
        <w:szCs w:val="18"/>
      </w:rPr>
      <w:fldChar w:fldCharType="separate"/>
    </w:r>
    <w:r w:rsidR="00210B0C">
      <w:rPr>
        <w:b/>
        <w:bCs/>
        <w:noProof/>
        <w:color w:val="BEC0C2"/>
        <w:sz w:val="18"/>
        <w:szCs w:val="18"/>
      </w:rPr>
      <w:t>1</w:t>
    </w:r>
    <w:r w:rsidR="00532C21" w:rsidRPr="00F26AF8">
      <w:rPr>
        <w:b/>
        <w:bCs/>
        <w:color w:val="BEC0C2"/>
        <w:sz w:val="18"/>
        <w:szCs w:val="18"/>
      </w:rPr>
      <w:fldChar w:fldCharType="end"/>
    </w:r>
    <w:r>
      <w:rPr>
        <w:color w:val="BEC0C2"/>
        <w:sz w:val="18"/>
        <w:szCs w:val="18"/>
      </w:rPr>
      <w:t xml:space="preserve"> z</w:t>
    </w:r>
    <w:r w:rsidRPr="00F26AF8">
      <w:rPr>
        <w:color w:val="BEC0C2"/>
        <w:sz w:val="18"/>
        <w:szCs w:val="18"/>
      </w:rPr>
      <w:t xml:space="preserve"> </w:t>
    </w:r>
    <w:r w:rsidR="00532C21" w:rsidRPr="00F26AF8">
      <w:rPr>
        <w:b/>
        <w:bCs/>
        <w:color w:val="BEC0C2"/>
        <w:sz w:val="18"/>
        <w:szCs w:val="18"/>
      </w:rPr>
      <w:fldChar w:fldCharType="begin"/>
    </w:r>
    <w:r w:rsidRPr="00F26AF8">
      <w:rPr>
        <w:b/>
        <w:bCs/>
        <w:color w:val="BEC0C2"/>
        <w:sz w:val="18"/>
        <w:szCs w:val="18"/>
      </w:rPr>
      <w:instrText>NUMPAGES</w:instrText>
    </w:r>
    <w:r w:rsidR="00532C21" w:rsidRPr="00F26AF8">
      <w:rPr>
        <w:b/>
        <w:bCs/>
        <w:color w:val="BEC0C2"/>
        <w:sz w:val="18"/>
        <w:szCs w:val="18"/>
      </w:rPr>
      <w:fldChar w:fldCharType="separate"/>
    </w:r>
    <w:r w:rsidR="00210B0C">
      <w:rPr>
        <w:b/>
        <w:bCs/>
        <w:noProof/>
        <w:color w:val="BEC0C2"/>
        <w:sz w:val="18"/>
        <w:szCs w:val="18"/>
      </w:rPr>
      <w:t>7</w:t>
    </w:r>
    <w:r w:rsidR="00532C21" w:rsidRPr="00F26AF8">
      <w:rPr>
        <w:b/>
        <w:bCs/>
        <w:color w:val="BEC0C2"/>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FF7" w:rsidRDefault="00DE3FF7" w:rsidP="009E3B4D">
      <w:r>
        <w:separator/>
      </w:r>
    </w:p>
  </w:footnote>
  <w:footnote w:type="continuationSeparator" w:id="0">
    <w:p w:rsidR="00DE3FF7" w:rsidRDefault="00DE3FF7" w:rsidP="009E3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D6" w:rsidRDefault="00B930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F7" w:rsidRDefault="00DE3FF7" w:rsidP="00746AFC">
    <w:pPr>
      <w:pStyle w:val="Zhlav"/>
      <w:jc w:val="both"/>
    </w:pPr>
    <w:r>
      <w:rPr>
        <w:noProof/>
        <w:lang w:eastAsia="cs-CZ"/>
      </w:rPr>
      <w:drawing>
        <wp:anchor distT="0" distB="0" distL="114300" distR="114300" simplePos="0" relativeHeight="251661312" behindDoc="1" locked="0" layoutInCell="1" allowOverlap="1">
          <wp:simplePos x="0" y="0"/>
          <wp:positionH relativeFrom="column">
            <wp:posOffset>-890270</wp:posOffset>
          </wp:positionH>
          <wp:positionV relativeFrom="paragraph">
            <wp:posOffset>-440055</wp:posOffset>
          </wp:positionV>
          <wp:extent cx="1447800" cy="657225"/>
          <wp:effectExtent l="0" t="0" r="0" b="9525"/>
          <wp:wrapNone/>
          <wp:docPr id="8" name="Obrázek 8" descr="header_Offer_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header_Offer_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57225"/>
                  </a:xfrm>
                  <a:prstGeom prst="rect">
                    <a:avLst/>
                  </a:prstGeom>
                  <a:noFill/>
                </pic:spPr>
              </pic:pic>
            </a:graphicData>
          </a:graphic>
        </wp:anchor>
      </w:drawing>
    </w:r>
  </w:p>
  <w:p w:rsidR="00DE3FF7" w:rsidRDefault="00DE3FF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F7" w:rsidRDefault="003F0559">
    <w:pPr>
      <w:pStyle w:val="Zhlav"/>
    </w:pPr>
    <w:r>
      <w:rPr>
        <w:noProof/>
        <w:lang w:eastAsia="cs-CZ"/>
      </w:rPr>
      <w:drawing>
        <wp:anchor distT="0" distB="0" distL="114300" distR="114300" simplePos="0" relativeHeight="251663360" behindDoc="1" locked="0" layoutInCell="1" allowOverlap="1" wp14:anchorId="68D1BF1C" wp14:editId="519D8C9C">
          <wp:simplePos x="0" y="0"/>
          <wp:positionH relativeFrom="column">
            <wp:posOffset>-782837</wp:posOffset>
          </wp:positionH>
          <wp:positionV relativeFrom="paragraph">
            <wp:posOffset>-553631</wp:posOffset>
          </wp:positionV>
          <wp:extent cx="7559040" cy="897255"/>
          <wp:effectExtent l="0" t="0" r="3810" b="0"/>
          <wp:wrapTight wrapText="bothSides">
            <wp:wrapPolygon edited="0">
              <wp:start x="0" y="0"/>
              <wp:lineTo x="0" y="21096"/>
              <wp:lineTo x="21556" y="21096"/>
              <wp:lineTo x="21556" y="0"/>
              <wp:lineTo x="0" y="0"/>
            </wp:wrapPolygon>
          </wp:wrapTight>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8972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02A"/>
    <w:multiLevelType w:val="singleLevel"/>
    <w:tmpl w:val="74762DDC"/>
    <w:lvl w:ilvl="0">
      <w:start w:val="1"/>
      <w:numFmt w:val="decimal"/>
      <w:lvlText w:val="%1."/>
      <w:lvlJc w:val="left"/>
      <w:pPr>
        <w:tabs>
          <w:tab w:val="num" w:pos="1068"/>
        </w:tabs>
        <w:ind w:left="1068" w:hanging="360"/>
      </w:pPr>
      <w:rPr>
        <w:rFonts w:hint="default"/>
      </w:rPr>
    </w:lvl>
  </w:abstractNum>
  <w:abstractNum w:abstractNumId="1" w15:restartNumberingAfterBreak="0">
    <w:nsid w:val="1A1838C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805E4C"/>
    <w:multiLevelType w:val="hybridMultilevel"/>
    <w:tmpl w:val="C8202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C4650A"/>
    <w:multiLevelType w:val="hybridMultilevel"/>
    <w:tmpl w:val="26F04ED2"/>
    <w:lvl w:ilvl="0" w:tplc="4144272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D5A584B"/>
    <w:multiLevelType w:val="hybridMultilevel"/>
    <w:tmpl w:val="1AB88E18"/>
    <w:lvl w:ilvl="0" w:tplc="CE9823F6">
      <w:start w:val="1"/>
      <w:numFmt w:val="upperRoman"/>
      <w:lvlText w:val="%1."/>
      <w:lvlJc w:val="right"/>
      <w:pPr>
        <w:ind w:left="0" w:firstLine="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DD15A0"/>
    <w:multiLevelType w:val="hybridMultilevel"/>
    <w:tmpl w:val="BEB23A9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431F431B"/>
    <w:multiLevelType w:val="hybridMultilevel"/>
    <w:tmpl w:val="36107672"/>
    <w:lvl w:ilvl="0" w:tplc="97EA75D6">
      <w:start w:val="1"/>
      <w:numFmt w:val="decimal"/>
      <w:lvlText w:val="%1."/>
      <w:lvlJc w:val="left"/>
      <w:pPr>
        <w:tabs>
          <w:tab w:val="num" w:pos="498"/>
        </w:tabs>
        <w:ind w:left="397" w:hanging="340"/>
      </w:pPr>
      <w:rPr>
        <w:rFonts w:hint="default"/>
      </w:rPr>
    </w:lvl>
    <w:lvl w:ilvl="1" w:tplc="04050019">
      <w:start w:val="1"/>
      <w:numFmt w:val="lowerLetter"/>
      <w:lvlText w:val="%2."/>
      <w:lvlJc w:val="left"/>
      <w:pPr>
        <w:tabs>
          <w:tab w:val="num" w:pos="1105"/>
        </w:tabs>
        <w:ind w:left="1105" w:hanging="360"/>
      </w:pPr>
    </w:lvl>
    <w:lvl w:ilvl="2" w:tplc="0405001B">
      <w:start w:val="1"/>
      <w:numFmt w:val="lowerRoman"/>
      <w:lvlText w:val="%3."/>
      <w:lvlJc w:val="right"/>
      <w:pPr>
        <w:tabs>
          <w:tab w:val="num" w:pos="1825"/>
        </w:tabs>
        <w:ind w:left="1825" w:hanging="180"/>
      </w:pPr>
    </w:lvl>
    <w:lvl w:ilvl="3" w:tplc="0405000F">
      <w:start w:val="1"/>
      <w:numFmt w:val="decimal"/>
      <w:lvlText w:val="%4."/>
      <w:lvlJc w:val="left"/>
      <w:pPr>
        <w:tabs>
          <w:tab w:val="num" w:pos="2545"/>
        </w:tabs>
        <w:ind w:left="2545" w:hanging="360"/>
      </w:pPr>
    </w:lvl>
    <w:lvl w:ilvl="4" w:tplc="04050019">
      <w:start w:val="1"/>
      <w:numFmt w:val="lowerLetter"/>
      <w:lvlText w:val="%5."/>
      <w:lvlJc w:val="left"/>
      <w:pPr>
        <w:tabs>
          <w:tab w:val="num" w:pos="3265"/>
        </w:tabs>
        <w:ind w:left="3265" w:hanging="360"/>
      </w:pPr>
    </w:lvl>
    <w:lvl w:ilvl="5" w:tplc="0405001B">
      <w:start w:val="1"/>
      <w:numFmt w:val="lowerRoman"/>
      <w:lvlText w:val="%6."/>
      <w:lvlJc w:val="right"/>
      <w:pPr>
        <w:tabs>
          <w:tab w:val="num" w:pos="3985"/>
        </w:tabs>
        <w:ind w:left="3985" w:hanging="180"/>
      </w:pPr>
    </w:lvl>
    <w:lvl w:ilvl="6" w:tplc="0405000F">
      <w:start w:val="1"/>
      <w:numFmt w:val="decimal"/>
      <w:lvlText w:val="%7."/>
      <w:lvlJc w:val="left"/>
      <w:pPr>
        <w:tabs>
          <w:tab w:val="num" w:pos="4705"/>
        </w:tabs>
        <w:ind w:left="4705" w:hanging="360"/>
      </w:pPr>
    </w:lvl>
    <w:lvl w:ilvl="7" w:tplc="04050019">
      <w:start w:val="1"/>
      <w:numFmt w:val="lowerLetter"/>
      <w:lvlText w:val="%8."/>
      <w:lvlJc w:val="left"/>
      <w:pPr>
        <w:tabs>
          <w:tab w:val="num" w:pos="5425"/>
        </w:tabs>
        <w:ind w:left="5425" w:hanging="360"/>
      </w:pPr>
    </w:lvl>
    <w:lvl w:ilvl="8" w:tplc="0405001B">
      <w:start w:val="1"/>
      <w:numFmt w:val="lowerRoman"/>
      <w:lvlText w:val="%9."/>
      <w:lvlJc w:val="right"/>
      <w:pPr>
        <w:tabs>
          <w:tab w:val="num" w:pos="6145"/>
        </w:tabs>
        <w:ind w:left="6145" w:hanging="180"/>
      </w:pPr>
    </w:lvl>
  </w:abstractNum>
  <w:abstractNum w:abstractNumId="7" w15:restartNumberingAfterBreak="0">
    <w:nsid w:val="46240792"/>
    <w:multiLevelType w:val="hybridMultilevel"/>
    <w:tmpl w:val="18028E44"/>
    <w:lvl w:ilvl="0" w:tplc="F52A00F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AC101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A6265A"/>
    <w:multiLevelType w:val="singleLevel"/>
    <w:tmpl w:val="74762DDC"/>
    <w:lvl w:ilvl="0">
      <w:start w:val="1"/>
      <w:numFmt w:val="decimal"/>
      <w:lvlText w:val="%1."/>
      <w:lvlJc w:val="left"/>
      <w:pPr>
        <w:tabs>
          <w:tab w:val="num" w:pos="1068"/>
        </w:tabs>
        <w:ind w:left="1068" w:hanging="360"/>
      </w:pPr>
      <w:rPr>
        <w:rFonts w:hint="default"/>
      </w:rPr>
    </w:lvl>
  </w:abstractNum>
  <w:abstractNum w:abstractNumId="10" w15:restartNumberingAfterBreak="0">
    <w:nsid w:val="551D0598"/>
    <w:multiLevelType w:val="singleLevel"/>
    <w:tmpl w:val="E6B2D1CC"/>
    <w:lvl w:ilvl="0">
      <w:start w:val="1"/>
      <w:numFmt w:val="lowerLetter"/>
      <w:lvlText w:val="(%1)"/>
      <w:lvlJc w:val="left"/>
      <w:pPr>
        <w:tabs>
          <w:tab w:val="num" w:pos="1090"/>
        </w:tabs>
        <w:ind w:left="1090" w:hanging="540"/>
      </w:pPr>
      <w:rPr>
        <w:rFonts w:hint="default"/>
      </w:rPr>
    </w:lvl>
  </w:abstractNum>
  <w:abstractNum w:abstractNumId="11" w15:restartNumberingAfterBreak="0">
    <w:nsid w:val="5681586E"/>
    <w:multiLevelType w:val="singleLevel"/>
    <w:tmpl w:val="6D7A7E68"/>
    <w:lvl w:ilvl="0">
      <w:start w:val="1"/>
      <w:numFmt w:val="decimal"/>
      <w:lvlText w:val="%1."/>
      <w:lvlJc w:val="left"/>
      <w:pPr>
        <w:tabs>
          <w:tab w:val="num" w:pos="1068"/>
        </w:tabs>
        <w:ind w:left="1068" w:hanging="360"/>
      </w:pPr>
      <w:rPr>
        <w:rFonts w:hint="default"/>
      </w:rPr>
    </w:lvl>
  </w:abstractNum>
  <w:abstractNum w:abstractNumId="12" w15:restartNumberingAfterBreak="0">
    <w:nsid w:val="60502C97"/>
    <w:multiLevelType w:val="singleLevel"/>
    <w:tmpl w:val="74762DDC"/>
    <w:lvl w:ilvl="0">
      <w:start w:val="1"/>
      <w:numFmt w:val="decimal"/>
      <w:lvlText w:val="%1."/>
      <w:lvlJc w:val="left"/>
      <w:pPr>
        <w:tabs>
          <w:tab w:val="num" w:pos="1068"/>
        </w:tabs>
        <w:ind w:left="1068" w:hanging="360"/>
      </w:pPr>
      <w:rPr>
        <w:rFonts w:hint="default"/>
      </w:rPr>
    </w:lvl>
  </w:abstractNum>
  <w:abstractNum w:abstractNumId="13" w15:restartNumberingAfterBreak="0">
    <w:nsid w:val="675A469C"/>
    <w:multiLevelType w:val="hybridMultilevel"/>
    <w:tmpl w:val="474459C8"/>
    <w:lvl w:ilvl="0" w:tplc="257EDF3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AE431E"/>
    <w:multiLevelType w:val="singleLevel"/>
    <w:tmpl w:val="4392C3F2"/>
    <w:lvl w:ilvl="0">
      <w:start w:val="1"/>
      <w:numFmt w:val="decimal"/>
      <w:lvlText w:val="%1."/>
      <w:lvlJc w:val="left"/>
      <w:pPr>
        <w:tabs>
          <w:tab w:val="num" w:pos="1068"/>
        </w:tabs>
        <w:ind w:left="1068" w:hanging="360"/>
      </w:pPr>
      <w:rPr>
        <w:rFonts w:hint="default"/>
      </w:rPr>
    </w:lvl>
  </w:abstractNum>
  <w:abstractNum w:abstractNumId="15" w15:restartNumberingAfterBreak="0">
    <w:nsid w:val="795B5F4B"/>
    <w:multiLevelType w:val="singleLevel"/>
    <w:tmpl w:val="064AC4C8"/>
    <w:lvl w:ilvl="0">
      <w:start w:val="1"/>
      <w:numFmt w:val="decimal"/>
      <w:lvlText w:val="%1."/>
      <w:legacy w:legacy="1" w:legacySpace="0" w:legacyIndent="283"/>
      <w:lvlJc w:val="left"/>
      <w:pPr>
        <w:ind w:left="283" w:hanging="283"/>
      </w:pPr>
    </w:lvl>
  </w:abstractNum>
  <w:abstractNum w:abstractNumId="16" w15:restartNumberingAfterBreak="0">
    <w:nsid w:val="7EFE3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4"/>
  </w:num>
  <w:num w:numId="3">
    <w:abstractNumId w:val="0"/>
  </w:num>
  <w:num w:numId="4">
    <w:abstractNumId w:val="12"/>
  </w:num>
  <w:num w:numId="5">
    <w:abstractNumId w:val="11"/>
  </w:num>
  <w:num w:numId="6">
    <w:abstractNumId w:val="10"/>
  </w:num>
  <w:num w:numId="7">
    <w:abstractNumId w:val="9"/>
  </w:num>
  <w:num w:numId="8">
    <w:abstractNumId w:val="5"/>
  </w:num>
  <w:num w:numId="9">
    <w:abstractNumId w:val="3"/>
  </w:num>
  <w:num w:numId="10">
    <w:abstractNumId w:val="7"/>
  </w:num>
  <w:num w:numId="11">
    <w:abstractNumId w:val="1"/>
  </w:num>
  <w:num w:numId="12">
    <w:abstractNumId w:val="8"/>
  </w:num>
  <w:num w:numId="13">
    <w:abstractNumId w:val="16"/>
  </w:num>
  <w:num w:numId="14">
    <w:abstractNumId w:val="2"/>
  </w:num>
  <w:num w:numId="15">
    <w:abstractNumId w:val="13"/>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510FAC"/>
    <w:rsid w:val="00135D2D"/>
    <w:rsid w:val="00145180"/>
    <w:rsid w:val="00145B65"/>
    <w:rsid w:val="0014612B"/>
    <w:rsid w:val="001E0D73"/>
    <w:rsid w:val="001E0DE0"/>
    <w:rsid w:val="00210B0C"/>
    <w:rsid w:val="00233B1A"/>
    <w:rsid w:val="002550E5"/>
    <w:rsid w:val="00286878"/>
    <w:rsid w:val="002B7CE9"/>
    <w:rsid w:val="002C352D"/>
    <w:rsid w:val="002C4419"/>
    <w:rsid w:val="002E4FF5"/>
    <w:rsid w:val="00342858"/>
    <w:rsid w:val="003F0559"/>
    <w:rsid w:val="0040162F"/>
    <w:rsid w:val="00423C9D"/>
    <w:rsid w:val="00425E56"/>
    <w:rsid w:val="00433A96"/>
    <w:rsid w:val="00462AA3"/>
    <w:rsid w:val="00467925"/>
    <w:rsid w:val="0047490D"/>
    <w:rsid w:val="004B0525"/>
    <w:rsid w:val="004B5B4A"/>
    <w:rsid w:val="00504B12"/>
    <w:rsid w:val="00510FAC"/>
    <w:rsid w:val="00523F35"/>
    <w:rsid w:val="00532C21"/>
    <w:rsid w:val="00544A5A"/>
    <w:rsid w:val="00550F01"/>
    <w:rsid w:val="00572DEF"/>
    <w:rsid w:val="00574A22"/>
    <w:rsid w:val="005B285B"/>
    <w:rsid w:val="005D6A76"/>
    <w:rsid w:val="00624804"/>
    <w:rsid w:val="006724FA"/>
    <w:rsid w:val="006C68FE"/>
    <w:rsid w:val="006E4102"/>
    <w:rsid w:val="006F4CC8"/>
    <w:rsid w:val="0072321C"/>
    <w:rsid w:val="00746AFC"/>
    <w:rsid w:val="00760405"/>
    <w:rsid w:val="007B3AE8"/>
    <w:rsid w:val="007E03B9"/>
    <w:rsid w:val="007E4DA8"/>
    <w:rsid w:val="00850C27"/>
    <w:rsid w:val="008B3FF0"/>
    <w:rsid w:val="008D0F78"/>
    <w:rsid w:val="008E059A"/>
    <w:rsid w:val="008F5F12"/>
    <w:rsid w:val="00946A10"/>
    <w:rsid w:val="00986B5D"/>
    <w:rsid w:val="00990F56"/>
    <w:rsid w:val="009A07C6"/>
    <w:rsid w:val="009C6DE7"/>
    <w:rsid w:val="009E3B4D"/>
    <w:rsid w:val="00A1125F"/>
    <w:rsid w:val="00AE0CFC"/>
    <w:rsid w:val="00B5024B"/>
    <w:rsid w:val="00B627B1"/>
    <w:rsid w:val="00B930D6"/>
    <w:rsid w:val="00BE2D69"/>
    <w:rsid w:val="00C31C38"/>
    <w:rsid w:val="00C80C76"/>
    <w:rsid w:val="00CA3048"/>
    <w:rsid w:val="00CB4AE2"/>
    <w:rsid w:val="00CD0F29"/>
    <w:rsid w:val="00D0584D"/>
    <w:rsid w:val="00D05933"/>
    <w:rsid w:val="00D21786"/>
    <w:rsid w:val="00D4061A"/>
    <w:rsid w:val="00D65062"/>
    <w:rsid w:val="00D90D3D"/>
    <w:rsid w:val="00DA25B7"/>
    <w:rsid w:val="00DE0D8F"/>
    <w:rsid w:val="00DE2BC1"/>
    <w:rsid w:val="00DE3FF7"/>
    <w:rsid w:val="00E132A1"/>
    <w:rsid w:val="00E2689C"/>
    <w:rsid w:val="00E60FAF"/>
    <w:rsid w:val="00E8388A"/>
    <w:rsid w:val="00E87D31"/>
    <w:rsid w:val="00EB6BAB"/>
    <w:rsid w:val="00F23C30"/>
    <w:rsid w:val="00F26E36"/>
    <w:rsid w:val="00F66076"/>
    <w:rsid w:val="00F8676B"/>
    <w:rsid w:val="00FA0BFE"/>
    <w:rsid w:val="00FC32B9"/>
    <w:rsid w:val="00FE4BD7"/>
    <w:rsid w:val="00FE7C2C"/>
    <w:rsid w:val="00FF580A"/>
    <w:rsid w:val="00FF632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D93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B65"/>
    <w:pPr>
      <w:spacing w:after="0" w:line="240" w:lineRule="auto"/>
    </w:pPr>
    <w:rPr>
      <w:rFonts w:ascii="Tahoma" w:hAnsi="Tahoma" w:cs="Times New Roman"/>
      <w:sz w:val="20"/>
      <w:szCs w:val="20"/>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10FAC"/>
    <w:pPr>
      <w:tabs>
        <w:tab w:val="center" w:pos="4536"/>
        <w:tab w:val="right" w:pos="9072"/>
      </w:tabs>
    </w:pPr>
    <w:rPr>
      <w:rFonts w:cs="Tahoma"/>
      <w:lang w:bidi="ar-SA"/>
    </w:rPr>
  </w:style>
  <w:style w:type="character" w:customStyle="1" w:styleId="ZhlavChar">
    <w:name w:val="Záhlaví Char"/>
    <w:basedOn w:val="Standardnpsmoodstavce"/>
    <w:link w:val="Zhlav"/>
    <w:uiPriority w:val="99"/>
    <w:rsid w:val="00510FAC"/>
    <w:rPr>
      <w:rFonts w:ascii="Tahoma" w:hAnsi="Tahoma" w:cs="Tahoma"/>
      <w:sz w:val="20"/>
      <w:szCs w:val="20"/>
    </w:rPr>
  </w:style>
  <w:style w:type="paragraph" w:styleId="Zpat">
    <w:name w:val="footer"/>
    <w:basedOn w:val="Normln"/>
    <w:link w:val="ZpatChar"/>
    <w:uiPriority w:val="99"/>
    <w:rsid w:val="00510FAC"/>
    <w:pPr>
      <w:tabs>
        <w:tab w:val="center" w:pos="4536"/>
        <w:tab w:val="right" w:pos="9072"/>
      </w:tabs>
    </w:pPr>
    <w:rPr>
      <w:rFonts w:cs="Tahoma"/>
      <w:lang w:bidi="ar-SA"/>
    </w:rPr>
  </w:style>
  <w:style w:type="character" w:customStyle="1" w:styleId="ZpatChar">
    <w:name w:val="Zápatí Char"/>
    <w:basedOn w:val="Standardnpsmoodstavce"/>
    <w:link w:val="Zpat"/>
    <w:uiPriority w:val="99"/>
    <w:rsid w:val="00510FAC"/>
    <w:rPr>
      <w:rFonts w:ascii="Tahoma" w:hAnsi="Tahoma" w:cs="Tahoma"/>
      <w:sz w:val="20"/>
      <w:szCs w:val="20"/>
    </w:rPr>
  </w:style>
  <w:style w:type="paragraph" w:styleId="Odstavecseseznamem">
    <w:name w:val="List Paragraph"/>
    <w:basedOn w:val="Normln"/>
    <w:uiPriority w:val="34"/>
    <w:qFormat/>
    <w:rsid w:val="00510FAC"/>
    <w:pPr>
      <w:ind w:left="720"/>
      <w:contextualSpacing/>
    </w:pPr>
  </w:style>
  <w:style w:type="character" w:styleId="Hypertextovodkaz">
    <w:name w:val="Hyperlink"/>
    <w:basedOn w:val="Standardnpsmoodstavce"/>
    <w:uiPriority w:val="99"/>
    <w:unhideWhenUsed/>
    <w:rsid w:val="007E03B9"/>
    <w:rPr>
      <w:color w:val="0000FF"/>
      <w:u w:val="single"/>
    </w:rPr>
  </w:style>
  <w:style w:type="character" w:styleId="Siln">
    <w:name w:val="Strong"/>
    <w:basedOn w:val="Standardnpsmoodstavce"/>
    <w:uiPriority w:val="22"/>
    <w:qFormat/>
    <w:rsid w:val="007E03B9"/>
    <w:rPr>
      <w:b/>
      <w:bCs/>
    </w:rPr>
  </w:style>
  <w:style w:type="paragraph" w:styleId="Zkladntextodsazen">
    <w:name w:val="Body Text Indent"/>
    <w:basedOn w:val="Normln"/>
    <w:link w:val="ZkladntextodsazenChar"/>
    <w:rsid w:val="00DE0D8F"/>
    <w:pPr>
      <w:spacing w:after="120"/>
      <w:ind w:left="283"/>
      <w:jc w:val="both"/>
    </w:pPr>
    <w:rPr>
      <w:rFonts w:ascii="Arial" w:hAnsi="Arial"/>
      <w:sz w:val="22"/>
      <w:szCs w:val="24"/>
      <w:lang w:eastAsia="cs-CZ" w:bidi="ar-SA"/>
    </w:rPr>
  </w:style>
  <w:style w:type="character" w:customStyle="1" w:styleId="ZkladntextodsazenChar">
    <w:name w:val="Základní text odsazený Char"/>
    <w:basedOn w:val="Standardnpsmoodstavce"/>
    <w:link w:val="Zkladntextodsazen"/>
    <w:rsid w:val="00DE0D8F"/>
    <w:rPr>
      <w:rFonts w:ascii="Arial"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90888">
      <w:bodyDiv w:val="1"/>
      <w:marLeft w:val="0"/>
      <w:marRight w:val="0"/>
      <w:marTop w:val="0"/>
      <w:marBottom w:val="0"/>
      <w:divBdr>
        <w:top w:val="none" w:sz="0" w:space="0" w:color="auto"/>
        <w:left w:val="none" w:sz="0" w:space="0" w:color="auto"/>
        <w:bottom w:val="none" w:sz="0" w:space="0" w:color="auto"/>
        <w:right w:val="none" w:sz="0" w:space="0" w:color="auto"/>
      </w:divBdr>
    </w:div>
    <w:div w:id="995956486">
      <w:bodyDiv w:val="1"/>
      <w:marLeft w:val="0"/>
      <w:marRight w:val="0"/>
      <w:marTop w:val="0"/>
      <w:marBottom w:val="0"/>
      <w:divBdr>
        <w:top w:val="none" w:sz="0" w:space="0" w:color="auto"/>
        <w:left w:val="none" w:sz="0" w:space="0" w:color="auto"/>
        <w:bottom w:val="none" w:sz="0" w:space="0" w:color="auto"/>
        <w:right w:val="none" w:sz="0" w:space="0" w:color="auto"/>
      </w:divBdr>
    </w:div>
    <w:div w:id="1158883328">
      <w:bodyDiv w:val="1"/>
      <w:marLeft w:val="0"/>
      <w:marRight w:val="0"/>
      <w:marTop w:val="0"/>
      <w:marBottom w:val="0"/>
      <w:divBdr>
        <w:top w:val="none" w:sz="0" w:space="0" w:color="auto"/>
        <w:left w:val="none" w:sz="0" w:space="0" w:color="auto"/>
        <w:bottom w:val="none" w:sz="0" w:space="0" w:color="auto"/>
        <w:right w:val="none" w:sz="0" w:space="0" w:color="auto"/>
      </w:divBdr>
    </w:div>
    <w:div w:id="1371683910">
      <w:bodyDiv w:val="1"/>
      <w:marLeft w:val="0"/>
      <w:marRight w:val="0"/>
      <w:marTop w:val="0"/>
      <w:marBottom w:val="0"/>
      <w:divBdr>
        <w:top w:val="none" w:sz="0" w:space="0" w:color="auto"/>
        <w:left w:val="none" w:sz="0" w:space="0" w:color="auto"/>
        <w:bottom w:val="none" w:sz="0" w:space="0" w:color="auto"/>
        <w:right w:val="none" w:sz="0" w:space="0" w:color="auto"/>
      </w:divBdr>
      <w:divsChild>
        <w:div w:id="459493344">
          <w:marLeft w:val="0"/>
          <w:marRight w:val="0"/>
          <w:marTop w:val="0"/>
          <w:marBottom w:val="0"/>
          <w:divBdr>
            <w:top w:val="none" w:sz="0" w:space="0" w:color="auto"/>
            <w:left w:val="none" w:sz="0" w:space="0" w:color="auto"/>
            <w:bottom w:val="none" w:sz="0" w:space="0" w:color="auto"/>
            <w:right w:val="none" w:sz="0" w:space="0" w:color="auto"/>
          </w:divBdr>
        </w:div>
      </w:divsChild>
    </w:div>
    <w:div w:id="1563635337">
      <w:bodyDiv w:val="1"/>
      <w:marLeft w:val="0"/>
      <w:marRight w:val="0"/>
      <w:marTop w:val="0"/>
      <w:marBottom w:val="0"/>
      <w:divBdr>
        <w:top w:val="none" w:sz="0" w:space="0" w:color="auto"/>
        <w:left w:val="none" w:sz="0" w:space="0" w:color="auto"/>
        <w:bottom w:val="none" w:sz="0" w:space="0" w:color="auto"/>
        <w:right w:val="none" w:sz="0" w:space="0" w:color="auto"/>
      </w:divBdr>
    </w:div>
    <w:div w:id="1619947495">
      <w:bodyDiv w:val="1"/>
      <w:marLeft w:val="0"/>
      <w:marRight w:val="0"/>
      <w:marTop w:val="0"/>
      <w:marBottom w:val="0"/>
      <w:divBdr>
        <w:top w:val="none" w:sz="0" w:space="0" w:color="auto"/>
        <w:left w:val="none" w:sz="0" w:space="0" w:color="auto"/>
        <w:bottom w:val="none" w:sz="0" w:space="0" w:color="auto"/>
        <w:right w:val="none" w:sz="0" w:space="0" w:color="auto"/>
      </w:divBdr>
    </w:div>
    <w:div w:id="184231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nfo@proact.e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odatelna@nipos-mk.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2940</Words>
  <Characters>17347</Characters>
  <Application>Microsoft Office Word</Application>
  <DocSecurity>4</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2019-12-18T09:28:00Z</dcterms:created>
  <dcterms:modified xsi:type="dcterms:W3CDTF">2019-12-18T09:28:00Z</dcterms:modified>
</cp:coreProperties>
</file>