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A1" w:rsidRDefault="00472D7F" w:rsidP="003C77B8">
      <w:pPr>
        <w:rPr>
          <w:b/>
          <w:sz w:val="26"/>
          <w:szCs w:val="26"/>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-200025</wp:posOffset>
                </wp:positionH>
                <wp:positionV relativeFrom="paragraph">
                  <wp:posOffset>-304800</wp:posOffset>
                </wp:positionV>
                <wp:extent cx="2686685" cy="82867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68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15210B">
                              <w:t>UT-16702/2016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15.75pt;margin-top:-24pt;width:211.5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" filled="f" stroked="f">
                <v:textbox>
                  <w:txbxContent>
                    <w:p w:rsidR="00905212" w:rsidRDefault="00905212" w:rsidP="00905212">
                      <w:pPr>
                        <w:rPr>
                          <w:rFonts w:ascii="Bar-Code 39" w:hAnsi="Bar-Code 39" w:cs="Tahoma"/>
                          <w:color w:val="000000"/>
                          <w:sz w:val="44"/>
                          <w:szCs w:val="44"/>
                        </w:rPr>
                      </w:pPr>
                      <w:r w:rsidRPr="00467DBE">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0015210B">
                        <w:rPr>
                          <w:rFonts w:ascii="Bar-Code 39" w:hAnsi="Bar-Code 39" w:cs="Tahoma"/>
                          <w:color w:val="000000"/>
                          <w:sz w:val="44"/>
                          <w:szCs w:val="44"/>
                        </w:rPr>
                        <w:t></w:t>
                      </w:r>
                      <w:r w:rsidRPr="00467DBE">
                        <w:rPr>
                          <w:rFonts w:ascii="Bar-Code 39" w:hAnsi="Bar-Code 39" w:cs="Tahoma"/>
                          <w:color w:val="000000"/>
                          <w:sz w:val="44"/>
                          <w:szCs w:val="44"/>
                        </w:rPr>
                        <w:t></w:t>
                      </w:r>
                    </w:p>
                    <w:p w:rsidR="00905212" w:rsidRDefault="00905212" w:rsidP="00905212">
                      <w:r>
                        <w:t xml:space="preserve">Naše č. j.:      </w:t>
                      </w:r>
                      <w:r w:rsidR="0015210B">
                        <w:t>UT-16702/2016</w:t>
                      </w:r>
                    </w:p>
                  </w:txbxContent>
                </v:textbox>
              </v:shape>
            </w:pict>
          </mc:Fallback>
        </mc:AlternateContent>
      </w:r>
      <w:r w:rsidR="000272A1" w:rsidRPr="001D3A0E">
        <w:rPr>
          <w:b/>
          <w:sz w:val="26"/>
          <w:szCs w:val="26"/>
        </w:rPr>
        <w:t xml:space="preserve">                                            </w:t>
      </w:r>
    </w:p>
    <w:p w:rsidR="00AE783F" w:rsidRDefault="00AE783F" w:rsidP="003C77B8">
      <w:pPr>
        <w:rPr>
          <w:b/>
          <w:sz w:val="26"/>
          <w:szCs w:val="26"/>
        </w:rPr>
      </w:pPr>
    </w:p>
    <w:p w:rsidR="00AE783F" w:rsidRPr="001D3A0E" w:rsidRDefault="00AE783F" w:rsidP="003C77B8">
      <w:pPr>
        <w:rPr>
          <w:b/>
          <w:sz w:val="26"/>
          <w:szCs w:val="26"/>
        </w:rPr>
      </w:pPr>
    </w:p>
    <w:p w:rsidR="00D64B89" w:rsidRPr="00FC60F9" w:rsidRDefault="00D64B89" w:rsidP="00D64B89">
      <w:pPr>
        <w:pStyle w:val="Nzev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rPr>
          <w:rFonts w:ascii="Bookman Old Style" w:eastAsia="Arial" w:hAnsi="Bookman Old Style"/>
          <w:b/>
          <w:sz w:val="32"/>
          <w:szCs w:val="32"/>
          <w:lang w:val="cs-CZ"/>
        </w:rPr>
      </w:pPr>
      <w:r w:rsidRPr="00FC60F9">
        <w:rPr>
          <w:rFonts w:ascii="Bookman Old Style" w:eastAsia="Arial" w:hAnsi="Bookman Old Style"/>
          <w:b/>
          <w:sz w:val="32"/>
          <w:szCs w:val="32"/>
          <w:lang w:val="cs-CZ"/>
        </w:rPr>
        <w:t>NÁJEMNÍ SMLOUVA</w:t>
      </w:r>
    </w:p>
    <w:p w:rsidR="00D64B89" w:rsidRPr="00FC60F9" w:rsidRDefault="00D64B89" w:rsidP="00D64B89">
      <w:pPr>
        <w:pStyle w:val="Nzev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rPr>
          <w:rFonts w:ascii="Bookman Old Style" w:hAnsi="Bookman Old Style"/>
          <w:sz w:val="24"/>
          <w:szCs w:val="24"/>
          <w:lang w:val="cs-CZ"/>
        </w:rPr>
      </w:pPr>
      <w:r w:rsidRPr="00FC60F9">
        <w:rPr>
          <w:rFonts w:ascii="Bookman Old Style" w:hAnsi="Bookman Old Style"/>
          <w:sz w:val="24"/>
          <w:szCs w:val="24"/>
          <w:lang w:val="cs-CZ"/>
        </w:rPr>
        <w:t>(č.j. nájemce UT-16702/2016)</w:t>
      </w:r>
    </w:p>
    <w:p w:rsidR="00D64B89" w:rsidRPr="00F01391" w:rsidRDefault="00D64B89" w:rsidP="00D64B89">
      <w:pPr>
        <w:pStyle w:val="Nzev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ascii="Bookman Old Style" w:hAnsi="Bookman Old Style"/>
          <w:b/>
          <w:i/>
          <w:sz w:val="22"/>
          <w:szCs w:val="22"/>
          <w:lang w:val="cs-CZ"/>
        </w:rPr>
      </w:pPr>
    </w:p>
    <w:p w:rsidR="00D64B89" w:rsidRPr="00F01391" w:rsidRDefault="00D64B89" w:rsidP="00D64B89">
      <w:pPr>
        <w:jc w:val="center"/>
        <w:rPr>
          <w:sz w:val="22"/>
          <w:szCs w:val="22"/>
        </w:rPr>
      </w:pPr>
      <w:r w:rsidRPr="00F01391">
        <w:rPr>
          <w:sz w:val="22"/>
          <w:szCs w:val="22"/>
        </w:rPr>
        <w:t>Smluvní strany:</w:t>
      </w:r>
    </w:p>
    <w:p w:rsidR="00D64B89" w:rsidRPr="00F01391" w:rsidRDefault="00D64B89" w:rsidP="00D64B89">
      <w:pPr>
        <w:jc w:val="both"/>
        <w:rPr>
          <w:sz w:val="22"/>
          <w:szCs w:val="22"/>
        </w:rPr>
      </w:pPr>
    </w:p>
    <w:p w:rsidR="00D64B89" w:rsidRPr="00D64B89" w:rsidRDefault="00D64B89" w:rsidP="00D64B89">
      <w:pPr>
        <w:jc w:val="both"/>
        <w:rPr>
          <w:b/>
          <w:sz w:val="24"/>
          <w:szCs w:val="24"/>
        </w:rPr>
      </w:pPr>
      <w:r w:rsidRPr="00D64B89">
        <w:rPr>
          <w:b/>
          <w:sz w:val="24"/>
          <w:szCs w:val="24"/>
        </w:rPr>
        <w:t>Pražská správa nemovitostí, spol. s r. o.</w:t>
      </w:r>
    </w:p>
    <w:p w:rsidR="00D64B89" w:rsidRPr="00F01391" w:rsidRDefault="00D64B89" w:rsidP="00D64B89">
      <w:pPr>
        <w:jc w:val="both"/>
        <w:rPr>
          <w:sz w:val="22"/>
          <w:szCs w:val="22"/>
        </w:rPr>
      </w:pPr>
      <w:r w:rsidRPr="00F01391">
        <w:rPr>
          <w:sz w:val="22"/>
          <w:szCs w:val="22"/>
        </w:rPr>
        <w:t>zapsaná v OR vedeném u MS v Praze, odd. C, vložka 1671,</w:t>
      </w:r>
    </w:p>
    <w:p w:rsidR="00D64B89" w:rsidRPr="00F01391" w:rsidRDefault="00D64B89" w:rsidP="00D64B89">
      <w:pPr>
        <w:jc w:val="both"/>
        <w:rPr>
          <w:sz w:val="22"/>
          <w:szCs w:val="22"/>
        </w:rPr>
      </w:pPr>
      <w:r w:rsidRPr="00F01391">
        <w:rPr>
          <w:sz w:val="22"/>
          <w:szCs w:val="22"/>
        </w:rPr>
        <w:t>se sídlem v Praze 3, Seifertova 823/9, PSČ 130 00,</w:t>
      </w:r>
    </w:p>
    <w:p w:rsidR="00D64B89" w:rsidRPr="00F01391" w:rsidRDefault="00D64B89" w:rsidP="00D64B89">
      <w:pPr>
        <w:jc w:val="both"/>
        <w:rPr>
          <w:sz w:val="22"/>
          <w:szCs w:val="22"/>
        </w:rPr>
      </w:pPr>
      <w:r w:rsidRPr="00F01391">
        <w:rPr>
          <w:sz w:val="22"/>
          <w:szCs w:val="22"/>
        </w:rPr>
        <w:t>IČ: 170 48 869, DIČ: CZ17048869,</w:t>
      </w:r>
    </w:p>
    <w:p w:rsidR="00D64B89" w:rsidRPr="00F01391" w:rsidRDefault="00D64B89" w:rsidP="00D64B89">
      <w:pPr>
        <w:jc w:val="both"/>
        <w:rPr>
          <w:sz w:val="22"/>
          <w:szCs w:val="22"/>
        </w:rPr>
      </w:pPr>
      <w:r w:rsidRPr="00F01391">
        <w:rPr>
          <w:sz w:val="22"/>
          <w:szCs w:val="22"/>
        </w:rPr>
        <w:t>bankovní spojení: Česká spořitelna, a.s., č.ú.: 1229849349/0800,</w:t>
      </w:r>
    </w:p>
    <w:p w:rsidR="00D64B89" w:rsidRPr="00FC60F9" w:rsidRDefault="00D64B89" w:rsidP="00D64B89">
      <w:pPr>
        <w:jc w:val="both"/>
        <w:rPr>
          <w:sz w:val="22"/>
          <w:szCs w:val="22"/>
        </w:rPr>
      </w:pPr>
      <w:r w:rsidRPr="00F01391">
        <w:rPr>
          <w:sz w:val="22"/>
          <w:szCs w:val="22"/>
        </w:rPr>
        <w:t xml:space="preserve">zastoupena panem Mgr. Ondřejem Heřmanem, </w:t>
      </w:r>
      <w:r w:rsidRPr="00FC60F9">
        <w:rPr>
          <w:sz w:val="22"/>
          <w:szCs w:val="22"/>
        </w:rPr>
        <w:t>(na základě plné moci)</w:t>
      </w:r>
    </w:p>
    <w:p w:rsidR="00D64B89" w:rsidRPr="00F01391" w:rsidRDefault="00D64B89" w:rsidP="00D64B89">
      <w:pPr>
        <w:jc w:val="both"/>
        <w:rPr>
          <w:sz w:val="22"/>
          <w:szCs w:val="22"/>
        </w:rPr>
      </w:pPr>
      <w:r w:rsidRPr="00F01391">
        <w:rPr>
          <w:sz w:val="22"/>
          <w:szCs w:val="22"/>
        </w:rPr>
        <w:t xml:space="preserve">(dále jen „ </w:t>
      </w:r>
      <w:r w:rsidRPr="00F01391">
        <w:rPr>
          <w:b/>
          <w:i/>
          <w:sz w:val="22"/>
          <w:szCs w:val="22"/>
        </w:rPr>
        <w:t>pronajímatel</w:t>
      </w:r>
      <w:r w:rsidRPr="00F01391">
        <w:rPr>
          <w:sz w:val="22"/>
          <w:szCs w:val="22"/>
        </w:rPr>
        <w:t>“)</w:t>
      </w:r>
    </w:p>
    <w:p w:rsidR="00D64B89" w:rsidRPr="00F01391" w:rsidRDefault="00D64B89" w:rsidP="00D64B89">
      <w:pPr>
        <w:jc w:val="both"/>
        <w:rPr>
          <w:b/>
          <w:sz w:val="22"/>
          <w:szCs w:val="22"/>
        </w:rPr>
      </w:pPr>
    </w:p>
    <w:p w:rsidR="00D64B89" w:rsidRPr="00F01391" w:rsidRDefault="00D64B89" w:rsidP="00D64B89">
      <w:pPr>
        <w:jc w:val="both"/>
        <w:rPr>
          <w:sz w:val="22"/>
          <w:szCs w:val="22"/>
        </w:rPr>
      </w:pPr>
      <w:r w:rsidRPr="00F01391">
        <w:rPr>
          <w:sz w:val="22"/>
          <w:szCs w:val="22"/>
        </w:rPr>
        <w:t>a</w:t>
      </w:r>
    </w:p>
    <w:p w:rsidR="00D64B89" w:rsidRPr="00F01391" w:rsidRDefault="00D64B89" w:rsidP="00D64B89">
      <w:pPr>
        <w:jc w:val="both"/>
        <w:rPr>
          <w:b/>
          <w:sz w:val="22"/>
          <w:szCs w:val="22"/>
        </w:rPr>
      </w:pPr>
    </w:p>
    <w:p w:rsidR="00D64B89" w:rsidRPr="00D64B89" w:rsidRDefault="00D64B89" w:rsidP="00D64B89">
      <w:pPr>
        <w:ind w:left="284" w:hanging="284"/>
        <w:jc w:val="both"/>
        <w:rPr>
          <w:sz w:val="24"/>
          <w:szCs w:val="24"/>
        </w:rPr>
      </w:pPr>
      <w:r w:rsidRPr="00D64B89">
        <w:rPr>
          <w:b/>
          <w:sz w:val="24"/>
          <w:szCs w:val="24"/>
        </w:rPr>
        <w:t>Česká republika - Správa uprchlických zařízení Ministerstva vnitra</w:t>
      </w:r>
    </w:p>
    <w:p w:rsidR="00D64B89" w:rsidRPr="00F01391" w:rsidRDefault="00D64B89" w:rsidP="00D64B89">
      <w:pPr>
        <w:ind w:left="284" w:hanging="284"/>
        <w:jc w:val="both"/>
        <w:rPr>
          <w:sz w:val="22"/>
          <w:szCs w:val="22"/>
        </w:rPr>
      </w:pPr>
      <w:r w:rsidRPr="00F01391">
        <w:rPr>
          <w:sz w:val="22"/>
          <w:szCs w:val="22"/>
        </w:rPr>
        <w:t>organizační složka státu, se sídlem Lhotecká 7, 143 01 Praha 12,</w:t>
      </w:r>
    </w:p>
    <w:p w:rsidR="00D64B89" w:rsidRPr="00F01391" w:rsidRDefault="00D64B89" w:rsidP="00D64B89">
      <w:pPr>
        <w:ind w:left="284" w:hanging="284"/>
        <w:jc w:val="both"/>
        <w:rPr>
          <w:sz w:val="22"/>
          <w:szCs w:val="22"/>
        </w:rPr>
      </w:pPr>
      <w:r w:rsidRPr="00F01391">
        <w:rPr>
          <w:sz w:val="22"/>
          <w:szCs w:val="22"/>
        </w:rPr>
        <w:t xml:space="preserve">IČ: 604 98 021, </w:t>
      </w:r>
    </w:p>
    <w:p w:rsidR="00D64B89" w:rsidRPr="00F01391" w:rsidRDefault="00D64B89" w:rsidP="00D64B89">
      <w:pPr>
        <w:ind w:left="284" w:hanging="284"/>
        <w:jc w:val="both"/>
        <w:rPr>
          <w:sz w:val="22"/>
          <w:szCs w:val="22"/>
        </w:rPr>
      </w:pPr>
      <w:r w:rsidRPr="00F01391">
        <w:rPr>
          <w:sz w:val="22"/>
          <w:szCs w:val="22"/>
        </w:rPr>
        <w:t>bankovní spojení ČNB, a.s., Praha 1, pobočka 701, č. 52626881/0710,</w:t>
      </w:r>
    </w:p>
    <w:p w:rsidR="00D64B89" w:rsidRPr="00F01391" w:rsidRDefault="00D64B89" w:rsidP="00D64B89">
      <w:pPr>
        <w:ind w:left="284" w:hanging="284"/>
        <w:jc w:val="both"/>
        <w:rPr>
          <w:sz w:val="22"/>
          <w:szCs w:val="22"/>
        </w:rPr>
      </w:pPr>
      <w:r w:rsidRPr="00F01391">
        <w:rPr>
          <w:sz w:val="22"/>
          <w:szCs w:val="22"/>
        </w:rPr>
        <w:t xml:space="preserve">doručovací adresa: P.O.BOX 110, 143 00 Praha 4, </w:t>
      </w:r>
    </w:p>
    <w:p w:rsidR="00D64B89" w:rsidRPr="00F01391" w:rsidRDefault="00D64B89" w:rsidP="00D64B89">
      <w:pPr>
        <w:ind w:left="284" w:hanging="284"/>
        <w:jc w:val="both"/>
        <w:rPr>
          <w:sz w:val="22"/>
          <w:szCs w:val="22"/>
        </w:rPr>
      </w:pPr>
      <w:r w:rsidRPr="00F01391">
        <w:rPr>
          <w:sz w:val="22"/>
          <w:szCs w:val="22"/>
        </w:rPr>
        <w:t>zastoupená ředitelem Mgr. et Mgr. Pavlem Bacíkem, statutárním orgánem</w:t>
      </w:r>
    </w:p>
    <w:p w:rsidR="00D64B89" w:rsidRPr="00F01391" w:rsidRDefault="00D64B89" w:rsidP="00D64B89">
      <w:pPr>
        <w:ind w:left="284" w:hanging="284"/>
        <w:jc w:val="both"/>
        <w:rPr>
          <w:sz w:val="22"/>
          <w:szCs w:val="22"/>
        </w:rPr>
      </w:pPr>
      <w:r w:rsidRPr="00F01391">
        <w:rPr>
          <w:sz w:val="22"/>
          <w:szCs w:val="22"/>
        </w:rPr>
        <w:t>(dále jen „</w:t>
      </w:r>
      <w:r w:rsidRPr="00F01391">
        <w:rPr>
          <w:b/>
          <w:i/>
          <w:sz w:val="22"/>
          <w:szCs w:val="22"/>
        </w:rPr>
        <w:t>nájemce</w:t>
      </w:r>
      <w:r w:rsidRPr="00F01391">
        <w:rPr>
          <w:sz w:val="22"/>
          <w:szCs w:val="22"/>
        </w:rPr>
        <w:t>“)</w:t>
      </w:r>
    </w:p>
    <w:p w:rsidR="00D64B89" w:rsidRPr="00F01391" w:rsidRDefault="00D64B89" w:rsidP="00D64B89">
      <w:pPr>
        <w:jc w:val="both"/>
        <w:rPr>
          <w:b/>
          <w:sz w:val="22"/>
          <w:szCs w:val="22"/>
        </w:rPr>
      </w:pPr>
      <w:r w:rsidRPr="00F01391">
        <w:rPr>
          <w:sz w:val="22"/>
          <w:szCs w:val="22"/>
        </w:rPr>
        <w:t xml:space="preserve">    </w:t>
      </w:r>
    </w:p>
    <w:p w:rsidR="00D64B89" w:rsidRPr="00F01391" w:rsidRDefault="00D64B89" w:rsidP="00D64B89">
      <w:pPr>
        <w:jc w:val="both"/>
        <w:rPr>
          <w:sz w:val="22"/>
          <w:szCs w:val="22"/>
        </w:rPr>
      </w:pPr>
    </w:p>
    <w:p w:rsidR="00D64B89" w:rsidRPr="00F01391" w:rsidRDefault="00D64B89" w:rsidP="00D64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Arial"/>
          <w:sz w:val="22"/>
          <w:szCs w:val="22"/>
        </w:rPr>
      </w:pPr>
      <w:r w:rsidRPr="00F01391">
        <w:rPr>
          <w:rFonts w:eastAsia="Arial"/>
          <w:sz w:val="22"/>
          <w:szCs w:val="22"/>
        </w:rPr>
        <w:t>uzavírají dle zákona č. 89/2012 Sb., občanský zákoník, v platném znění, tuto</w:t>
      </w:r>
    </w:p>
    <w:p w:rsidR="00D64B89" w:rsidRPr="00F01391" w:rsidRDefault="00D64B89" w:rsidP="00D64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eastAsia="Arial"/>
          <w:sz w:val="22"/>
          <w:szCs w:val="22"/>
        </w:rPr>
      </w:pPr>
      <w:r w:rsidRPr="00F01391">
        <w:rPr>
          <w:rFonts w:eastAsia="Arial"/>
          <w:sz w:val="22"/>
          <w:szCs w:val="22"/>
        </w:rPr>
        <w:t>nájemní smlouvu:</w:t>
      </w:r>
    </w:p>
    <w:p w:rsidR="00D64B89" w:rsidRDefault="00D64B89" w:rsidP="00D64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eastAsia="Arial"/>
          <w:sz w:val="22"/>
          <w:szCs w:val="22"/>
        </w:rPr>
      </w:pPr>
    </w:p>
    <w:p w:rsidR="00D64B89" w:rsidRPr="00F01391" w:rsidRDefault="00D64B89" w:rsidP="00D64B8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jc w:val="both"/>
        <w:rPr>
          <w:rFonts w:eastAsia="Arial"/>
          <w:sz w:val="22"/>
          <w:szCs w:val="22"/>
        </w:rPr>
      </w:pPr>
    </w:p>
    <w:p w:rsidR="00D64B89" w:rsidRPr="00D64B89" w:rsidRDefault="00D64B89" w:rsidP="00D64B89">
      <w:pPr>
        <w:rPr>
          <w:b/>
          <w:sz w:val="24"/>
          <w:szCs w:val="24"/>
        </w:rPr>
      </w:pPr>
      <w:r>
        <w:rPr>
          <w:b/>
          <w:sz w:val="24"/>
          <w:szCs w:val="24"/>
        </w:rPr>
        <w:t xml:space="preserve">                                                     </w:t>
      </w:r>
      <w:r w:rsidRPr="00D64B89">
        <w:rPr>
          <w:b/>
          <w:sz w:val="24"/>
          <w:szCs w:val="24"/>
        </w:rPr>
        <w:t>Čl. I.</w:t>
      </w:r>
    </w:p>
    <w:p w:rsidR="00D64B89" w:rsidRPr="00D64B89" w:rsidRDefault="00D64B89" w:rsidP="00D64B89">
      <w:pPr>
        <w:ind w:left="1080"/>
        <w:rPr>
          <w:b/>
          <w:sz w:val="24"/>
          <w:szCs w:val="24"/>
        </w:rPr>
      </w:pPr>
      <w:r w:rsidRPr="00D64B89">
        <w:rPr>
          <w:b/>
          <w:sz w:val="24"/>
          <w:szCs w:val="24"/>
        </w:rPr>
        <w:t xml:space="preserve">                               Předmět nájmu</w:t>
      </w:r>
    </w:p>
    <w:p w:rsidR="00D64B89" w:rsidRPr="00F01391" w:rsidRDefault="00D64B89" w:rsidP="00D11D10">
      <w:pPr>
        <w:pStyle w:val="Zkladntext"/>
        <w:numPr>
          <w:ilvl w:val="0"/>
          <w:numId w:val="7"/>
        </w:numPr>
        <w:spacing w:after="0"/>
        <w:jc w:val="both"/>
        <w:rPr>
          <w:rFonts w:ascii="Bookman Old Style" w:hAnsi="Bookman Old Style"/>
          <w:sz w:val="22"/>
          <w:szCs w:val="22"/>
        </w:rPr>
      </w:pPr>
      <w:r w:rsidRPr="00F01391">
        <w:rPr>
          <w:rFonts w:ascii="Bookman Old Style" w:hAnsi="Bookman Old Style"/>
          <w:sz w:val="22"/>
          <w:szCs w:val="22"/>
        </w:rPr>
        <w:t xml:space="preserve">Pronajímatel je vlastníkem nemovité věci, tzn. pozemku označeného jako stavební parcela parc. č. 243/1 (zastavěné plocha a nádvoří), jehož součástí je na něm stojící  </w:t>
      </w:r>
      <w:r w:rsidRPr="00F01391">
        <w:rPr>
          <w:rFonts w:ascii="Bookman Old Style" w:hAnsi="Bookman Old Style"/>
          <w:noProof/>
          <w:sz w:val="22"/>
          <w:szCs w:val="22"/>
        </w:rPr>
        <w:t xml:space="preserve">budova č. p. 168 (objekt občanské vybavenosti) v </w:t>
      </w:r>
      <w:r w:rsidRPr="00F01391">
        <w:rPr>
          <w:rFonts w:ascii="Bookman Old Style" w:hAnsi="Bookman Old Style"/>
          <w:sz w:val="22"/>
          <w:szCs w:val="22"/>
        </w:rPr>
        <w:t xml:space="preserve">části obce </w:t>
      </w:r>
      <w:r w:rsidRPr="00F01391">
        <w:rPr>
          <w:rFonts w:ascii="Bookman Old Style" w:hAnsi="Bookman Old Style"/>
          <w:noProof/>
          <w:sz w:val="22"/>
          <w:szCs w:val="22"/>
        </w:rPr>
        <w:t>Zelené Předměstí,</w:t>
      </w:r>
      <w:r w:rsidRPr="00F01391">
        <w:rPr>
          <w:rFonts w:ascii="Bookman Old Style" w:hAnsi="Bookman Old Style"/>
          <w:sz w:val="22"/>
          <w:szCs w:val="22"/>
        </w:rPr>
        <w:t xml:space="preserve"> v ulici </w:t>
      </w:r>
      <w:r w:rsidRPr="00F01391">
        <w:rPr>
          <w:rFonts w:ascii="Bookman Old Style" w:hAnsi="Bookman Old Style"/>
          <w:noProof/>
          <w:sz w:val="22"/>
          <w:szCs w:val="22"/>
        </w:rPr>
        <w:t>Pernerova,</w:t>
      </w:r>
      <w:r w:rsidRPr="00F01391">
        <w:rPr>
          <w:rFonts w:ascii="Bookman Old Style" w:hAnsi="Bookman Old Style"/>
          <w:sz w:val="22"/>
          <w:szCs w:val="22"/>
        </w:rPr>
        <w:t xml:space="preserve"> vše v katastrálním území </w:t>
      </w:r>
      <w:r w:rsidRPr="00F01391">
        <w:rPr>
          <w:rFonts w:ascii="Bookman Old Style" w:hAnsi="Bookman Old Style"/>
          <w:noProof/>
          <w:sz w:val="22"/>
          <w:szCs w:val="22"/>
        </w:rPr>
        <w:t>Pardubice a v</w:t>
      </w:r>
      <w:r w:rsidRPr="00F01391">
        <w:rPr>
          <w:rFonts w:ascii="Bookman Old Style" w:hAnsi="Bookman Old Style"/>
          <w:sz w:val="22"/>
          <w:szCs w:val="22"/>
        </w:rPr>
        <w:t xml:space="preserve"> obci Pardubice a vše zapsáno na LV č. 10785 v katastru nemovitostí vedeném u Katastrálního úřadu pro Pardubický kraj, Katastrálního pracoviště Pardubice, </w:t>
      </w:r>
      <w:r w:rsidRPr="00F01391">
        <w:rPr>
          <w:rFonts w:ascii="Bookman Old Style" w:eastAsia="Arial" w:hAnsi="Bookman Old Style"/>
          <w:sz w:val="22"/>
          <w:szCs w:val="22"/>
        </w:rPr>
        <w:t>a je oprávněn přenechat předmět nájmu specifikovaný v této smlouvě do úplatného užívání nájemci</w:t>
      </w:r>
      <w:r w:rsidRPr="00F01391">
        <w:rPr>
          <w:rFonts w:ascii="Bookman Old Style" w:hAnsi="Bookman Old Style"/>
          <w:sz w:val="22"/>
          <w:szCs w:val="22"/>
        </w:rPr>
        <w:t xml:space="preserve">. </w:t>
      </w:r>
    </w:p>
    <w:p w:rsidR="00D64B89" w:rsidRPr="00F01391" w:rsidRDefault="00D64B89" w:rsidP="00D11D10">
      <w:pPr>
        <w:pStyle w:val="Zkladntext"/>
        <w:numPr>
          <w:ilvl w:val="0"/>
          <w:numId w:val="7"/>
        </w:numPr>
        <w:spacing w:after="0"/>
        <w:jc w:val="both"/>
        <w:rPr>
          <w:rFonts w:ascii="Bookman Old Style" w:eastAsia="Arial" w:hAnsi="Bookman Old Style"/>
          <w:sz w:val="22"/>
          <w:szCs w:val="22"/>
        </w:rPr>
      </w:pPr>
      <w:r w:rsidRPr="00F01391">
        <w:rPr>
          <w:rFonts w:ascii="Bookman Old Style" w:hAnsi="Bookman Old Style"/>
          <w:sz w:val="22"/>
          <w:szCs w:val="22"/>
        </w:rPr>
        <w:t>A) Předmětem nájmu jsou nebytové prostory č. 006, 020 a 021 v I. podzemním podlaží a nebytové prostory č. 405, 408, 409, 410, 411, 413, 414, 415, 416, 417, 418, 419, 420, 421 v  V. nadzemním podlaží výše uvedené budovy tak, jak je vyznačeno v grafickém znázornění, které je nedílnou součástí této smlouvy (dále jen „</w:t>
      </w:r>
      <w:r w:rsidRPr="00F01391">
        <w:rPr>
          <w:rFonts w:ascii="Bookman Old Style" w:hAnsi="Bookman Old Style"/>
          <w:b/>
          <w:i/>
          <w:sz w:val="22"/>
          <w:szCs w:val="22"/>
        </w:rPr>
        <w:t>nebytové prostory</w:t>
      </w:r>
      <w:r w:rsidRPr="00F01391">
        <w:rPr>
          <w:rFonts w:ascii="Bookman Old Style" w:hAnsi="Bookman Old Style"/>
          <w:sz w:val="22"/>
          <w:szCs w:val="22"/>
        </w:rPr>
        <w:t xml:space="preserve">“ nebo </w:t>
      </w:r>
      <w:r w:rsidRPr="00F01391">
        <w:rPr>
          <w:rFonts w:ascii="Bookman Old Style" w:hAnsi="Bookman Old Style"/>
          <w:b/>
          <w:i/>
          <w:sz w:val="22"/>
          <w:szCs w:val="22"/>
        </w:rPr>
        <w:t>„předmět nájmu“</w:t>
      </w:r>
      <w:r w:rsidRPr="00F01391">
        <w:rPr>
          <w:rFonts w:ascii="Bookman Old Style" w:hAnsi="Bookman Old Style"/>
          <w:b/>
          <w:sz w:val="22"/>
          <w:szCs w:val="22"/>
        </w:rPr>
        <w:t>).</w:t>
      </w:r>
      <w:r w:rsidRPr="00F01391">
        <w:rPr>
          <w:rFonts w:ascii="Bookman Old Style" w:hAnsi="Bookman Old Style"/>
          <w:sz w:val="22"/>
          <w:szCs w:val="22"/>
        </w:rPr>
        <w:t xml:space="preserve"> </w:t>
      </w:r>
      <w:r w:rsidRPr="00F01391">
        <w:rPr>
          <w:rFonts w:ascii="Bookman Old Style" w:eastAsia="Arial" w:hAnsi="Bookman Old Style"/>
          <w:sz w:val="22"/>
          <w:szCs w:val="22"/>
        </w:rPr>
        <w:t xml:space="preserve">Pronajímatel pronajímá nájemci k výlučnému užívání výše uvedené nebytové prostory o celkové ploše </w:t>
      </w:r>
      <w:r w:rsidRPr="00F01391">
        <w:rPr>
          <w:rFonts w:ascii="Bookman Old Style" w:eastAsia="Arial" w:hAnsi="Bookman Old Style"/>
          <w:b/>
          <w:sz w:val="22"/>
          <w:szCs w:val="22"/>
        </w:rPr>
        <w:t>662 m²</w:t>
      </w:r>
      <w:r w:rsidRPr="00F01391">
        <w:rPr>
          <w:rFonts w:ascii="Bookman Old Style" w:eastAsia="Arial" w:hAnsi="Bookman Old Style"/>
          <w:sz w:val="22"/>
          <w:szCs w:val="22"/>
        </w:rPr>
        <w:t xml:space="preserve"> specifikované v Příloze č. 1 této smlouvy. Jedná se o kanceláře, sklady a sociální zařízení.</w:t>
      </w:r>
    </w:p>
    <w:p w:rsidR="00D64B89" w:rsidRPr="00F01391" w:rsidRDefault="00D64B89" w:rsidP="00D64B89">
      <w:pPr>
        <w:pStyle w:val="Zkladntext"/>
        <w:ind w:left="360"/>
        <w:jc w:val="both"/>
        <w:rPr>
          <w:rFonts w:ascii="Bookman Old Style" w:eastAsia="Arial" w:hAnsi="Bookman Old Style"/>
          <w:sz w:val="22"/>
          <w:szCs w:val="22"/>
        </w:rPr>
      </w:pPr>
      <w:r w:rsidRPr="00F01391">
        <w:rPr>
          <w:rFonts w:ascii="Bookman Old Style" w:hAnsi="Bookman Old Style"/>
          <w:sz w:val="22"/>
          <w:szCs w:val="22"/>
        </w:rPr>
        <w:t>B) 2 parkovací místa.</w:t>
      </w:r>
    </w:p>
    <w:p w:rsidR="00D64B89" w:rsidRPr="00FC60F9" w:rsidRDefault="00D64B89" w:rsidP="00D11D10">
      <w:pPr>
        <w:pStyle w:val="Zkladntext"/>
        <w:numPr>
          <w:ilvl w:val="0"/>
          <w:numId w:val="7"/>
        </w:numPr>
        <w:spacing w:after="0"/>
        <w:jc w:val="both"/>
        <w:rPr>
          <w:rFonts w:ascii="Bookman Old Style" w:eastAsia="Arial" w:hAnsi="Bookman Old Style"/>
          <w:sz w:val="22"/>
          <w:szCs w:val="22"/>
        </w:rPr>
      </w:pPr>
      <w:r w:rsidRPr="00F01391">
        <w:rPr>
          <w:rFonts w:ascii="Bookman Old Style" w:hAnsi="Bookman Old Style"/>
          <w:sz w:val="22"/>
          <w:szCs w:val="22"/>
        </w:rPr>
        <w:t>Součástí pronájmu nebytových prostor je dále nevýlučné užívání společných prostor (přístupové komunikační cesty, chodby, schodiště, výtah atd.).</w:t>
      </w:r>
    </w:p>
    <w:p w:rsidR="00D64B89" w:rsidRPr="00F01391" w:rsidRDefault="00D64B89" w:rsidP="00D64B89">
      <w:pPr>
        <w:ind w:left="360"/>
        <w:jc w:val="both"/>
        <w:rPr>
          <w:b/>
          <w:sz w:val="22"/>
          <w:szCs w:val="22"/>
        </w:rPr>
      </w:pPr>
    </w:p>
    <w:p w:rsidR="00D64B89" w:rsidRDefault="00D64B89" w:rsidP="00D64B89">
      <w:pPr>
        <w:ind w:left="360"/>
        <w:rPr>
          <w:b/>
          <w:sz w:val="24"/>
          <w:szCs w:val="24"/>
        </w:rPr>
      </w:pPr>
      <w:r>
        <w:rPr>
          <w:b/>
          <w:sz w:val="24"/>
          <w:szCs w:val="24"/>
        </w:rPr>
        <w:t xml:space="preserve">                                                 </w:t>
      </w:r>
    </w:p>
    <w:p w:rsidR="00D64B89" w:rsidRDefault="00D64B89" w:rsidP="00D64B89">
      <w:pPr>
        <w:ind w:left="360"/>
        <w:rPr>
          <w:b/>
          <w:sz w:val="24"/>
          <w:szCs w:val="24"/>
        </w:rPr>
      </w:pPr>
    </w:p>
    <w:p w:rsidR="00D64B89" w:rsidRDefault="00D64B89" w:rsidP="00D64B89">
      <w:pPr>
        <w:ind w:left="360"/>
        <w:rPr>
          <w:b/>
          <w:sz w:val="24"/>
          <w:szCs w:val="24"/>
        </w:rPr>
      </w:pPr>
    </w:p>
    <w:p w:rsidR="00D64B89" w:rsidRDefault="00D64B89" w:rsidP="00D64B89">
      <w:pPr>
        <w:ind w:left="360"/>
        <w:rPr>
          <w:b/>
          <w:sz w:val="24"/>
          <w:szCs w:val="24"/>
        </w:rPr>
      </w:pPr>
    </w:p>
    <w:p w:rsidR="00D64B89" w:rsidRDefault="00D64B89" w:rsidP="00D64B89">
      <w:pPr>
        <w:ind w:left="360"/>
        <w:rPr>
          <w:b/>
          <w:sz w:val="24"/>
          <w:szCs w:val="24"/>
        </w:rPr>
      </w:pPr>
    </w:p>
    <w:p w:rsidR="00D64B89" w:rsidRPr="00D64B89" w:rsidRDefault="00D64B89" w:rsidP="00D64B89">
      <w:pPr>
        <w:ind w:left="360"/>
        <w:rPr>
          <w:b/>
          <w:sz w:val="24"/>
          <w:szCs w:val="24"/>
        </w:rPr>
      </w:pPr>
      <w:r>
        <w:rPr>
          <w:b/>
          <w:sz w:val="24"/>
          <w:szCs w:val="24"/>
        </w:rPr>
        <w:t xml:space="preserve">                                                 </w:t>
      </w:r>
      <w:r w:rsidRPr="00D64B89">
        <w:rPr>
          <w:b/>
          <w:sz w:val="24"/>
          <w:szCs w:val="24"/>
        </w:rPr>
        <w:t>Čl. II.</w:t>
      </w:r>
    </w:p>
    <w:p w:rsidR="00D64B89" w:rsidRPr="00D64B89" w:rsidRDefault="00D64B89" w:rsidP="00D64B89">
      <w:pPr>
        <w:ind w:left="1080"/>
        <w:rPr>
          <w:b/>
          <w:sz w:val="24"/>
          <w:szCs w:val="24"/>
        </w:rPr>
      </w:pPr>
      <w:r w:rsidRPr="00D64B89">
        <w:rPr>
          <w:b/>
          <w:sz w:val="24"/>
          <w:szCs w:val="24"/>
        </w:rPr>
        <w:t xml:space="preserve">                                    Účel nájmu</w:t>
      </w:r>
    </w:p>
    <w:p w:rsidR="00D64B89" w:rsidRPr="00F01391" w:rsidRDefault="00D64B89" w:rsidP="00D11D10">
      <w:pPr>
        <w:pStyle w:val="Zkladntext"/>
        <w:numPr>
          <w:ilvl w:val="0"/>
          <w:numId w:val="8"/>
        </w:numPr>
        <w:spacing w:after="0"/>
        <w:ind w:left="426" w:hanging="426"/>
        <w:jc w:val="both"/>
        <w:rPr>
          <w:rFonts w:ascii="Bookman Old Style" w:hAnsi="Bookman Old Style"/>
          <w:sz w:val="22"/>
          <w:szCs w:val="22"/>
        </w:rPr>
      </w:pPr>
      <w:r w:rsidRPr="00F01391">
        <w:rPr>
          <w:rFonts w:ascii="Bookman Old Style" w:hAnsi="Bookman Old Style"/>
          <w:sz w:val="22"/>
          <w:szCs w:val="22"/>
        </w:rPr>
        <w:t xml:space="preserve">Pronajímatel přenechává do nájmu nájemci nebytové prostory uvedené v čl. I. této smlouvy v souladu se stavebním určením za účelem nevýdělečné činnosti - </w:t>
      </w:r>
      <w:r w:rsidRPr="00F01391">
        <w:rPr>
          <w:rFonts w:ascii="Bookman Old Style" w:eastAsia="Arial" w:hAnsi="Bookman Old Style"/>
          <w:sz w:val="22"/>
          <w:szCs w:val="22"/>
        </w:rPr>
        <w:t xml:space="preserve">dislokace pracoviště Správy uprchlických zařízení Ministerstva vnitra a </w:t>
      </w:r>
      <w:r w:rsidRPr="00F01391">
        <w:rPr>
          <w:rFonts w:ascii="Bookman Old Style" w:hAnsi="Bookman Old Style"/>
          <w:sz w:val="22"/>
          <w:szCs w:val="22"/>
        </w:rPr>
        <w:t>Odboru azylové a migrační politiky Ministerstva vnitra (dále „</w:t>
      </w:r>
      <w:r w:rsidRPr="00F01391">
        <w:rPr>
          <w:rFonts w:ascii="Bookman Old Style" w:hAnsi="Bookman Old Style"/>
          <w:i/>
          <w:sz w:val="22"/>
          <w:szCs w:val="22"/>
        </w:rPr>
        <w:t>přímý uživatel</w:t>
      </w:r>
      <w:r w:rsidRPr="00F01391">
        <w:rPr>
          <w:rFonts w:ascii="Bookman Old Style" w:hAnsi="Bookman Old Style"/>
          <w:sz w:val="22"/>
          <w:szCs w:val="22"/>
        </w:rPr>
        <w:t xml:space="preserve">“). </w:t>
      </w:r>
    </w:p>
    <w:p w:rsidR="00D64B89" w:rsidRPr="00FC60F9" w:rsidRDefault="00D64B89" w:rsidP="00D11D10">
      <w:pPr>
        <w:pStyle w:val="Zkladntext"/>
        <w:numPr>
          <w:ilvl w:val="0"/>
          <w:numId w:val="8"/>
        </w:numPr>
        <w:spacing w:after="0"/>
        <w:ind w:left="426" w:hanging="426"/>
        <w:jc w:val="both"/>
        <w:rPr>
          <w:rFonts w:ascii="Bookman Old Style" w:hAnsi="Bookman Old Style"/>
          <w:sz w:val="22"/>
          <w:szCs w:val="22"/>
        </w:rPr>
      </w:pPr>
      <w:r w:rsidRPr="00F01391">
        <w:rPr>
          <w:rFonts w:ascii="Bookman Old Style" w:hAnsi="Bookman Old Style"/>
          <w:sz w:val="22"/>
          <w:szCs w:val="22"/>
        </w:rPr>
        <w:t xml:space="preserve">Účetní hodnota předmětu nájmu je </w:t>
      </w:r>
      <w:r w:rsidRPr="00FC60F9">
        <w:rPr>
          <w:rFonts w:ascii="Bookman Old Style" w:hAnsi="Bookman Old Style"/>
          <w:sz w:val="22"/>
          <w:szCs w:val="22"/>
        </w:rPr>
        <w:t xml:space="preserve">7.250.000,-Kč. </w:t>
      </w:r>
    </w:p>
    <w:p w:rsidR="00D64B89" w:rsidRPr="00F01391" w:rsidRDefault="00D64B89" w:rsidP="00D11D10">
      <w:pPr>
        <w:pStyle w:val="Norma"/>
        <w:numPr>
          <w:ilvl w:val="0"/>
          <w:numId w:val="8"/>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hanging="426"/>
        <w:jc w:val="both"/>
        <w:rPr>
          <w:rFonts w:ascii="Bookman Old Style" w:hAnsi="Bookman Old Style"/>
          <w:sz w:val="22"/>
          <w:szCs w:val="22"/>
          <w:lang w:val="cs-CZ"/>
        </w:rPr>
      </w:pPr>
      <w:r w:rsidRPr="00F01391">
        <w:rPr>
          <w:rFonts w:ascii="Bookman Old Style" w:eastAsia="Arial" w:hAnsi="Bookman Old Style"/>
          <w:sz w:val="22"/>
          <w:szCs w:val="22"/>
          <w:lang w:val="cs-CZ"/>
        </w:rPr>
        <w:t>Smluvní strany se dohodly na povinnosti pronajímatele provést adaptační úpravy předmětu nájmu, a to v souladu s přílohou č. 4 této smlouvy (dále jen „</w:t>
      </w:r>
      <w:r w:rsidRPr="00F01391">
        <w:rPr>
          <w:rFonts w:ascii="Bookman Old Style" w:eastAsia="Arial" w:hAnsi="Bookman Old Style"/>
          <w:i/>
          <w:sz w:val="22"/>
          <w:szCs w:val="22"/>
          <w:lang w:val="cs-CZ"/>
        </w:rPr>
        <w:t>Adaptace/Úpravy</w:t>
      </w:r>
      <w:r w:rsidRPr="00F01391">
        <w:rPr>
          <w:rFonts w:ascii="Bookman Old Style" w:eastAsia="Arial" w:hAnsi="Bookman Old Style"/>
          <w:sz w:val="22"/>
          <w:szCs w:val="22"/>
          <w:lang w:val="cs-CZ"/>
        </w:rPr>
        <w:t xml:space="preserve">“), a to tak, aby Adaptace byly za podmínky maximální součinnosti nájemce řádně dokončeny nejpozději do </w:t>
      </w:r>
      <w:r>
        <w:rPr>
          <w:rFonts w:ascii="Bookman Old Style" w:eastAsia="Arial" w:hAnsi="Bookman Old Style"/>
          <w:b/>
          <w:sz w:val="22"/>
          <w:szCs w:val="22"/>
          <w:lang w:val="cs-CZ"/>
        </w:rPr>
        <w:t>1.</w:t>
      </w:r>
      <w:r w:rsidRPr="00F01391">
        <w:rPr>
          <w:rFonts w:ascii="Bookman Old Style" w:eastAsia="Arial" w:hAnsi="Bookman Old Style"/>
          <w:b/>
          <w:sz w:val="22"/>
          <w:szCs w:val="22"/>
          <w:lang w:val="cs-CZ"/>
        </w:rPr>
        <w:t>11</w:t>
      </w:r>
      <w:r>
        <w:rPr>
          <w:rFonts w:ascii="Bookman Old Style" w:eastAsia="Arial" w:hAnsi="Bookman Old Style"/>
          <w:b/>
          <w:sz w:val="22"/>
          <w:szCs w:val="22"/>
          <w:lang w:val="cs-CZ"/>
        </w:rPr>
        <w:t>.</w:t>
      </w:r>
      <w:r w:rsidRPr="00F01391">
        <w:rPr>
          <w:rFonts w:ascii="Bookman Old Style" w:eastAsia="Arial" w:hAnsi="Bookman Old Style"/>
          <w:b/>
          <w:sz w:val="22"/>
          <w:szCs w:val="22"/>
          <w:lang w:val="cs-CZ"/>
        </w:rPr>
        <w:t>2016</w:t>
      </w:r>
      <w:r w:rsidRPr="00F01391">
        <w:rPr>
          <w:rFonts w:ascii="Bookman Old Style" w:eastAsia="Arial" w:hAnsi="Bookman Old Style"/>
          <w:sz w:val="22"/>
          <w:szCs w:val="22"/>
          <w:lang w:val="cs-CZ"/>
        </w:rPr>
        <w:t xml:space="preserve">. Po dokončení Adaptací ze strany pronajímatele vyzve pronajímatel nájemce k převzetí předmětu nájmu. O předání a převzetí předmětu nájmu bude mezi stranami sepsán předávací protokol.  V případě vad bude stanovena lhůta na jejich odstranění. Předávací protokol bude rovněž obsahovat odpočty měřidel jednotlivých médií. </w:t>
      </w:r>
    </w:p>
    <w:p w:rsidR="00D64B89" w:rsidRPr="00FC60F9" w:rsidRDefault="00D64B89" w:rsidP="00D64B89">
      <w:pPr>
        <w:pStyle w:val="Norma"/>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26"/>
        <w:jc w:val="both"/>
        <w:rPr>
          <w:rFonts w:ascii="Bookman Old Style" w:hAnsi="Bookman Old Style"/>
          <w:b/>
          <w:sz w:val="22"/>
          <w:szCs w:val="22"/>
          <w:lang w:val="cs-CZ"/>
        </w:rPr>
      </w:pPr>
      <w:r w:rsidRPr="00F01391">
        <w:rPr>
          <w:rFonts w:ascii="Bookman Old Style" w:hAnsi="Bookman Old Style"/>
          <w:b/>
          <w:sz w:val="22"/>
          <w:szCs w:val="22"/>
          <w:lang w:val="cs-CZ"/>
        </w:rPr>
        <w:t xml:space="preserve">                                                       </w:t>
      </w:r>
    </w:p>
    <w:p w:rsidR="00D64B89" w:rsidRPr="00D64B89" w:rsidRDefault="00D64B89" w:rsidP="00D64B89">
      <w:pPr>
        <w:ind w:left="284" w:hanging="284"/>
        <w:jc w:val="center"/>
        <w:rPr>
          <w:b/>
          <w:sz w:val="24"/>
          <w:szCs w:val="24"/>
        </w:rPr>
      </w:pPr>
      <w:r>
        <w:rPr>
          <w:b/>
          <w:sz w:val="24"/>
          <w:szCs w:val="24"/>
        </w:rPr>
        <w:t xml:space="preserve"> </w:t>
      </w:r>
      <w:r w:rsidRPr="00D64B89">
        <w:rPr>
          <w:b/>
          <w:sz w:val="24"/>
          <w:szCs w:val="24"/>
        </w:rPr>
        <w:t>Čl. III.</w:t>
      </w:r>
    </w:p>
    <w:p w:rsidR="00D64B89" w:rsidRPr="00D64B89" w:rsidRDefault="00D64B89" w:rsidP="00D64B89">
      <w:pPr>
        <w:ind w:left="567" w:hanging="425"/>
        <w:jc w:val="center"/>
        <w:rPr>
          <w:sz w:val="24"/>
          <w:szCs w:val="24"/>
        </w:rPr>
      </w:pPr>
      <w:r>
        <w:rPr>
          <w:b/>
          <w:sz w:val="24"/>
          <w:szCs w:val="24"/>
        </w:rPr>
        <w:t xml:space="preserve"> </w:t>
      </w:r>
      <w:r w:rsidRPr="00D64B89">
        <w:rPr>
          <w:b/>
          <w:sz w:val="24"/>
          <w:szCs w:val="24"/>
        </w:rPr>
        <w:t>Doba nájmu</w:t>
      </w:r>
    </w:p>
    <w:p w:rsidR="00D64B89" w:rsidRPr="00F01391" w:rsidRDefault="00D64B89" w:rsidP="00D11D10">
      <w:pPr>
        <w:numPr>
          <w:ilvl w:val="0"/>
          <w:numId w:val="3"/>
        </w:numPr>
        <w:ind w:left="567" w:hanging="425"/>
        <w:jc w:val="both"/>
        <w:outlineLvl w:val="0"/>
        <w:rPr>
          <w:b/>
          <w:sz w:val="22"/>
          <w:szCs w:val="22"/>
          <w:u w:val="single"/>
        </w:rPr>
      </w:pPr>
      <w:r w:rsidRPr="00F01391">
        <w:rPr>
          <w:sz w:val="22"/>
          <w:szCs w:val="22"/>
        </w:rPr>
        <w:t xml:space="preserve">Nájem se sjednává od </w:t>
      </w:r>
      <w:r>
        <w:rPr>
          <w:b/>
          <w:sz w:val="22"/>
          <w:szCs w:val="22"/>
        </w:rPr>
        <w:t>1.11.</w:t>
      </w:r>
      <w:r w:rsidRPr="00F01391">
        <w:rPr>
          <w:b/>
          <w:sz w:val="22"/>
          <w:szCs w:val="22"/>
        </w:rPr>
        <w:t>2016</w:t>
      </w:r>
      <w:r w:rsidRPr="00F01391">
        <w:rPr>
          <w:sz w:val="22"/>
          <w:szCs w:val="22"/>
        </w:rPr>
        <w:t xml:space="preserve"> na dobu určitou do </w:t>
      </w:r>
      <w:r>
        <w:rPr>
          <w:b/>
          <w:sz w:val="22"/>
          <w:szCs w:val="22"/>
        </w:rPr>
        <w:t>30.10.</w:t>
      </w:r>
      <w:r w:rsidRPr="00F01391">
        <w:rPr>
          <w:b/>
          <w:sz w:val="22"/>
          <w:szCs w:val="22"/>
        </w:rPr>
        <w:t>2021.</w:t>
      </w:r>
    </w:p>
    <w:p w:rsidR="00D64B89" w:rsidRPr="00F01391" w:rsidRDefault="00D64B89" w:rsidP="00D11D10">
      <w:pPr>
        <w:numPr>
          <w:ilvl w:val="0"/>
          <w:numId w:val="3"/>
        </w:numPr>
        <w:ind w:left="567" w:hanging="425"/>
        <w:jc w:val="both"/>
        <w:outlineLvl w:val="0"/>
        <w:rPr>
          <w:sz w:val="22"/>
          <w:szCs w:val="22"/>
        </w:rPr>
      </w:pPr>
      <w:r w:rsidRPr="00F01391">
        <w:rPr>
          <w:sz w:val="22"/>
          <w:szCs w:val="22"/>
          <w:lang w:eastAsia="en-US"/>
        </w:rPr>
        <w:t xml:space="preserve">Smlouva je uzavřena na dobu určitou, a to na 5 let </w:t>
      </w:r>
      <w:r w:rsidRPr="00F01391">
        <w:rPr>
          <w:sz w:val="22"/>
          <w:szCs w:val="22"/>
        </w:rPr>
        <w:t>s právem opce nájemce na prodloužení doby nájmu o další 3 roky. V případě, že nájemce má zájem o prodloužení nájmu, je povinen o tom písemně vyrozumět pronajímatele nejpozději šest měsíců před koncem sjednané doby nájmu. Doručením takového vyrozumění nájemce o využití prodloužení doby nájmu pronajímateli se doba nájmu automaticky prodlužuje o další 3 roky, tedy do 30</w:t>
      </w:r>
      <w:r>
        <w:rPr>
          <w:sz w:val="22"/>
          <w:szCs w:val="22"/>
        </w:rPr>
        <w:t>.</w:t>
      </w:r>
      <w:r w:rsidRPr="00F01391">
        <w:rPr>
          <w:sz w:val="22"/>
          <w:szCs w:val="22"/>
        </w:rPr>
        <w:t>10</w:t>
      </w:r>
      <w:r>
        <w:rPr>
          <w:sz w:val="22"/>
          <w:szCs w:val="22"/>
        </w:rPr>
        <w:t>.</w:t>
      </w:r>
      <w:r w:rsidRPr="00F01391">
        <w:rPr>
          <w:sz w:val="22"/>
          <w:szCs w:val="22"/>
        </w:rPr>
        <w:t>2024. Tuto opci nájemce na prodloužení doby nájmu lze využít pouze jednou. Vylučuje se užití ustanovení § 2230 občanského zákoníku.</w:t>
      </w:r>
    </w:p>
    <w:p w:rsidR="00D64B89" w:rsidRPr="00F01391" w:rsidRDefault="00D64B89" w:rsidP="00D11D10">
      <w:pPr>
        <w:pStyle w:val="Norma"/>
        <w:numPr>
          <w:ilvl w:val="0"/>
          <w:numId w:val="3"/>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67" w:hanging="425"/>
        <w:jc w:val="both"/>
        <w:rPr>
          <w:rFonts w:ascii="Bookman Old Style" w:eastAsia="Arial" w:hAnsi="Bookman Old Style"/>
          <w:sz w:val="22"/>
          <w:szCs w:val="22"/>
          <w:lang w:val="cs-CZ"/>
        </w:rPr>
      </w:pPr>
      <w:r w:rsidRPr="00F01391">
        <w:rPr>
          <w:rFonts w:ascii="Bookman Old Style" w:eastAsia="Arial" w:hAnsi="Bookman Old Style"/>
          <w:sz w:val="22"/>
          <w:szCs w:val="22"/>
          <w:lang w:val="cs-CZ"/>
        </w:rPr>
        <w:t xml:space="preserve">  Smluvní strany sjednávají, že dnem počátku nájmu je den </w:t>
      </w:r>
      <w:r>
        <w:rPr>
          <w:rFonts w:ascii="Bookman Old Style" w:eastAsia="Arial" w:hAnsi="Bookman Old Style"/>
          <w:b/>
          <w:sz w:val="22"/>
          <w:szCs w:val="22"/>
          <w:lang w:val="cs-CZ"/>
        </w:rPr>
        <w:t>1.</w:t>
      </w:r>
      <w:r w:rsidRPr="00F01391">
        <w:rPr>
          <w:rFonts w:ascii="Bookman Old Style" w:eastAsia="Arial" w:hAnsi="Bookman Old Style"/>
          <w:b/>
          <w:sz w:val="22"/>
          <w:szCs w:val="22"/>
          <w:lang w:val="cs-CZ"/>
        </w:rPr>
        <w:t>11</w:t>
      </w:r>
      <w:r>
        <w:rPr>
          <w:rFonts w:ascii="Bookman Old Style" w:eastAsia="Arial" w:hAnsi="Bookman Old Style"/>
          <w:b/>
          <w:sz w:val="22"/>
          <w:szCs w:val="22"/>
          <w:lang w:val="cs-CZ"/>
        </w:rPr>
        <w:t>.</w:t>
      </w:r>
      <w:r w:rsidRPr="00F01391">
        <w:rPr>
          <w:rFonts w:ascii="Bookman Old Style" w:eastAsia="Arial" w:hAnsi="Bookman Old Style"/>
          <w:b/>
          <w:sz w:val="22"/>
          <w:szCs w:val="22"/>
          <w:lang w:val="cs-CZ"/>
        </w:rPr>
        <w:t>2016</w:t>
      </w:r>
      <w:r w:rsidRPr="00F01391">
        <w:rPr>
          <w:rFonts w:ascii="Bookman Old Style" w:eastAsia="Arial" w:hAnsi="Bookman Old Style"/>
          <w:sz w:val="22"/>
          <w:szCs w:val="22"/>
          <w:lang w:val="cs-CZ"/>
        </w:rPr>
        <w:t xml:space="preserve"> za předpokladu, když nájemce převezme od pronajímatele předmět nájmu po Adaptacích nebo pokud jej nepřevezme bez dále uvedených důvodů. Nájemce oprávněně nepřevezme předmět nájmu, pokud nebude zásadně odpovídat požadovaným úpravám nebo bude vykazovat jiné závažné vady bránící řádnému a nerušenému užívání. Nájem v takovém případě vznikne až dnem převzetí předmětu nájmu po Adaptacích nájemcem. </w:t>
      </w:r>
    </w:p>
    <w:p w:rsidR="00D64B89" w:rsidRPr="00F01391" w:rsidRDefault="00D64B89" w:rsidP="00D11D10">
      <w:pPr>
        <w:pStyle w:val="Odsekzoznamu"/>
        <w:numPr>
          <w:ilvl w:val="0"/>
          <w:numId w:val="3"/>
        </w:numPr>
        <w:spacing w:after="0"/>
        <w:ind w:left="567" w:hanging="425"/>
        <w:jc w:val="both"/>
        <w:rPr>
          <w:rFonts w:ascii="Bookman Old Style" w:hAnsi="Bookman Old Style"/>
          <w:lang w:val="cs-CZ"/>
        </w:rPr>
      </w:pPr>
      <w:r w:rsidRPr="00F01391">
        <w:rPr>
          <w:rFonts w:ascii="Bookman Old Style" w:eastAsia="Arial" w:hAnsi="Bookman Old Style"/>
          <w:lang w:val="cs-CZ"/>
        </w:rPr>
        <w:t>Smluvní strany sjednávají, že nájem založený touto smlouvou mohou smluvní strany písemně vypovědět z důvodů uvedených v ustanovení § 2308 písm. b) a c) a § 2309 zákona č. 89/2012 Sb., v platném znění, s výpovědní dobou 6 měsíců, která počíná plynout prvním dnem kalendářního měsíce následujícího po měsíci, v němž byla výpověď doručena druhé smluvní straně.</w:t>
      </w:r>
    </w:p>
    <w:p w:rsidR="00D64B89" w:rsidRPr="00F01391" w:rsidRDefault="00D64B89" w:rsidP="00D11D10">
      <w:pPr>
        <w:pStyle w:val="Odsekzoznamu"/>
        <w:numPr>
          <w:ilvl w:val="0"/>
          <w:numId w:val="3"/>
        </w:numPr>
        <w:spacing w:after="0"/>
        <w:ind w:left="567" w:hanging="425"/>
        <w:jc w:val="both"/>
        <w:rPr>
          <w:rFonts w:ascii="Bookman Old Style" w:hAnsi="Bookman Old Style"/>
          <w:lang w:val="cs-CZ"/>
        </w:rPr>
      </w:pPr>
      <w:r w:rsidRPr="00F01391">
        <w:rPr>
          <w:rFonts w:ascii="Bookman Old Style" w:hAnsi="Bookman Old Style"/>
          <w:lang w:val="cs-CZ"/>
        </w:rPr>
        <w:t>Dále může nájemce nájem v období uvedeném v článku III</w:t>
      </w:r>
      <w:r>
        <w:rPr>
          <w:rFonts w:ascii="Bookman Old Style" w:hAnsi="Bookman Old Style"/>
          <w:lang w:val="cs-CZ"/>
        </w:rPr>
        <w:t>.</w:t>
      </w:r>
      <w:r w:rsidRPr="00F01391">
        <w:rPr>
          <w:rFonts w:ascii="Bookman Old Style" w:hAnsi="Bookman Old Style"/>
          <w:lang w:val="cs-CZ"/>
        </w:rPr>
        <w:t xml:space="preserve"> odstavci 1</w:t>
      </w:r>
      <w:r>
        <w:rPr>
          <w:rFonts w:ascii="Bookman Old Style" w:hAnsi="Bookman Old Style"/>
          <w:lang w:val="cs-CZ"/>
        </w:rPr>
        <w:t>.</w:t>
      </w:r>
      <w:r w:rsidRPr="00F01391">
        <w:rPr>
          <w:rFonts w:ascii="Bookman Old Style" w:hAnsi="Bookman Old Style"/>
          <w:lang w:val="cs-CZ"/>
        </w:rPr>
        <w:t xml:space="preserve"> této smlouvy písemně vypovědět se stejnou výpovědní dobou z důvodu, že došlo ke změně zákona, v jehož důsledku přímý uživatel pozbude oprávnění vykonávat činnosti na úseku státní správy, které v předmětu nájmu vykonává.  Pro tento případ se nájemce zavazuje kompenzovat pronajímateli poměrnou část nákladů skutečně vynaložených na Adaptace vypočtenou tak, že se celková vynaložená částka vydělí 70 (5 let x 12 měsíců) a získaný rozdíl se vynásobí počtem měsíců, o které bude pětiletá doba nájmu zkrácena.</w:t>
      </w:r>
    </w:p>
    <w:p w:rsidR="00D64B89" w:rsidRPr="00F01391" w:rsidRDefault="00D64B89" w:rsidP="00D11D10">
      <w:pPr>
        <w:pStyle w:val="Odsekzoznamu"/>
        <w:numPr>
          <w:ilvl w:val="0"/>
          <w:numId w:val="3"/>
        </w:numPr>
        <w:spacing w:after="0"/>
        <w:ind w:left="567" w:hanging="425"/>
        <w:jc w:val="both"/>
        <w:rPr>
          <w:rFonts w:ascii="Bookman Old Style" w:hAnsi="Bookman Old Style"/>
          <w:lang w:val="cs-CZ"/>
        </w:rPr>
      </w:pPr>
      <w:r w:rsidRPr="00F01391">
        <w:rPr>
          <w:rFonts w:ascii="Bookman Old Style" w:hAnsi="Bookman Old Style"/>
          <w:lang w:val="cs-CZ"/>
        </w:rPr>
        <w:t>Nájem též končí uplynutím doby a může být rovněž ukončen písemnou dohodou smluvních stran.</w:t>
      </w:r>
    </w:p>
    <w:p w:rsidR="00D64B89" w:rsidRPr="00F01391" w:rsidRDefault="00D64B89" w:rsidP="00D64B89">
      <w:pPr>
        <w:ind w:left="660"/>
        <w:jc w:val="both"/>
        <w:rPr>
          <w:b/>
          <w:sz w:val="22"/>
          <w:szCs w:val="22"/>
        </w:rPr>
      </w:pPr>
    </w:p>
    <w:p w:rsidR="00D64B89" w:rsidRDefault="00D64B89" w:rsidP="00D64B89">
      <w:pPr>
        <w:ind w:left="660"/>
        <w:rPr>
          <w:b/>
          <w:sz w:val="24"/>
          <w:szCs w:val="24"/>
        </w:rPr>
      </w:pPr>
      <w:r w:rsidRPr="00D64B89">
        <w:rPr>
          <w:b/>
          <w:sz w:val="24"/>
          <w:szCs w:val="24"/>
        </w:rPr>
        <w:t xml:space="preserve">                                              </w:t>
      </w:r>
    </w:p>
    <w:p w:rsidR="00D64B89" w:rsidRDefault="00D64B89" w:rsidP="00D64B89">
      <w:pPr>
        <w:ind w:left="660"/>
        <w:rPr>
          <w:b/>
          <w:sz w:val="24"/>
          <w:szCs w:val="24"/>
        </w:rPr>
      </w:pPr>
    </w:p>
    <w:p w:rsidR="00D64B89" w:rsidRDefault="00D64B89" w:rsidP="00D64B89">
      <w:pPr>
        <w:ind w:left="660"/>
        <w:rPr>
          <w:b/>
          <w:sz w:val="24"/>
          <w:szCs w:val="24"/>
        </w:rPr>
      </w:pPr>
    </w:p>
    <w:p w:rsidR="00D64B89" w:rsidRDefault="00D64B89" w:rsidP="00D64B89">
      <w:pPr>
        <w:ind w:left="660"/>
        <w:rPr>
          <w:b/>
          <w:sz w:val="24"/>
          <w:szCs w:val="24"/>
        </w:rPr>
      </w:pPr>
    </w:p>
    <w:p w:rsidR="00D64B89" w:rsidRDefault="00D64B89" w:rsidP="00D64B89">
      <w:pPr>
        <w:ind w:left="660"/>
        <w:rPr>
          <w:b/>
          <w:sz w:val="24"/>
          <w:szCs w:val="24"/>
        </w:rPr>
      </w:pPr>
    </w:p>
    <w:p w:rsidR="00D64B89" w:rsidRPr="00D64B89" w:rsidRDefault="00D64B89" w:rsidP="00D64B89">
      <w:pPr>
        <w:ind w:left="660"/>
        <w:rPr>
          <w:b/>
          <w:sz w:val="24"/>
          <w:szCs w:val="24"/>
        </w:rPr>
      </w:pPr>
      <w:r>
        <w:rPr>
          <w:b/>
          <w:sz w:val="24"/>
          <w:szCs w:val="24"/>
        </w:rPr>
        <w:t xml:space="preserve">                                             </w:t>
      </w:r>
      <w:r w:rsidRPr="00D64B89">
        <w:rPr>
          <w:b/>
          <w:sz w:val="24"/>
          <w:szCs w:val="24"/>
        </w:rPr>
        <w:t>Čl. IV.</w:t>
      </w:r>
    </w:p>
    <w:p w:rsidR="00D64B89" w:rsidRPr="00D64B89" w:rsidRDefault="00D64B89" w:rsidP="00D64B89">
      <w:pPr>
        <w:jc w:val="center"/>
        <w:rPr>
          <w:b/>
          <w:sz w:val="24"/>
          <w:szCs w:val="24"/>
        </w:rPr>
      </w:pPr>
      <w:r w:rsidRPr="00D64B89">
        <w:rPr>
          <w:b/>
          <w:sz w:val="24"/>
          <w:szCs w:val="24"/>
        </w:rPr>
        <w:t>Nájemné a služby spojené s užíváním předmětu nájmu</w:t>
      </w:r>
    </w:p>
    <w:p w:rsidR="00D64B89" w:rsidRPr="00F01391" w:rsidRDefault="00D64B89" w:rsidP="00D11D10">
      <w:pPr>
        <w:numPr>
          <w:ilvl w:val="0"/>
          <w:numId w:val="9"/>
        </w:numPr>
        <w:jc w:val="both"/>
        <w:rPr>
          <w:sz w:val="22"/>
          <w:szCs w:val="22"/>
        </w:rPr>
      </w:pPr>
      <w:r w:rsidRPr="00F01391">
        <w:rPr>
          <w:sz w:val="22"/>
          <w:szCs w:val="22"/>
        </w:rPr>
        <w:t>Měsíční nájemné bylo stanovené dohodou a činí bez služeb</w:t>
      </w:r>
      <w:r w:rsidRPr="00F01391">
        <w:rPr>
          <w:b/>
          <w:bCs/>
          <w:sz w:val="22"/>
          <w:szCs w:val="22"/>
        </w:rPr>
        <w:t xml:space="preserve"> 95.733,-Kč</w:t>
      </w:r>
      <w:r w:rsidRPr="00F01391">
        <w:rPr>
          <w:sz w:val="22"/>
          <w:szCs w:val="22"/>
        </w:rPr>
        <w:t xml:space="preserve"> (slovy: devadesát pět tisíc sedm set třicet tři </w:t>
      </w:r>
      <w:r>
        <w:rPr>
          <w:sz w:val="22"/>
          <w:szCs w:val="22"/>
        </w:rPr>
        <w:t>korun_</w:t>
      </w:r>
      <w:r w:rsidRPr="00F01391">
        <w:rPr>
          <w:sz w:val="22"/>
          <w:szCs w:val="22"/>
        </w:rPr>
        <w:t>českých) a bude hrazeno bezhotovostním převodem měsíčními splátkami na základě pronajímatelem vystavených faktur vždy prvního pracovního dne v měsíci, za který je nájemné placeno. Termín splatnosti faktur je vždy do 15. dne každého běžného měsíce, ve kterém byla faktura vystavena, pokud není fakturou stanoven pozdější termín splatnosti. Nájemné se hradí na účet Pražské správy nemovitostí, spol. s r.o., č. 1229849349/0800, vedený u České spořitelny, a.s., variabilní symbolem bude číslo faktury.</w:t>
      </w:r>
    </w:p>
    <w:p w:rsidR="00D64B89" w:rsidRPr="00F01391" w:rsidRDefault="00D64B89" w:rsidP="00D11D10">
      <w:pPr>
        <w:numPr>
          <w:ilvl w:val="0"/>
          <w:numId w:val="9"/>
        </w:numPr>
        <w:jc w:val="both"/>
        <w:rPr>
          <w:sz w:val="22"/>
          <w:szCs w:val="22"/>
        </w:rPr>
      </w:pPr>
      <w:r w:rsidRPr="00F01391">
        <w:rPr>
          <w:sz w:val="22"/>
          <w:szCs w:val="22"/>
        </w:rPr>
        <w:t>Pronajímatel se zavazuje zabezpečit nájemci služby uvedené včetně měsíčních úhrad v příloze č. 2 s názvem Rozpis poskytovaných služeb spojených s nájmem. Měsíční úhrady za služby jsou splatné spolu s úhradou měsíčního nájemného.</w:t>
      </w:r>
    </w:p>
    <w:p w:rsidR="00D64B89" w:rsidRPr="00F01391" w:rsidRDefault="00D64B89" w:rsidP="00D11D10">
      <w:pPr>
        <w:numPr>
          <w:ilvl w:val="0"/>
          <w:numId w:val="9"/>
        </w:numPr>
        <w:jc w:val="both"/>
        <w:rPr>
          <w:sz w:val="22"/>
          <w:szCs w:val="22"/>
        </w:rPr>
      </w:pPr>
      <w:r w:rsidRPr="00F01391">
        <w:rPr>
          <w:sz w:val="22"/>
          <w:szCs w:val="22"/>
        </w:rPr>
        <w:t>Smluvní strany se dohodly, že se měsíční nájemné a měsíční paušální platby za služby vždy k 1.1. roku následujícího zvýší o tolik procent oproti měsíčnímu nájemnému a měsíčním paušálním platbám za služby roku předcházejícího, kolik činí roční míra inflace do prosince roku předchozího, oficiálně vyhlášená Českým statistickým úřadem. Výši průměrné roční inflace a jí odpovídající zvýšení měsíčního nájemného a měsíčních paušálních plateb za služby sdělí pronajímatel nájemci písemně. Pronajímatel vystaví fakturu, kterou doúčtuje rozdíl mezi v kalendářním roce již vyúčtovanými měsíčními platbami nájemného a měsíčním nájemným zvýšeným a dále měsíčními paušálními platbami za služby a zvýšenými měsíčními paušálními platby za služby. Poprvé se provede valorizace nájemného a paušálních plateb za služby pro rok 2018 a pak stejně v letech následujících po celou dobu trvání nájmu.</w:t>
      </w:r>
    </w:p>
    <w:p w:rsidR="00D64B89" w:rsidRPr="00F01391" w:rsidRDefault="00D64B89" w:rsidP="00D11D10">
      <w:pPr>
        <w:numPr>
          <w:ilvl w:val="0"/>
          <w:numId w:val="9"/>
        </w:numPr>
        <w:jc w:val="both"/>
        <w:rPr>
          <w:sz w:val="22"/>
          <w:szCs w:val="22"/>
        </w:rPr>
      </w:pPr>
      <w:r w:rsidRPr="00F01391">
        <w:rPr>
          <w:sz w:val="22"/>
          <w:szCs w:val="22"/>
        </w:rPr>
        <w:t xml:space="preserve"> Rozúčtování nákladů u služeb hrazených paušálními platbami se neprovádí.</w:t>
      </w:r>
    </w:p>
    <w:p w:rsidR="00D64B89" w:rsidRPr="00F01391" w:rsidRDefault="00D64B89" w:rsidP="00D11D10">
      <w:pPr>
        <w:pStyle w:val="Odstavecseseznamem"/>
        <w:numPr>
          <w:ilvl w:val="0"/>
          <w:numId w:val="9"/>
        </w:numPr>
        <w:spacing w:after="0" w:line="240" w:lineRule="auto"/>
        <w:jc w:val="both"/>
        <w:rPr>
          <w:rFonts w:ascii="Bookman Old Style" w:hAnsi="Bookman Old Style"/>
        </w:rPr>
      </w:pPr>
      <w:r w:rsidRPr="00F01391">
        <w:rPr>
          <w:rFonts w:ascii="Bookman Old Style" w:hAnsi="Bookman Old Style"/>
        </w:rPr>
        <w:t>Vyúčtování skutečných nákladů za elektrickou energii pro klimatizaci, na které platí nájemce měsíční částku, bude pronajímatelem provedeno vždy ročně nejpozději do jednoho měsíce ode dne doručení vyúčtování této služby od dodavatele, nejpozději však do 30.4. následujícího roku. Rozúčtování nákladů za dodávku elektrické energie pro klimatizaci pro předmět nájmu bude provedeno dle odečtu stavu na elektroměru pro předmět nájmu. Od takto vypočtených skutečných nákladů odečte pronajímatel nájemcem zaplacené měsíční částky v příslušném zúčtovacím období, za které se výpočet provádí. Vyúčtovaný nedoplatek je povinen nájemce zaplatit na účet pronajímatele nejpozději do 15 dnů po doručení vyúčtování nájemci. Vyúčtovaný přeplatek je povinen pronajímatel zaplatit na účet nájemce nejpozději v termínu do 15 dnů po doručení vyúčtování nájemci.</w:t>
      </w:r>
    </w:p>
    <w:p w:rsidR="00D64B89" w:rsidRPr="00F01391" w:rsidRDefault="00D64B89" w:rsidP="00D11D10">
      <w:pPr>
        <w:pStyle w:val="Odstavecseseznamem"/>
        <w:numPr>
          <w:ilvl w:val="0"/>
          <w:numId w:val="9"/>
        </w:numPr>
        <w:spacing w:after="0" w:line="240" w:lineRule="auto"/>
        <w:jc w:val="both"/>
        <w:rPr>
          <w:rFonts w:ascii="Bookman Old Style" w:hAnsi="Bookman Old Style"/>
        </w:rPr>
      </w:pPr>
      <w:r w:rsidRPr="00F01391">
        <w:rPr>
          <w:rFonts w:ascii="Bookman Old Style" w:hAnsi="Bookman Old Style"/>
        </w:rPr>
        <w:t>V případě zvýšení ceny elektrické energie v průběhu kalendářního roku se zvýší měsíční částka za elektrickou energii pro klimatizaci o tolik procent, o kolik byla cena elektrické energie dodavatelem pronajímatele zvýšena, a to od měsíce následujícího po zvýšení ceny.</w:t>
      </w:r>
    </w:p>
    <w:p w:rsidR="00D64B89" w:rsidRDefault="00D64B89" w:rsidP="00D11D10">
      <w:pPr>
        <w:pStyle w:val="Odstavecseseznamem"/>
        <w:numPr>
          <w:ilvl w:val="0"/>
          <w:numId w:val="9"/>
        </w:numPr>
        <w:spacing w:after="0" w:line="240" w:lineRule="auto"/>
        <w:jc w:val="both"/>
        <w:rPr>
          <w:rFonts w:ascii="Bookman Old Style" w:hAnsi="Bookman Old Style"/>
        </w:rPr>
      </w:pPr>
      <w:r w:rsidRPr="00F01391">
        <w:rPr>
          <w:rFonts w:ascii="Bookman Old Style" w:hAnsi="Bookman Old Style"/>
        </w:rPr>
        <w:t>Pokud v průběhu kalendářního roku, počínaje rokem 2017, dodavatel pronajímatele zvýší cenu elektrické energie alespoň o 5 % (jednotlivá zvýšení v průběhu kalendářního roku se sčítají), zvýší se od prvního dne následujícího kalendářního roku všechny paušální sazby za dodávku elektrické energie stanovené touto smlouvou (v případě prvního navýšení) nebo navýšené v souladu s tímto ujednáním (u případného druhého a dalšího navýšení) pro další roky trvání nájmu o tolik procent, kolik činí suma procentuálního nárůstu ceny elektrické energie od dodavatele pronajímatele v posuzovaném kalendářním roce.</w:t>
      </w:r>
    </w:p>
    <w:p w:rsidR="00D64B89" w:rsidRDefault="00D64B89" w:rsidP="00D64B89">
      <w:pPr>
        <w:pStyle w:val="Odstavecseseznamem"/>
        <w:spacing w:after="0" w:line="240" w:lineRule="auto"/>
        <w:jc w:val="both"/>
        <w:rPr>
          <w:rFonts w:ascii="Bookman Old Style" w:hAnsi="Bookman Old Style"/>
        </w:rPr>
      </w:pPr>
    </w:p>
    <w:p w:rsidR="00D64B89" w:rsidRDefault="00D64B89" w:rsidP="00D64B89">
      <w:pPr>
        <w:pStyle w:val="Odstavecseseznamem"/>
        <w:spacing w:after="0" w:line="240" w:lineRule="auto"/>
        <w:jc w:val="both"/>
        <w:rPr>
          <w:rFonts w:ascii="Bookman Old Style" w:hAnsi="Bookman Old Style"/>
        </w:rPr>
      </w:pPr>
    </w:p>
    <w:p w:rsidR="00D64B89" w:rsidRDefault="00D64B89" w:rsidP="00D64B89">
      <w:pPr>
        <w:pStyle w:val="Odstavecseseznamem"/>
        <w:spacing w:after="0" w:line="240" w:lineRule="auto"/>
        <w:jc w:val="both"/>
        <w:rPr>
          <w:rFonts w:ascii="Bookman Old Style" w:hAnsi="Bookman Old Style"/>
        </w:rPr>
      </w:pPr>
    </w:p>
    <w:p w:rsidR="00D64B89" w:rsidRDefault="00D64B89" w:rsidP="00D64B89">
      <w:pPr>
        <w:pStyle w:val="Odstavecseseznamem"/>
        <w:spacing w:after="0" w:line="240" w:lineRule="auto"/>
        <w:jc w:val="both"/>
        <w:rPr>
          <w:rFonts w:ascii="Bookman Old Style" w:hAnsi="Bookman Old Style"/>
        </w:rPr>
      </w:pPr>
    </w:p>
    <w:p w:rsidR="00D64B89" w:rsidRDefault="00D64B89" w:rsidP="00D64B89">
      <w:pPr>
        <w:pStyle w:val="Odstavecseseznamem"/>
        <w:spacing w:after="0" w:line="240" w:lineRule="auto"/>
        <w:jc w:val="both"/>
        <w:rPr>
          <w:rFonts w:ascii="Bookman Old Style" w:hAnsi="Bookman Old Style"/>
        </w:rPr>
      </w:pPr>
    </w:p>
    <w:p w:rsidR="00D64B89" w:rsidRPr="00F01391" w:rsidRDefault="00D64B89" w:rsidP="00D64B89">
      <w:pPr>
        <w:pStyle w:val="Odstavecseseznamem"/>
        <w:spacing w:after="0" w:line="240" w:lineRule="auto"/>
        <w:jc w:val="both"/>
        <w:rPr>
          <w:rFonts w:ascii="Bookman Old Style" w:hAnsi="Bookman Old Style"/>
        </w:rPr>
      </w:pPr>
      <w:r w:rsidRPr="00F01391">
        <w:rPr>
          <w:rFonts w:ascii="Bookman Old Style" w:hAnsi="Bookman Old Style"/>
        </w:rPr>
        <w:t xml:space="preserve"> </w:t>
      </w:r>
    </w:p>
    <w:p w:rsidR="00D64B89" w:rsidRPr="00F01391" w:rsidRDefault="00D64B89" w:rsidP="00D11D10">
      <w:pPr>
        <w:pStyle w:val="Odstavecseseznamem"/>
        <w:numPr>
          <w:ilvl w:val="0"/>
          <w:numId w:val="9"/>
        </w:numPr>
        <w:spacing w:after="0" w:line="240" w:lineRule="auto"/>
        <w:jc w:val="both"/>
        <w:rPr>
          <w:rFonts w:ascii="Bookman Old Style" w:hAnsi="Bookman Old Style"/>
        </w:rPr>
      </w:pPr>
      <w:r w:rsidRPr="00F01391">
        <w:rPr>
          <w:rFonts w:ascii="Bookman Old Style" w:hAnsi="Bookman Old Style"/>
        </w:rPr>
        <w:t>Pokud v průběhu kalendářního roku, počínaje rokem 2017, dodavatel pronajímatele zvýší cenu tepla alespoň o 5 % (jednotlivá zvýšení v průběhu kalendářního roku se sčítají), zvýší se od prvního dne následujícího kalendářního roku všechny paušální sazby za vytápění nebytových prostor a dodávku TUV stanovené touto smlouvou (v případě prvního navýšení) nebo navýšené v souladu s tímto ujednáním (u případného druhého a dalšího navýšení) pro další roky trvání nájmu o tolik procent, kolik činí suma procentuálního nárůstu ceny tepla od dodavatele pronajímatele v posuzovaném kalendářním roce.</w:t>
      </w:r>
    </w:p>
    <w:p w:rsidR="00D64B89" w:rsidRPr="00F01391" w:rsidRDefault="00D64B89" w:rsidP="00D11D10">
      <w:pPr>
        <w:numPr>
          <w:ilvl w:val="0"/>
          <w:numId w:val="9"/>
        </w:numPr>
        <w:jc w:val="both"/>
        <w:rPr>
          <w:sz w:val="22"/>
          <w:szCs w:val="22"/>
        </w:rPr>
      </w:pPr>
      <w:r w:rsidRPr="00F01391">
        <w:rPr>
          <w:sz w:val="22"/>
          <w:szCs w:val="22"/>
        </w:rPr>
        <w:t xml:space="preserve">Pokud v průběhu kalendářního roku, počínaje rokem 2017, dodavatel pronajímatele zvýší cenu vodného a stočného alespoň o 5 % (jednotlivá zvýšení v průběhu kalendářního roku se sčítají), zvýší se od prvního dne následujícího kalendářního roku všechny paušální sazby za dodávku vodného a stočného stanovené touto smlouvou (v případě prvního navýšení) nebo navýšené v souladu s tímto ujednáním (u případného druhého a dalšího navýšení) pro další roky trvání nájmu o tolik procent, kolik činí suma procentuálního nárůstu ceny vodného a stočného od dodavatele pronajímatele v posuzovaném kalendářním roce. </w:t>
      </w:r>
    </w:p>
    <w:p w:rsidR="00D64B89" w:rsidRPr="00F01391" w:rsidRDefault="00D64B89" w:rsidP="00D11D10">
      <w:pPr>
        <w:pStyle w:val="Odstavecseseznamem"/>
        <w:numPr>
          <w:ilvl w:val="0"/>
          <w:numId w:val="9"/>
        </w:numPr>
        <w:spacing w:after="0" w:line="240" w:lineRule="auto"/>
        <w:ind w:hanging="555"/>
        <w:jc w:val="both"/>
        <w:rPr>
          <w:rFonts w:ascii="Bookman Old Style" w:hAnsi="Bookman Old Style"/>
        </w:rPr>
      </w:pPr>
      <w:r w:rsidRPr="00F01391">
        <w:rPr>
          <w:rFonts w:ascii="Bookman Old Style" w:hAnsi="Bookman Old Style"/>
        </w:rPr>
        <w:t>Poprvé může dojít k navýšení paušálních sazeb v souladu s ustanovením odstavců 7, 8 a 9 tohoto článku pro rok 2018 a pak obdobně pro další roky po celou dobu trvání nájmu, a to na základě uzavření dodatku k Nájemní smlouvě.</w:t>
      </w:r>
    </w:p>
    <w:p w:rsidR="00D64B89" w:rsidRPr="00F01391" w:rsidRDefault="00D64B89" w:rsidP="00D64B89">
      <w:pPr>
        <w:pStyle w:val="Odstavecseseznamem"/>
        <w:jc w:val="both"/>
        <w:rPr>
          <w:rFonts w:ascii="Bookman Old Style" w:hAnsi="Bookman Old Style"/>
        </w:rPr>
      </w:pPr>
    </w:p>
    <w:p w:rsidR="00D64B89" w:rsidRPr="00D64B89" w:rsidRDefault="00D64B89" w:rsidP="00D64B89">
      <w:pPr>
        <w:jc w:val="center"/>
        <w:outlineLvl w:val="0"/>
        <w:rPr>
          <w:b/>
          <w:sz w:val="24"/>
          <w:szCs w:val="24"/>
        </w:rPr>
      </w:pPr>
      <w:bookmarkStart w:id="1" w:name="OLE_LINK1"/>
      <w:bookmarkEnd w:id="1"/>
      <w:r w:rsidRPr="00D64B89">
        <w:rPr>
          <w:b/>
          <w:sz w:val="24"/>
          <w:szCs w:val="24"/>
        </w:rPr>
        <w:t>Čl. V.</w:t>
      </w:r>
    </w:p>
    <w:p w:rsidR="00D64B89" w:rsidRPr="00D64B89" w:rsidRDefault="00D64B89" w:rsidP="00D64B89">
      <w:pPr>
        <w:jc w:val="center"/>
        <w:rPr>
          <w:b/>
          <w:sz w:val="24"/>
          <w:szCs w:val="24"/>
        </w:rPr>
      </w:pPr>
      <w:r w:rsidRPr="00D64B89">
        <w:rPr>
          <w:b/>
          <w:sz w:val="24"/>
          <w:szCs w:val="24"/>
        </w:rPr>
        <w:t>Práva a povinnosti pronajímatele</w:t>
      </w:r>
    </w:p>
    <w:p w:rsidR="00D64B89" w:rsidRPr="00F01391" w:rsidRDefault="00D64B89" w:rsidP="00D11D10">
      <w:pPr>
        <w:numPr>
          <w:ilvl w:val="0"/>
          <w:numId w:val="1"/>
        </w:numPr>
        <w:jc w:val="both"/>
        <w:rPr>
          <w:sz w:val="22"/>
          <w:szCs w:val="22"/>
        </w:rPr>
      </w:pPr>
      <w:r w:rsidRPr="00F01391">
        <w:rPr>
          <w:sz w:val="22"/>
          <w:szCs w:val="22"/>
        </w:rPr>
        <w:t>Pronajímatel je povinen zajistit řádný a nerušený výkon nájemních práv nájemce po celou dobu trvání nájemního vztahu. Nájemce prohlašuje, že se seznámil se stavem předmětu nájmu, předmět nájmu si prohlédl a tento je způsobilý k řádnému užívání za účelem podle této smlouvy.</w:t>
      </w:r>
    </w:p>
    <w:p w:rsidR="00D64B89" w:rsidRPr="00F01391" w:rsidRDefault="00D64B89" w:rsidP="00D11D10">
      <w:pPr>
        <w:numPr>
          <w:ilvl w:val="0"/>
          <w:numId w:val="1"/>
        </w:numPr>
        <w:jc w:val="both"/>
        <w:rPr>
          <w:sz w:val="22"/>
          <w:szCs w:val="22"/>
          <w:u w:val="single"/>
        </w:rPr>
      </w:pPr>
      <w:r w:rsidRPr="00F01391">
        <w:rPr>
          <w:sz w:val="22"/>
          <w:szCs w:val="22"/>
        </w:rPr>
        <w:t xml:space="preserve">Pronajímatel, nebo jím určená osoba jsou oprávněni vstoupit do předmětu nájmu spolu s kontaktní osobou nájemce v pracovních dnech v běžných provozních hodinách nájemce (přímého uživatele), a to zejména za účelem kontroly dodržování podmínek této smlouvy, jakož i případného provádění údržby, nutných oprav či provádění kontroly elektrického, vodovodního a dalšího vedení, jestliže je toho zapotřebí. Ve sporném případě se má za to, že provozní hodinou nájemce (přímého uživatele) je doba </w:t>
      </w:r>
      <w:r w:rsidRPr="00F01391">
        <w:rPr>
          <w:bCs/>
          <w:sz w:val="22"/>
          <w:szCs w:val="22"/>
        </w:rPr>
        <w:t>od 8:00 hod do 16:00</w:t>
      </w:r>
      <w:r w:rsidRPr="00F01391">
        <w:rPr>
          <w:sz w:val="22"/>
          <w:szCs w:val="22"/>
        </w:rPr>
        <w:t xml:space="preserve"> hod. mimo dny pracovního klidu, jakož i kterákoliv jiná doba, po kterou je osoba oprávněna jednat jménem nájemce v předmětu nájmu přítomna. Nájemce předá pronajímateli náhradní klíče do předmětu nájmu za účelem jeho použití v případech, kdy vstup pronajímatele do předmětu nájmu nesnese odklad a souhlas nájemce nelze získat. Klíče budou předány v zapečetěné krabičce, přičemž nájemce má právo na kontrolu neporušenosti pečetě. O každém použití tohoto klíče musí být nájemce písemně informován včetně odůvodnění vstupu a popisu průběhu pobývání pronajímatele v předmětu nájmu. Nájemce sdělí pronajímateli identifikační údaje kontaktní osoby, s níž bude pronajímatel oprávněn operativně řešit veškeré otázky týkající se předmětu nájmu, vyjma smluvních.</w:t>
      </w:r>
      <w:r w:rsidRPr="00F01391">
        <w:rPr>
          <w:bCs/>
          <w:sz w:val="22"/>
          <w:szCs w:val="22"/>
        </w:rPr>
        <w:t xml:space="preserve"> </w:t>
      </w:r>
    </w:p>
    <w:p w:rsidR="00D64B89" w:rsidRPr="00D64B89" w:rsidRDefault="00D64B89" w:rsidP="00D11D10">
      <w:pPr>
        <w:numPr>
          <w:ilvl w:val="0"/>
          <w:numId w:val="1"/>
        </w:numPr>
        <w:jc w:val="both"/>
        <w:rPr>
          <w:sz w:val="22"/>
          <w:szCs w:val="22"/>
        </w:rPr>
      </w:pPr>
      <w:r w:rsidRPr="00F01391">
        <w:rPr>
          <w:sz w:val="22"/>
          <w:szCs w:val="22"/>
        </w:rPr>
        <w:t xml:space="preserve">V případě výskytu havárie se pronajímatel zavazuje nastoupit do 24 hod. od uplatnění písemného požadavku nájemce (přímého uživatele) na její odstranění nebo zahájit odstraňování vady. Lhůta k odstranění závad činí 2 pracovní dny od nahlášení za předpokladu, že je odstranění závad v této lhůtě objektivně v možnostech pronajímatele, jinak bez zbytečného odkladu od nahlášení. </w:t>
      </w:r>
      <w:r w:rsidRPr="00F01391">
        <w:rPr>
          <w:rFonts w:eastAsia="Arial"/>
          <w:sz w:val="22"/>
          <w:szCs w:val="22"/>
        </w:rPr>
        <w:t>Povinnost pronajímatele se bude vztahovat, pokud se jedná o předmět nájmu i na EZS, klimatizaci, vyvolávací systém, jsou-li instalovány.</w:t>
      </w:r>
    </w:p>
    <w:p w:rsidR="00D64B89" w:rsidRDefault="00D64B89" w:rsidP="00D64B89">
      <w:pPr>
        <w:jc w:val="both"/>
        <w:rPr>
          <w:sz w:val="22"/>
          <w:szCs w:val="22"/>
        </w:rPr>
      </w:pPr>
    </w:p>
    <w:p w:rsidR="00D64B89" w:rsidRDefault="00D64B89" w:rsidP="00D64B89">
      <w:pPr>
        <w:jc w:val="both"/>
        <w:rPr>
          <w:sz w:val="22"/>
          <w:szCs w:val="22"/>
        </w:rPr>
      </w:pPr>
    </w:p>
    <w:p w:rsidR="00D64B89" w:rsidRPr="00F01391" w:rsidRDefault="00D64B89" w:rsidP="00D64B89">
      <w:pPr>
        <w:jc w:val="both"/>
        <w:rPr>
          <w:sz w:val="22"/>
          <w:szCs w:val="22"/>
        </w:rPr>
      </w:pPr>
    </w:p>
    <w:p w:rsidR="00D64B89" w:rsidRPr="00F01391" w:rsidRDefault="00D64B89" w:rsidP="00D11D10">
      <w:pPr>
        <w:numPr>
          <w:ilvl w:val="0"/>
          <w:numId w:val="1"/>
        </w:numPr>
        <w:jc w:val="both"/>
        <w:rPr>
          <w:sz w:val="22"/>
          <w:szCs w:val="22"/>
        </w:rPr>
      </w:pPr>
      <w:r w:rsidRPr="00F01391">
        <w:rPr>
          <w:rFonts w:eastAsia="Arial"/>
          <w:sz w:val="22"/>
          <w:szCs w:val="22"/>
        </w:rPr>
        <w:t xml:space="preserve">Pronajímatel na základě písemné objednávky nájemce a na náklady nájemce provádí údržbu, opravy, prohlídky a revize veškerých technických zařízení, které jsou součástí předmětu nájmu (zejména opravy podlahových krytin, výměny elektrických koncových zařízení a rozvodných zařízení, zejména vypínačů, zásuvek, jističů, zásuvek rozvodů datových sítí, osvětlovacích těles; opravy uzavíracích armatur na rozvodech vody, výměny sifonů, indikátorů vytápění, digestoří, umyvadel, výlevky, dřezu, splachovačů a sanitární keramiky WC, kuchyňských linek, termostatů topení, </w:t>
      </w:r>
      <w:r w:rsidRPr="00D64B89">
        <w:rPr>
          <w:rFonts w:eastAsia="Arial"/>
          <w:sz w:val="22"/>
          <w:szCs w:val="22"/>
        </w:rPr>
        <w:t>servis, prohlídky a opravy klimatizace, EZS a vyvolávacího systému</w:t>
      </w:r>
      <w:r w:rsidRPr="00F01391">
        <w:rPr>
          <w:rFonts w:eastAsia="Arial"/>
          <w:sz w:val="22"/>
          <w:szCs w:val="22"/>
        </w:rPr>
        <w:t xml:space="preserve"> a to i v případě, že takové opravy jsou vyvolány jednáním nájemce, případně třetích osob, jimž nájemce umožnil přístup do prostor, které by svým charakterem vedlo k jinému než běžnému opotřebení.</w:t>
      </w:r>
    </w:p>
    <w:p w:rsidR="00D64B89" w:rsidRPr="00F01391" w:rsidRDefault="00D64B89" w:rsidP="00D11D10">
      <w:pPr>
        <w:numPr>
          <w:ilvl w:val="0"/>
          <w:numId w:val="1"/>
        </w:numPr>
        <w:jc w:val="both"/>
        <w:rPr>
          <w:sz w:val="22"/>
          <w:szCs w:val="22"/>
        </w:rPr>
      </w:pPr>
      <w:r w:rsidRPr="00F01391">
        <w:rPr>
          <w:sz w:val="22"/>
          <w:szCs w:val="22"/>
        </w:rPr>
        <w:t>Odstranění závad potvrdí nájemce pronajímateli písemným zápisem.</w:t>
      </w:r>
    </w:p>
    <w:p w:rsidR="00D64B89" w:rsidRPr="00F01391" w:rsidRDefault="00D64B89" w:rsidP="00D11D10">
      <w:pPr>
        <w:numPr>
          <w:ilvl w:val="0"/>
          <w:numId w:val="1"/>
        </w:numPr>
        <w:jc w:val="both"/>
        <w:rPr>
          <w:sz w:val="22"/>
          <w:szCs w:val="22"/>
        </w:rPr>
      </w:pPr>
      <w:r w:rsidRPr="00F01391">
        <w:rPr>
          <w:sz w:val="22"/>
          <w:szCs w:val="22"/>
        </w:rPr>
        <w:t xml:space="preserve">Pronajímatel odpovídá za vybavení předmětu nájmu a společných prostor užívaných nájemcem věcnými prostředky požární ochrany v souladu s požární dokumentací objektu a požární dokumentací nájemce se současnou kolaudací objektu. </w:t>
      </w:r>
    </w:p>
    <w:p w:rsidR="00D64B89" w:rsidRPr="00F01391" w:rsidRDefault="00D64B89" w:rsidP="00D11D10">
      <w:pPr>
        <w:numPr>
          <w:ilvl w:val="0"/>
          <w:numId w:val="1"/>
        </w:numPr>
        <w:jc w:val="both"/>
        <w:rPr>
          <w:sz w:val="22"/>
          <w:szCs w:val="22"/>
        </w:rPr>
      </w:pPr>
      <w:r w:rsidRPr="00F01391">
        <w:rPr>
          <w:sz w:val="22"/>
          <w:szCs w:val="22"/>
        </w:rPr>
        <w:t>Pronajímatel se zavazuje, že v případě prodloužení nájemního vztahu využitím opce provede na své náklady výmalbu všech nebytových prostor, které nájemce dle této smlouvy užívá.</w:t>
      </w:r>
    </w:p>
    <w:p w:rsidR="00D64B89" w:rsidRPr="00F01391" w:rsidRDefault="00D64B89" w:rsidP="00D11D10">
      <w:pPr>
        <w:pStyle w:val="1"/>
        <w:numPr>
          <w:ilvl w:val="0"/>
          <w:numId w:val="1"/>
        </w:numPr>
        <w:spacing w:before="0" w:after="0"/>
        <w:rPr>
          <w:rFonts w:ascii="Bookman Old Style" w:hAnsi="Bookman Old Style"/>
          <w:sz w:val="22"/>
          <w:szCs w:val="22"/>
        </w:rPr>
      </w:pPr>
      <w:r w:rsidRPr="00F01391">
        <w:rPr>
          <w:rFonts w:ascii="Bookman Old Style" w:hAnsi="Bookman Old Style"/>
          <w:sz w:val="22"/>
          <w:szCs w:val="22"/>
        </w:rPr>
        <w:t>Pronajímatel se zavazuje zachovávat ve vztahu ke třetím osobám mlčenlivost o všech informacích týkajících se nájemce a o důsledcích plynoucích z nedodržení této povinnosti.</w:t>
      </w:r>
    </w:p>
    <w:p w:rsidR="00D64B89" w:rsidRPr="00F01391" w:rsidRDefault="00D64B89" w:rsidP="00D11D10">
      <w:pPr>
        <w:pStyle w:val="1"/>
        <w:numPr>
          <w:ilvl w:val="0"/>
          <w:numId w:val="1"/>
        </w:numPr>
        <w:spacing w:before="0" w:after="0"/>
        <w:rPr>
          <w:rFonts w:ascii="Bookman Old Style" w:hAnsi="Bookman Old Style"/>
          <w:sz w:val="22"/>
          <w:szCs w:val="22"/>
        </w:rPr>
      </w:pPr>
      <w:r w:rsidRPr="00F01391">
        <w:rPr>
          <w:rFonts w:ascii="Bookman Old Style" w:hAnsi="Bookman Old Style"/>
          <w:sz w:val="22"/>
          <w:szCs w:val="22"/>
        </w:rPr>
        <w:t>Pronajímatel se zavazuje vyčistit 1x ročně koberce v zákaznické zóně.</w:t>
      </w:r>
    </w:p>
    <w:p w:rsidR="00D64B89" w:rsidRPr="00F01391" w:rsidRDefault="00D64B89" w:rsidP="00D64B89">
      <w:pPr>
        <w:ind w:left="426" w:firstLine="142"/>
        <w:jc w:val="both"/>
        <w:outlineLvl w:val="0"/>
        <w:rPr>
          <w:b/>
          <w:sz w:val="22"/>
          <w:szCs w:val="22"/>
        </w:rPr>
      </w:pPr>
      <w:r w:rsidRPr="00F01391">
        <w:rPr>
          <w:b/>
          <w:sz w:val="22"/>
          <w:szCs w:val="22"/>
        </w:rPr>
        <w:t xml:space="preserve">                                                              </w:t>
      </w:r>
    </w:p>
    <w:p w:rsidR="00D64B89" w:rsidRPr="00D64B89" w:rsidRDefault="00D64B89" w:rsidP="00D64B89">
      <w:pPr>
        <w:ind w:left="426" w:firstLine="142"/>
        <w:outlineLvl w:val="0"/>
        <w:rPr>
          <w:b/>
          <w:sz w:val="24"/>
          <w:szCs w:val="24"/>
        </w:rPr>
      </w:pPr>
      <w:r w:rsidRPr="00D64B89">
        <w:rPr>
          <w:b/>
          <w:sz w:val="24"/>
          <w:szCs w:val="24"/>
        </w:rPr>
        <w:t xml:space="preserve">                                          </w:t>
      </w:r>
      <w:r>
        <w:rPr>
          <w:b/>
          <w:sz w:val="24"/>
          <w:szCs w:val="24"/>
        </w:rPr>
        <w:t xml:space="preserve"> </w:t>
      </w:r>
      <w:r w:rsidRPr="00D64B89">
        <w:rPr>
          <w:b/>
          <w:sz w:val="24"/>
          <w:szCs w:val="24"/>
        </w:rPr>
        <w:t>Čl. VI.</w:t>
      </w:r>
    </w:p>
    <w:p w:rsidR="00D64B89" w:rsidRPr="00D64B89" w:rsidRDefault="00D64B89" w:rsidP="00D64B89">
      <w:pPr>
        <w:jc w:val="center"/>
        <w:rPr>
          <w:b/>
          <w:sz w:val="24"/>
          <w:szCs w:val="24"/>
        </w:rPr>
      </w:pPr>
      <w:r w:rsidRPr="00D64B89">
        <w:rPr>
          <w:b/>
          <w:sz w:val="24"/>
          <w:szCs w:val="24"/>
        </w:rPr>
        <w:t>Práva a povinnosti nájemce</w:t>
      </w:r>
    </w:p>
    <w:p w:rsidR="00D64B89" w:rsidRPr="00F01391" w:rsidRDefault="00D64B89" w:rsidP="00D11D10">
      <w:pPr>
        <w:numPr>
          <w:ilvl w:val="0"/>
          <w:numId w:val="2"/>
        </w:numPr>
        <w:jc w:val="both"/>
        <w:rPr>
          <w:sz w:val="22"/>
          <w:szCs w:val="22"/>
        </w:rPr>
      </w:pPr>
      <w:r w:rsidRPr="00F01391">
        <w:rPr>
          <w:sz w:val="22"/>
          <w:szCs w:val="22"/>
        </w:rPr>
        <w:t>Nájemce je povinen po celou dobu trvání nájemního vztahu užívat předmět nájmu v rozsahu a k účelu podle ustanovení článku I</w:t>
      </w:r>
      <w:r>
        <w:rPr>
          <w:sz w:val="22"/>
          <w:szCs w:val="22"/>
        </w:rPr>
        <w:t>.</w:t>
      </w:r>
      <w:r w:rsidRPr="00F01391">
        <w:rPr>
          <w:sz w:val="22"/>
          <w:szCs w:val="22"/>
        </w:rPr>
        <w:t xml:space="preserve"> a II</w:t>
      </w:r>
      <w:r>
        <w:rPr>
          <w:sz w:val="22"/>
          <w:szCs w:val="22"/>
        </w:rPr>
        <w:t>.</w:t>
      </w:r>
      <w:r w:rsidRPr="00F01391">
        <w:rPr>
          <w:sz w:val="22"/>
          <w:szCs w:val="22"/>
        </w:rPr>
        <w:t xml:space="preserve"> této smlouvy, dále je povinen hradit nájemné a úhradu za služby spojené s užívání předmětu nájmu ve výši, včas a způsobem v této smlouvě sjednaným.</w:t>
      </w:r>
    </w:p>
    <w:p w:rsidR="00D64B89" w:rsidRPr="00F01391" w:rsidRDefault="00D64B89" w:rsidP="00D11D10">
      <w:pPr>
        <w:numPr>
          <w:ilvl w:val="0"/>
          <w:numId w:val="2"/>
        </w:numPr>
        <w:jc w:val="both"/>
        <w:rPr>
          <w:sz w:val="22"/>
          <w:szCs w:val="22"/>
        </w:rPr>
      </w:pPr>
      <w:r w:rsidRPr="00F01391">
        <w:rPr>
          <w:sz w:val="22"/>
          <w:szCs w:val="22"/>
        </w:rPr>
        <w:t>Nájemce odpovídá za dodržování předpisů požární ochrany a předpisů bezpečnosti a ochrany zdraví při práci v předmětu nájmu v plném rozsahu.</w:t>
      </w:r>
    </w:p>
    <w:p w:rsidR="00D64B89" w:rsidRPr="00F01391" w:rsidRDefault="00D64B89" w:rsidP="00D11D10">
      <w:pPr>
        <w:pStyle w:val="Normodsaz"/>
        <w:numPr>
          <w:ilvl w:val="0"/>
          <w:numId w:val="2"/>
        </w:numPr>
        <w:ind w:right="27"/>
        <w:rPr>
          <w:rFonts w:ascii="Bookman Old Style" w:hAnsi="Bookman Old Style"/>
          <w:sz w:val="22"/>
          <w:szCs w:val="22"/>
        </w:rPr>
      </w:pPr>
      <w:r w:rsidRPr="00F01391">
        <w:rPr>
          <w:rFonts w:ascii="Bookman Old Style" w:hAnsi="Bookman Old Style"/>
          <w:sz w:val="22"/>
          <w:szCs w:val="22"/>
        </w:rPr>
        <w:t>Nájemce je povinen oznámit bez zbytečného odkladu pronajímateli poruchy či změny, které nastaly v a na předmětu nájmu, a to jak zapříčiněním nájemce tak i bez jeho vlivu a vůle, a současně je povinen bez zbytečného odkladu oznámit pronajímateli potřebu těchto oprav, které má pronajímatel provést a umožnit pronajímateli provedení těchto oprav, jinak odpovídá za škodu, která nesplněním povinnosti nájemce pronajímateli vznikla.</w:t>
      </w:r>
    </w:p>
    <w:p w:rsidR="00D64B89" w:rsidRPr="00F01391" w:rsidRDefault="00D64B89" w:rsidP="00D11D10">
      <w:pPr>
        <w:numPr>
          <w:ilvl w:val="0"/>
          <w:numId w:val="2"/>
        </w:numPr>
        <w:jc w:val="both"/>
        <w:rPr>
          <w:sz w:val="22"/>
          <w:szCs w:val="22"/>
        </w:rPr>
      </w:pPr>
      <w:r w:rsidRPr="00F01391">
        <w:rPr>
          <w:bCs/>
          <w:sz w:val="22"/>
          <w:szCs w:val="22"/>
        </w:rPr>
        <w:t xml:space="preserve">Nájemce odpovídá za zničení, odcizení a za jakékoli znehodnocení věcí pronajímatele,  nalézajících se v předmětu nájmu. Tím není dotčena jiná zákonná odpovědnost nájemce nebo pronajímatele.  </w:t>
      </w:r>
    </w:p>
    <w:p w:rsidR="00D64B89" w:rsidRPr="00F01391" w:rsidRDefault="00D64B89" w:rsidP="00D11D10">
      <w:pPr>
        <w:numPr>
          <w:ilvl w:val="0"/>
          <w:numId w:val="2"/>
        </w:numPr>
        <w:jc w:val="both"/>
        <w:rPr>
          <w:sz w:val="22"/>
          <w:szCs w:val="22"/>
        </w:rPr>
      </w:pPr>
      <w:r w:rsidRPr="00F01391">
        <w:rPr>
          <w:sz w:val="22"/>
          <w:szCs w:val="22"/>
        </w:rPr>
        <w:t>Nájemce je dále povinen uhradit pronajímateli škody vzniklé na předmětu nájmu v důsledku provozní či jiné činnosti nájemce, které jsou nad rámec běžného opotřebení.</w:t>
      </w:r>
    </w:p>
    <w:p w:rsidR="00D64B89" w:rsidRPr="00F01391" w:rsidRDefault="00D64B89" w:rsidP="00D11D10">
      <w:pPr>
        <w:numPr>
          <w:ilvl w:val="0"/>
          <w:numId w:val="2"/>
        </w:numPr>
        <w:jc w:val="both"/>
        <w:rPr>
          <w:sz w:val="22"/>
          <w:szCs w:val="22"/>
        </w:rPr>
      </w:pPr>
      <w:r w:rsidRPr="00F01391">
        <w:rPr>
          <w:sz w:val="22"/>
          <w:szCs w:val="22"/>
        </w:rPr>
        <w:t>Nájemce nesmí bez písemného svolení pronajímatele přenechat nebytové prostory jiné osobě, než jak je uvedeno v této smlouvě.</w:t>
      </w:r>
    </w:p>
    <w:p w:rsidR="00D64B89" w:rsidRPr="00F01391" w:rsidRDefault="00D64B89" w:rsidP="00D11D10">
      <w:pPr>
        <w:numPr>
          <w:ilvl w:val="0"/>
          <w:numId w:val="2"/>
        </w:numPr>
        <w:jc w:val="both"/>
        <w:rPr>
          <w:sz w:val="22"/>
          <w:szCs w:val="22"/>
        </w:rPr>
      </w:pPr>
      <w:r w:rsidRPr="00F01391">
        <w:rPr>
          <w:sz w:val="22"/>
          <w:szCs w:val="22"/>
        </w:rPr>
        <w:t>Nájemce je oprávněn vyžádat si od pronajímatele veškeré podklady, na jejichž základě účtuje úhradu za služby spojené s užíváním předmětu nájmu, u kterých se provádí vyúčtování.</w:t>
      </w:r>
    </w:p>
    <w:p w:rsidR="00D64B89" w:rsidRDefault="00D64B89" w:rsidP="00D64B89">
      <w:pPr>
        <w:jc w:val="center"/>
        <w:outlineLvl w:val="0"/>
        <w:rPr>
          <w:b/>
        </w:rPr>
      </w:pPr>
    </w:p>
    <w:p w:rsidR="00D64B89" w:rsidRPr="00D64B89" w:rsidRDefault="00D64B89" w:rsidP="00D64B89">
      <w:pPr>
        <w:jc w:val="center"/>
        <w:outlineLvl w:val="0"/>
        <w:rPr>
          <w:b/>
          <w:sz w:val="24"/>
          <w:szCs w:val="24"/>
        </w:rPr>
      </w:pPr>
      <w:r w:rsidRPr="00D64B89">
        <w:rPr>
          <w:b/>
          <w:sz w:val="24"/>
          <w:szCs w:val="24"/>
        </w:rPr>
        <w:t>Čl. VII.</w:t>
      </w:r>
    </w:p>
    <w:p w:rsidR="00D64B89" w:rsidRPr="00D64B89" w:rsidRDefault="00D64B89" w:rsidP="00D64B89">
      <w:pPr>
        <w:jc w:val="center"/>
        <w:outlineLvl w:val="0"/>
        <w:rPr>
          <w:b/>
          <w:sz w:val="24"/>
          <w:szCs w:val="24"/>
        </w:rPr>
      </w:pPr>
      <w:r w:rsidRPr="00D64B89">
        <w:rPr>
          <w:b/>
          <w:sz w:val="24"/>
          <w:szCs w:val="24"/>
        </w:rPr>
        <w:t>Stavební úpravy</w:t>
      </w:r>
    </w:p>
    <w:p w:rsidR="00D64B89" w:rsidRDefault="00D64B89" w:rsidP="00D11D10">
      <w:pPr>
        <w:pStyle w:val="Norma"/>
        <w:numPr>
          <w:ilvl w:val="0"/>
          <w:numId w:val="6"/>
        </w:numPr>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Bookman Old Style" w:hAnsi="Bookman Old Style"/>
          <w:sz w:val="22"/>
          <w:szCs w:val="22"/>
          <w:lang w:val="cs-CZ"/>
        </w:rPr>
      </w:pPr>
      <w:r w:rsidRPr="00F01391">
        <w:rPr>
          <w:rFonts w:ascii="Bookman Old Style" w:hAnsi="Bookman Old Style"/>
          <w:sz w:val="22"/>
          <w:szCs w:val="22"/>
          <w:lang w:val="cs-CZ"/>
        </w:rPr>
        <w:t>Veškeré úpravy trvalého charakteru prováděné nájemcem v prostorách předmětu nájmu vyžadují předchozí výslovný a písemný souhlas pronajímatele. Součástí žádosti o udělení tohoto souhlasu je i specifikace těchto úprav (jejich popis, cena a seznam).</w:t>
      </w:r>
    </w:p>
    <w:p w:rsidR="00D64B89" w:rsidRDefault="00D64B89" w:rsidP="00D64B89">
      <w:pPr>
        <w:pStyle w:val="Norma"/>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sz w:val="22"/>
          <w:szCs w:val="22"/>
          <w:lang w:val="cs-CZ"/>
        </w:rPr>
      </w:pPr>
    </w:p>
    <w:p w:rsidR="00D64B89" w:rsidRDefault="00D64B89" w:rsidP="00D64B89">
      <w:pPr>
        <w:pStyle w:val="Norma"/>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sz w:val="22"/>
          <w:szCs w:val="22"/>
          <w:lang w:val="cs-CZ"/>
        </w:rPr>
      </w:pPr>
    </w:p>
    <w:p w:rsidR="00D64B89" w:rsidRDefault="00D64B89" w:rsidP="00D64B89">
      <w:pPr>
        <w:pStyle w:val="Norma"/>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sz w:val="22"/>
          <w:szCs w:val="22"/>
          <w:lang w:val="cs-CZ"/>
        </w:rPr>
      </w:pPr>
    </w:p>
    <w:p w:rsidR="00D64B89" w:rsidRPr="00F01391" w:rsidRDefault="00D64B89" w:rsidP="00D64B89">
      <w:pPr>
        <w:pStyle w:val="Norma"/>
        <w:tabs>
          <w:tab w:val="left" w:pos="426"/>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Bookman Old Style" w:hAnsi="Bookman Old Style"/>
          <w:sz w:val="22"/>
          <w:szCs w:val="22"/>
          <w:lang w:val="cs-CZ"/>
        </w:rPr>
      </w:pPr>
    </w:p>
    <w:p w:rsidR="00D64B89" w:rsidRPr="00F01391" w:rsidRDefault="00D64B89" w:rsidP="00D11D10">
      <w:pPr>
        <w:pStyle w:val="Norma"/>
        <w:numPr>
          <w:ilvl w:val="0"/>
          <w:numId w:val="6"/>
        </w:numPr>
        <w:tabs>
          <w:tab w:val="left" w:pos="0"/>
          <w:tab w:val="left" w:pos="363"/>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Bookman Old Style" w:eastAsia="Arial" w:hAnsi="Bookman Old Style"/>
          <w:sz w:val="22"/>
          <w:szCs w:val="22"/>
          <w:lang w:val="cs-CZ"/>
        </w:rPr>
      </w:pPr>
      <w:r w:rsidRPr="00F01391">
        <w:rPr>
          <w:rFonts w:ascii="Bookman Old Style" w:eastAsia="Arial" w:hAnsi="Bookman Old Style"/>
          <w:sz w:val="22"/>
          <w:szCs w:val="22"/>
          <w:lang w:val="cs-CZ"/>
        </w:rPr>
        <w:t xml:space="preserve"> Pronajímatel podpisem této smlouvy uděluje nájemci výslovný souhlas s instalací zařízení České pošty s.p., prostřednictvím kterého bude zajištěna funkčnost interní sítě přímého uživatele (intranet).</w:t>
      </w:r>
    </w:p>
    <w:p w:rsidR="00D64B89" w:rsidRPr="00F01391" w:rsidRDefault="00D64B89" w:rsidP="00D11D10">
      <w:pPr>
        <w:pStyle w:val="Norma"/>
        <w:numPr>
          <w:ilvl w:val="0"/>
          <w:numId w:val="6"/>
        </w:numPr>
        <w:tabs>
          <w:tab w:val="left" w:pos="0"/>
          <w:tab w:val="left" w:pos="363"/>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ind w:left="426" w:hanging="426"/>
        <w:jc w:val="both"/>
        <w:rPr>
          <w:rFonts w:ascii="Bookman Old Style" w:eastAsia="Times New Roman" w:hAnsi="Bookman Old Style"/>
          <w:sz w:val="22"/>
          <w:szCs w:val="22"/>
          <w:lang w:val="cs-CZ"/>
        </w:rPr>
      </w:pPr>
      <w:r w:rsidRPr="00F01391">
        <w:rPr>
          <w:rFonts w:ascii="Bookman Old Style" w:hAnsi="Bookman Old Style"/>
          <w:sz w:val="22"/>
          <w:szCs w:val="22"/>
          <w:lang w:val="cs-CZ"/>
        </w:rPr>
        <w:t xml:space="preserve"> </w:t>
      </w:r>
      <w:r w:rsidRPr="00F01391">
        <w:rPr>
          <w:rFonts w:ascii="Bookman Old Style" w:eastAsia="Arial" w:hAnsi="Bookman Old Style"/>
          <w:sz w:val="22"/>
          <w:szCs w:val="22"/>
          <w:lang w:val="cs-CZ"/>
        </w:rPr>
        <w:t>Současně pronajímatel podpisem této smlouvy dává nájemci právo instalovat na budovu označení v souladu se zavedenou praxí u orgánů státní správy. K</w:t>
      </w:r>
      <w:r w:rsidRPr="00F01391">
        <w:rPr>
          <w:rFonts w:ascii="Bookman Old Style" w:eastAsia="Times New Roman" w:hAnsi="Bookman Old Style"/>
          <w:sz w:val="22"/>
          <w:szCs w:val="22"/>
          <w:lang w:val="cs-CZ"/>
        </w:rPr>
        <w:t>onkrétní vzhled a místo umístění je nájemce povinen  si nechat pronajímatelem odsouhlasit. Pronajímatel souhlas odmítne pouze, má-li pro to vážný důvod. Nájemce se zavazuje obstarat všechna potřebná povolení k umístění a zřízení informačních tabulí či vývěsních štítů. Náklady na pořízení, instalaci, udržení, provoz a odstranění reklamního zařízení ponese v plném rozsahu nájemce.</w:t>
      </w:r>
    </w:p>
    <w:p w:rsidR="00D64B89" w:rsidRDefault="00D64B89" w:rsidP="00D64B89">
      <w:pPr>
        <w:jc w:val="center"/>
        <w:rPr>
          <w:b/>
        </w:rPr>
      </w:pPr>
    </w:p>
    <w:p w:rsidR="00D64B89" w:rsidRPr="00D64B89" w:rsidRDefault="00D64B89" w:rsidP="00D64B89">
      <w:pPr>
        <w:jc w:val="center"/>
        <w:rPr>
          <w:b/>
          <w:sz w:val="24"/>
          <w:szCs w:val="24"/>
        </w:rPr>
      </w:pPr>
      <w:r w:rsidRPr="00D64B89">
        <w:rPr>
          <w:b/>
          <w:sz w:val="24"/>
          <w:szCs w:val="24"/>
        </w:rPr>
        <w:t>Čl. VIII.</w:t>
      </w:r>
    </w:p>
    <w:p w:rsidR="00D64B89" w:rsidRPr="00D64B89" w:rsidRDefault="00D64B89" w:rsidP="00D64B89">
      <w:pPr>
        <w:jc w:val="center"/>
        <w:rPr>
          <w:b/>
          <w:sz w:val="24"/>
          <w:szCs w:val="24"/>
        </w:rPr>
      </w:pPr>
      <w:r w:rsidRPr="00D64B89">
        <w:rPr>
          <w:b/>
          <w:sz w:val="24"/>
          <w:szCs w:val="24"/>
        </w:rPr>
        <w:t>Pojištění</w:t>
      </w:r>
    </w:p>
    <w:p w:rsidR="00D64B89" w:rsidRPr="00F01391" w:rsidRDefault="00D64B89" w:rsidP="00D11D10">
      <w:pPr>
        <w:numPr>
          <w:ilvl w:val="0"/>
          <w:numId w:val="10"/>
        </w:numPr>
        <w:jc w:val="both"/>
        <w:rPr>
          <w:sz w:val="22"/>
          <w:szCs w:val="22"/>
        </w:rPr>
      </w:pPr>
      <w:r w:rsidRPr="00F01391">
        <w:rPr>
          <w:sz w:val="22"/>
          <w:szCs w:val="22"/>
        </w:rPr>
        <w:t xml:space="preserve">Pronajímatel prohlašuje, že nemovitost, v níž je předmět nájmu lokalizován, je v době trvání nájemního vztahu pojištěna na škody způsobené zejména živly a dále na odpovědnost za škodu vyplývající z vlastnictví a pronájmu nemovitostí. Na vyžádání nájemce je pronajímatel povinen předložit doklady o sjednání pojištění. </w:t>
      </w:r>
    </w:p>
    <w:p w:rsidR="00D64B89" w:rsidRPr="00F01391" w:rsidRDefault="00D64B89" w:rsidP="00D64B89">
      <w:pPr>
        <w:pStyle w:val="Zkladntext1"/>
        <w:jc w:val="both"/>
        <w:rPr>
          <w:rFonts w:ascii="Bookman Old Style" w:hAnsi="Bookman Old Style"/>
          <w:b/>
          <w:color w:val="auto"/>
          <w:szCs w:val="22"/>
          <w:lang w:val="cs-CZ" w:eastAsia="cs-CZ"/>
        </w:rPr>
      </w:pPr>
    </w:p>
    <w:p w:rsidR="00D64B89" w:rsidRPr="00A549A7" w:rsidRDefault="00D64B89" w:rsidP="00D64B89">
      <w:pPr>
        <w:pStyle w:val="Zkladntext1"/>
        <w:jc w:val="center"/>
        <w:rPr>
          <w:rFonts w:ascii="Bookman Old Style" w:hAnsi="Bookman Old Style"/>
          <w:b/>
          <w:color w:val="auto"/>
          <w:sz w:val="24"/>
          <w:szCs w:val="24"/>
          <w:lang w:val="cs-CZ" w:eastAsia="cs-CZ"/>
        </w:rPr>
      </w:pPr>
      <w:r>
        <w:rPr>
          <w:rFonts w:ascii="Bookman Old Style" w:hAnsi="Bookman Old Style"/>
          <w:b/>
          <w:color w:val="auto"/>
          <w:sz w:val="24"/>
          <w:szCs w:val="24"/>
          <w:lang w:val="cs-CZ" w:eastAsia="cs-CZ"/>
        </w:rPr>
        <w:t xml:space="preserve"> </w:t>
      </w:r>
      <w:r w:rsidRPr="00A549A7">
        <w:rPr>
          <w:rFonts w:ascii="Bookman Old Style" w:hAnsi="Bookman Old Style"/>
          <w:b/>
          <w:color w:val="auto"/>
          <w:sz w:val="24"/>
          <w:szCs w:val="24"/>
          <w:lang w:val="cs-CZ" w:eastAsia="cs-CZ"/>
        </w:rPr>
        <w:t>Čl. IX.</w:t>
      </w:r>
    </w:p>
    <w:p w:rsidR="00D64B89" w:rsidRPr="00A549A7" w:rsidRDefault="00D64B89" w:rsidP="00D64B89">
      <w:pPr>
        <w:pStyle w:val="Zkladntext1"/>
        <w:ind w:left="648"/>
        <w:jc w:val="center"/>
        <w:rPr>
          <w:rFonts w:ascii="Bookman Old Style" w:hAnsi="Bookman Old Style"/>
          <w:b/>
          <w:color w:val="auto"/>
          <w:sz w:val="24"/>
          <w:szCs w:val="24"/>
          <w:lang w:val="cs-CZ" w:eastAsia="cs-CZ"/>
        </w:rPr>
      </w:pPr>
      <w:r w:rsidRPr="00A549A7">
        <w:rPr>
          <w:rFonts w:ascii="Bookman Old Style" w:hAnsi="Bookman Old Style"/>
          <w:b/>
          <w:color w:val="auto"/>
          <w:sz w:val="24"/>
          <w:szCs w:val="24"/>
          <w:lang w:val="cs-CZ" w:eastAsia="cs-CZ"/>
        </w:rPr>
        <w:t>Smluvní pokuta a úrok z prodlení</w:t>
      </w:r>
    </w:p>
    <w:p w:rsidR="00D64B89" w:rsidRPr="00F01391" w:rsidRDefault="00D64B89" w:rsidP="00D11D10">
      <w:pPr>
        <w:pStyle w:val="Zkladntext1"/>
        <w:numPr>
          <w:ilvl w:val="0"/>
          <w:numId w:val="4"/>
        </w:numPr>
        <w:ind w:left="426" w:hanging="426"/>
        <w:jc w:val="both"/>
        <w:rPr>
          <w:rFonts w:ascii="Bookman Old Style" w:hAnsi="Bookman Old Style"/>
          <w:color w:val="auto"/>
          <w:szCs w:val="22"/>
          <w:lang w:val="cs-CZ" w:eastAsia="cs-CZ"/>
        </w:rPr>
      </w:pPr>
      <w:r w:rsidRPr="00F01391">
        <w:rPr>
          <w:rFonts w:ascii="Bookman Old Style" w:hAnsi="Bookman Old Style"/>
          <w:color w:val="auto"/>
          <w:szCs w:val="22"/>
          <w:lang w:val="cs-CZ" w:eastAsia="cs-CZ"/>
        </w:rPr>
        <w:t>Smluvní strany se dohodly, že za prodlení nájemce s placením nájemného, úhrad za služby a dalších úhrad spojených s nájemním vztahem je nájemce povinen zaplatit pronajímateli  smluvní pokutu ve výši 0,05 % z dlužné částky za každý den prodlení.</w:t>
      </w:r>
    </w:p>
    <w:p w:rsidR="00D64B89" w:rsidRPr="00F01391" w:rsidRDefault="00D64B89" w:rsidP="00D11D10">
      <w:pPr>
        <w:pStyle w:val="Zkladntext"/>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both"/>
        <w:rPr>
          <w:rFonts w:ascii="Bookman Old Style" w:eastAsia="Arial" w:hAnsi="Bookman Old Style"/>
          <w:sz w:val="22"/>
          <w:szCs w:val="22"/>
        </w:rPr>
      </w:pPr>
      <w:r w:rsidRPr="00F01391">
        <w:rPr>
          <w:rFonts w:ascii="Bookman Old Style" w:eastAsia="Arial" w:hAnsi="Bookman Old Style"/>
          <w:sz w:val="22"/>
          <w:szCs w:val="22"/>
        </w:rPr>
        <w:t>Pronajímatel se zavazuje, že ke dni </w:t>
      </w:r>
      <w:r w:rsidRPr="00F01391">
        <w:rPr>
          <w:rFonts w:ascii="Bookman Old Style" w:eastAsia="Arial" w:hAnsi="Bookman Old Style"/>
          <w:b/>
          <w:sz w:val="22"/>
          <w:szCs w:val="22"/>
        </w:rPr>
        <w:t>1</w:t>
      </w:r>
      <w:r>
        <w:rPr>
          <w:rFonts w:ascii="Bookman Old Style" w:eastAsia="Arial" w:hAnsi="Bookman Old Style"/>
          <w:b/>
          <w:sz w:val="22"/>
          <w:szCs w:val="22"/>
        </w:rPr>
        <w:t>.</w:t>
      </w:r>
      <w:r w:rsidRPr="00F01391">
        <w:rPr>
          <w:rFonts w:ascii="Bookman Old Style" w:eastAsia="Arial" w:hAnsi="Bookman Old Style"/>
          <w:b/>
          <w:sz w:val="22"/>
          <w:szCs w:val="22"/>
        </w:rPr>
        <w:t>11</w:t>
      </w:r>
      <w:r>
        <w:rPr>
          <w:rFonts w:ascii="Bookman Old Style" w:eastAsia="Arial" w:hAnsi="Bookman Old Style"/>
          <w:b/>
          <w:sz w:val="22"/>
          <w:szCs w:val="22"/>
        </w:rPr>
        <w:t>.</w:t>
      </w:r>
      <w:r w:rsidRPr="00F01391">
        <w:rPr>
          <w:rFonts w:ascii="Bookman Old Style" w:eastAsia="Arial" w:hAnsi="Bookman Old Style"/>
          <w:b/>
          <w:sz w:val="22"/>
          <w:szCs w:val="22"/>
        </w:rPr>
        <w:t>2016</w:t>
      </w:r>
      <w:r w:rsidRPr="00F01391">
        <w:rPr>
          <w:rFonts w:ascii="Bookman Old Style" w:eastAsia="Arial" w:hAnsi="Bookman Old Style"/>
          <w:sz w:val="22"/>
          <w:szCs w:val="22"/>
        </w:rPr>
        <w:t xml:space="preserve"> bude předmět nájmu adaptován dle požadavků nájemce - přílohy č. 4. Za tím účelem se nájemce zavazuje, že poskytne pronajímateli maximální a včasnou součinnost, zejména k písemným výzvám pronajímatele, aby ze strany pronajímatele mohl být závazek adaptovat předmět nájmu dle požadavků nájemce včas splněn. Pokud nájemce poskytne pronajímateli uvedenou součinnost a pronajímatel přesto bude svým zaviněním v prodlení s provedením Adaptací, je nájemce </w:t>
      </w:r>
      <w:r w:rsidRPr="00F01391">
        <w:rPr>
          <w:rFonts w:ascii="Bookman Old Style" w:hAnsi="Bookman Old Style"/>
          <w:sz w:val="22"/>
          <w:szCs w:val="22"/>
        </w:rPr>
        <w:t>oprávněn uplatnit smluvní pokutu ve výši 500,-Kč za každý den prodlení až do splnění povinnosti pronajímatele. Nájemce je rovněž oprávněn odstoupit od této smlouvy, pokud nájemce bude mít právo na smluvní pokutu dle tohoto odstavce po dobu delší než 1 měsíc.</w:t>
      </w:r>
    </w:p>
    <w:p w:rsidR="00D64B89" w:rsidRPr="00F01391" w:rsidRDefault="00D64B89" w:rsidP="00D11D10">
      <w:pPr>
        <w:pStyle w:val="Norma"/>
        <w:numPr>
          <w:ilvl w:val="0"/>
          <w:numId w:val="5"/>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Bookman Old Style" w:eastAsia="Arial" w:hAnsi="Bookman Old Style"/>
          <w:sz w:val="22"/>
          <w:szCs w:val="22"/>
          <w:lang w:val="cs-CZ"/>
        </w:rPr>
      </w:pPr>
      <w:r w:rsidRPr="00F01391">
        <w:rPr>
          <w:rFonts w:ascii="Bookman Old Style" w:hAnsi="Bookman Old Style"/>
          <w:sz w:val="22"/>
          <w:szCs w:val="22"/>
          <w:lang w:val="cs-CZ"/>
        </w:rPr>
        <w:t>Pronajímatel se zavazuje poskytnout nájemci přiměřenou slevu na nájemném v případě, že pronajímatel nevytvořil podmínky pro řádný, obvyklý  a nerušený výkon nájemních práv</w:t>
      </w:r>
      <w:r w:rsidRPr="00F01391">
        <w:rPr>
          <w:rFonts w:ascii="Bookman Old Style" w:eastAsia="Arial" w:hAnsi="Bookman Old Style"/>
          <w:sz w:val="22"/>
          <w:szCs w:val="22"/>
          <w:lang w:val="cs-CZ"/>
        </w:rPr>
        <w:t>,</w:t>
      </w:r>
      <w:r w:rsidRPr="00F01391">
        <w:rPr>
          <w:rFonts w:ascii="Bookman Old Style" w:hAnsi="Bookman Old Style"/>
          <w:sz w:val="22"/>
          <w:szCs w:val="22"/>
          <w:lang w:val="cs-CZ"/>
        </w:rPr>
        <w:t xml:space="preserve"> která odpovídá míře nemožnosti užívání nájemce v  %.</w:t>
      </w:r>
    </w:p>
    <w:p w:rsidR="00D64B89" w:rsidRPr="00F01391" w:rsidRDefault="00D64B89" w:rsidP="00D11D10">
      <w:pPr>
        <w:numPr>
          <w:ilvl w:val="0"/>
          <w:numId w:val="5"/>
        </w:numPr>
        <w:jc w:val="both"/>
        <w:rPr>
          <w:sz w:val="22"/>
          <w:szCs w:val="22"/>
        </w:rPr>
      </w:pPr>
      <w:r w:rsidRPr="00F01391">
        <w:rPr>
          <w:sz w:val="22"/>
          <w:szCs w:val="22"/>
        </w:rPr>
        <w:t>V případě, že pronajímatel nedodrží lhůtu k odstranění vad stanovenou v článku V</w:t>
      </w:r>
      <w:r w:rsidR="009B5326">
        <w:rPr>
          <w:sz w:val="22"/>
          <w:szCs w:val="22"/>
        </w:rPr>
        <w:t>.</w:t>
      </w:r>
      <w:r w:rsidRPr="00F01391">
        <w:rPr>
          <w:sz w:val="22"/>
          <w:szCs w:val="22"/>
        </w:rPr>
        <w:t xml:space="preserve"> odst. 3</w:t>
      </w:r>
      <w:r>
        <w:rPr>
          <w:sz w:val="22"/>
          <w:szCs w:val="22"/>
        </w:rPr>
        <w:t>.</w:t>
      </w:r>
      <w:r w:rsidRPr="00F01391">
        <w:rPr>
          <w:sz w:val="22"/>
          <w:szCs w:val="22"/>
        </w:rPr>
        <w:t xml:space="preserve"> této smlouvy, může nájemce požadovat zaplacení smluvní pokuty ve výši 200,-Kč za každý den prodlení až do odstranění vady. </w:t>
      </w:r>
    </w:p>
    <w:p w:rsidR="00D64B89" w:rsidRPr="00F01391" w:rsidRDefault="00D64B89" w:rsidP="00D11D10">
      <w:pPr>
        <w:numPr>
          <w:ilvl w:val="0"/>
          <w:numId w:val="5"/>
        </w:numPr>
        <w:jc w:val="both"/>
        <w:rPr>
          <w:sz w:val="22"/>
          <w:szCs w:val="22"/>
        </w:rPr>
      </w:pPr>
      <w:r w:rsidRPr="00F01391">
        <w:rPr>
          <w:sz w:val="22"/>
          <w:szCs w:val="22"/>
        </w:rPr>
        <w:t>Ustanovení odst. 4 se neuplatní v případech, kdy na straně pronajímatele vznikne překážka svým vznikem a délkou trvání na jeho vůli nezávislá, jejíž povaha znemožní či značně ztíží vykonávat řádně svojí činnost. (výpadek energií od centrálních dodavatelů, časová nedostupnost náhradních dílů k zařízení či zařízení, vyšší moc atd.)</w:t>
      </w:r>
    </w:p>
    <w:p w:rsidR="00D64B89" w:rsidRPr="00F01391" w:rsidRDefault="00D64B89" w:rsidP="00D11D10">
      <w:pPr>
        <w:numPr>
          <w:ilvl w:val="0"/>
          <w:numId w:val="5"/>
        </w:numPr>
        <w:tabs>
          <w:tab w:val="left" w:pos="360"/>
        </w:tabs>
        <w:jc w:val="both"/>
        <w:rPr>
          <w:sz w:val="22"/>
          <w:szCs w:val="22"/>
        </w:rPr>
      </w:pPr>
      <w:r w:rsidRPr="00F01391">
        <w:rPr>
          <w:sz w:val="22"/>
          <w:szCs w:val="22"/>
        </w:rPr>
        <w:t xml:space="preserve"> Pokud nájemce nevyklidí nebytové prostory ke dni skončení nájmu, je povinen zaplatit pronajímateli za každý započatý měsíc neoprávněného obsazení prostor smluvní pokutu ve výši dvojnásobku měsíčního nájemného za poslední měsíc trvání nájmu.</w:t>
      </w:r>
    </w:p>
    <w:p w:rsidR="00D64B89" w:rsidRPr="00F01391" w:rsidRDefault="00D64B89" w:rsidP="00D64B89">
      <w:pPr>
        <w:ind w:left="454"/>
        <w:jc w:val="both"/>
        <w:rPr>
          <w:sz w:val="22"/>
          <w:szCs w:val="22"/>
        </w:rPr>
      </w:pPr>
      <w:r w:rsidRPr="00F01391">
        <w:rPr>
          <w:sz w:val="22"/>
          <w:szCs w:val="22"/>
        </w:rPr>
        <w:t xml:space="preserve">  </w:t>
      </w:r>
    </w:p>
    <w:p w:rsidR="00D64B89" w:rsidRDefault="00D64B89" w:rsidP="00D64B89">
      <w:pPr>
        <w:jc w:val="center"/>
        <w:outlineLvl w:val="0"/>
        <w:rPr>
          <w:b/>
          <w:sz w:val="24"/>
          <w:szCs w:val="24"/>
        </w:rPr>
      </w:pPr>
    </w:p>
    <w:p w:rsidR="00D64B89" w:rsidRDefault="00D64B89" w:rsidP="00D64B89">
      <w:pPr>
        <w:jc w:val="center"/>
        <w:outlineLvl w:val="0"/>
        <w:rPr>
          <w:b/>
          <w:sz w:val="24"/>
          <w:szCs w:val="24"/>
        </w:rPr>
      </w:pPr>
    </w:p>
    <w:p w:rsidR="00D64B89" w:rsidRDefault="00D64B89" w:rsidP="00D64B89">
      <w:pPr>
        <w:jc w:val="center"/>
        <w:outlineLvl w:val="0"/>
        <w:rPr>
          <w:b/>
          <w:sz w:val="24"/>
          <w:szCs w:val="24"/>
        </w:rPr>
      </w:pPr>
    </w:p>
    <w:p w:rsidR="00D64B89" w:rsidRDefault="00D64B89" w:rsidP="00D64B89">
      <w:pPr>
        <w:jc w:val="center"/>
        <w:outlineLvl w:val="0"/>
        <w:rPr>
          <w:b/>
          <w:sz w:val="24"/>
          <w:szCs w:val="24"/>
        </w:rPr>
      </w:pPr>
    </w:p>
    <w:p w:rsidR="009B5326" w:rsidRDefault="009B5326" w:rsidP="00D64B89">
      <w:pPr>
        <w:jc w:val="center"/>
        <w:outlineLvl w:val="0"/>
        <w:rPr>
          <w:b/>
          <w:sz w:val="24"/>
          <w:szCs w:val="24"/>
        </w:rPr>
      </w:pPr>
    </w:p>
    <w:p w:rsidR="00D64B89" w:rsidRPr="00D64B89" w:rsidRDefault="00D64B89" w:rsidP="00D64B89">
      <w:pPr>
        <w:jc w:val="center"/>
        <w:outlineLvl w:val="0"/>
        <w:rPr>
          <w:b/>
          <w:sz w:val="24"/>
          <w:szCs w:val="24"/>
        </w:rPr>
      </w:pPr>
      <w:r w:rsidRPr="00D64B89">
        <w:rPr>
          <w:b/>
          <w:sz w:val="24"/>
          <w:szCs w:val="24"/>
        </w:rPr>
        <w:t>Čl. X.</w:t>
      </w:r>
    </w:p>
    <w:p w:rsidR="00D64B89" w:rsidRPr="00D64B89" w:rsidRDefault="00D64B89" w:rsidP="00D64B89">
      <w:pPr>
        <w:jc w:val="center"/>
        <w:rPr>
          <w:b/>
          <w:sz w:val="24"/>
          <w:szCs w:val="24"/>
        </w:rPr>
      </w:pPr>
      <w:r w:rsidRPr="00D64B89">
        <w:rPr>
          <w:b/>
          <w:sz w:val="24"/>
          <w:szCs w:val="24"/>
        </w:rPr>
        <w:t>Vyklizení předmětu nájmu</w:t>
      </w:r>
    </w:p>
    <w:p w:rsidR="00D64B89" w:rsidRPr="00F01391" w:rsidRDefault="00D64B89" w:rsidP="00D11D10">
      <w:pPr>
        <w:numPr>
          <w:ilvl w:val="0"/>
          <w:numId w:val="11"/>
        </w:numPr>
        <w:jc w:val="both"/>
        <w:rPr>
          <w:caps/>
          <w:sz w:val="22"/>
          <w:szCs w:val="22"/>
          <w:u w:val="single"/>
        </w:rPr>
      </w:pPr>
      <w:r w:rsidRPr="00F01391">
        <w:rPr>
          <w:sz w:val="22"/>
          <w:szCs w:val="22"/>
        </w:rPr>
        <w:t>Nájemce se zavazuje nejpozději poslední den nájmu předat pronajímateli předmět nájmu vyklizený a ve stavu, v jakém je převzal, s přihlédnutím k obvyklému opotřebení po dobu užívání, pokud se strany nedohodnou jinak.</w:t>
      </w:r>
    </w:p>
    <w:p w:rsidR="00D64B89" w:rsidRPr="00F01391" w:rsidRDefault="00D64B89" w:rsidP="00D11D10">
      <w:pPr>
        <w:numPr>
          <w:ilvl w:val="0"/>
          <w:numId w:val="11"/>
        </w:numPr>
        <w:tabs>
          <w:tab w:val="left" w:pos="142"/>
        </w:tabs>
        <w:jc w:val="both"/>
        <w:rPr>
          <w:caps/>
          <w:sz w:val="22"/>
          <w:szCs w:val="22"/>
          <w:u w:val="single"/>
        </w:rPr>
      </w:pPr>
      <w:r w:rsidRPr="00F01391">
        <w:rPr>
          <w:sz w:val="22"/>
          <w:szCs w:val="22"/>
        </w:rPr>
        <w:t>Pokud pronajímatel vydal jakékoliv souhlasy s umístěním sídla nájemce na výše uvedenou adresu, případně k žádosti nájemce jiných osob, je nájemce povinen zajistit, aby nejpozději do jednoho měsíce od skončení nájmu bylo sídlo nájemce i případných dalších osob změněno tak, aby se již nenacházelo v budově specifikované v čl. I</w:t>
      </w:r>
      <w:r>
        <w:rPr>
          <w:sz w:val="22"/>
          <w:szCs w:val="22"/>
        </w:rPr>
        <w:t>.</w:t>
      </w:r>
      <w:r w:rsidRPr="00F01391">
        <w:rPr>
          <w:sz w:val="22"/>
          <w:szCs w:val="22"/>
        </w:rPr>
        <w:t xml:space="preserve"> odst. 1</w:t>
      </w:r>
      <w:r>
        <w:rPr>
          <w:sz w:val="22"/>
          <w:szCs w:val="22"/>
        </w:rPr>
        <w:t>.</w:t>
      </w:r>
      <w:r w:rsidRPr="00F01391">
        <w:rPr>
          <w:sz w:val="22"/>
          <w:szCs w:val="22"/>
        </w:rPr>
        <w:t xml:space="preserve"> této smlouvy, a to včetně výmazu zapsaných adres ve veřejném rejstříku. </w:t>
      </w:r>
    </w:p>
    <w:p w:rsidR="00D64B89" w:rsidRPr="00F01391" w:rsidRDefault="00D64B89" w:rsidP="00D11D10">
      <w:pPr>
        <w:numPr>
          <w:ilvl w:val="0"/>
          <w:numId w:val="11"/>
        </w:numPr>
        <w:tabs>
          <w:tab w:val="left" w:pos="360"/>
        </w:tabs>
        <w:jc w:val="both"/>
        <w:rPr>
          <w:b/>
          <w:sz w:val="22"/>
          <w:szCs w:val="22"/>
        </w:rPr>
      </w:pPr>
      <w:r w:rsidRPr="00F01391">
        <w:rPr>
          <w:sz w:val="22"/>
          <w:szCs w:val="22"/>
        </w:rPr>
        <w:t xml:space="preserve"> Pokud nájemce předmět nájmu nevyklidí ani do týdně od skončení nájmu, je pronajímatel oprávněn předmět nájmu vyklidit za přítomnosti třetí osoby. V takovém případě je pronajímatel povinen pořídit soupis vyklizených věcí (který podepíše třetí osoba) a věci uskladnit, to vše na náklady nájemce včetně škod vzniklých v rámci vyklizení. O vyklizení a uskladnění věcí pronajímatel písemně vyrozumí bez zbytečného odkladu nájemce na adrese uvedené v záhlaví této smlouvy. </w:t>
      </w:r>
    </w:p>
    <w:p w:rsidR="00D64B89" w:rsidRPr="00F01391" w:rsidRDefault="00D64B89" w:rsidP="00D64B89">
      <w:pPr>
        <w:ind w:left="709" w:hanging="709"/>
        <w:jc w:val="both"/>
        <w:rPr>
          <w:b/>
          <w:sz w:val="22"/>
          <w:szCs w:val="22"/>
        </w:rPr>
      </w:pPr>
    </w:p>
    <w:p w:rsidR="00D64B89" w:rsidRPr="00D64B89" w:rsidRDefault="00D64B89" w:rsidP="00D64B89">
      <w:pPr>
        <w:ind w:left="709" w:hanging="709"/>
        <w:jc w:val="center"/>
        <w:rPr>
          <w:b/>
          <w:sz w:val="24"/>
          <w:szCs w:val="24"/>
        </w:rPr>
      </w:pPr>
      <w:r w:rsidRPr="00D64B89">
        <w:rPr>
          <w:b/>
          <w:sz w:val="24"/>
          <w:szCs w:val="24"/>
        </w:rPr>
        <w:t>Čl. XI.</w:t>
      </w:r>
    </w:p>
    <w:p w:rsidR="00D64B89" w:rsidRPr="00D64B89" w:rsidRDefault="00D64B89" w:rsidP="00D64B89">
      <w:pPr>
        <w:ind w:left="709" w:hanging="709"/>
        <w:jc w:val="center"/>
        <w:rPr>
          <w:b/>
          <w:sz w:val="24"/>
          <w:szCs w:val="24"/>
        </w:rPr>
      </w:pPr>
      <w:r w:rsidRPr="00D64B89">
        <w:rPr>
          <w:b/>
          <w:sz w:val="24"/>
          <w:szCs w:val="24"/>
        </w:rPr>
        <w:t>Závěrečná ustanovení</w:t>
      </w:r>
    </w:p>
    <w:p w:rsidR="00D64B89" w:rsidRPr="00F01391" w:rsidRDefault="00D64B89" w:rsidP="00D11D10">
      <w:pPr>
        <w:numPr>
          <w:ilvl w:val="0"/>
          <w:numId w:val="12"/>
        </w:numPr>
        <w:overflowPunct w:val="0"/>
        <w:autoSpaceDE w:val="0"/>
        <w:autoSpaceDN w:val="0"/>
        <w:adjustRightInd w:val="0"/>
        <w:ind w:left="426" w:hanging="426"/>
        <w:jc w:val="both"/>
        <w:textAlignment w:val="baseline"/>
        <w:rPr>
          <w:sz w:val="22"/>
          <w:szCs w:val="22"/>
        </w:rPr>
      </w:pPr>
      <w:r w:rsidRPr="00F01391">
        <w:rPr>
          <w:sz w:val="22"/>
          <w:szCs w:val="22"/>
        </w:rPr>
        <w:t>Smluvní strany se zavazují, že veškeré spory vzniklé v souvislosti s realizací této smlouvy budou řešeny smírnou cestou – dohodou. Nedojde-li k dohodě, budou spory řešeny před příslušnými obecnými soudy České republiky.</w:t>
      </w:r>
    </w:p>
    <w:p w:rsidR="00D64B89" w:rsidRPr="00F01391" w:rsidRDefault="00D64B89" w:rsidP="00D11D10">
      <w:pPr>
        <w:pStyle w:val="Zkladntextodsazen"/>
        <w:numPr>
          <w:ilvl w:val="0"/>
          <w:numId w:val="12"/>
        </w:numPr>
        <w:tabs>
          <w:tab w:val="left" w:pos="284"/>
        </w:tabs>
        <w:spacing w:after="0"/>
        <w:ind w:left="426" w:hanging="426"/>
        <w:jc w:val="both"/>
        <w:rPr>
          <w:rFonts w:ascii="Bookman Old Style" w:hAnsi="Bookman Old Style"/>
          <w:sz w:val="22"/>
          <w:szCs w:val="22"/>
          <w:lang w:val="cs-CZ"/>
        </w:rPr>
      </w:pPr>
      <w:r w:rsidRPr="00F01391">
        <w:rPr>
          <w:rFonts w:ascii="Bookman Old Style" w:hAnsi="Bookman Old Style"/>
          <w:sz w:val="22"/>
          <w:szCs w:val="22"/>
          <w:lang w:val="cs-CZ"/>
        </w:rPr>
        <w:t xml:space="preserve">  Jakékoliv změny či dodatky k této smlouvě je třeba učinit písemně se souhlasem obou smluvních stran. K jiným právním jednáním se nepřihlíží.</w:t>
      </w:r>
    </w:p>
    <w:p w:rsidR="00D64B89" w:rsidRPr="00F01391" w:rsidRDefault="00D64B89" w:rsidP="00D11D10">
      <w:pPr>
        <w:pStyle w:val="Zkladntextodsazen"/>
        <w:numPr>
          <w:ilvl w:val="0"/>
          <w:numId w:val="12"/>
        </w:numPr>
        <w:tabs>
          <w:tab w:val="left" w:pos="284"/>
        </w:tabs>
        <w:spacing w:after="0"/>
        <w:ind w:left="426" w:hanging="426"/>
        <w:jc w:val="both"/>
        <w:rPr>
          <w:rFonts w:ascii="Bookman Old Style" w:hAnsi="Bookman Old Style"/>
          <w:sz w:val="22"/>
          <w:szCs w:val="22"/>
          <w:lang w:val="cs-CZ"/>
        </w:rPr>
      </w:pPr>
      <w:r w:rsidRPr="00F01391">
        <w:rPr>
          <w:rFonts w:ascii="Bookman Old Style" w:hAnsi="Bookman Old Style"/>
          <w:sz w:val="22"/>
          <w:szCs w:val="22"/>
          <w:lang w:val="cs-CZ"/>
        </w:rPr>
        <w:t xml:space="preserve">  Nájemce není oprávněn jednostranně započíst jakékoliv své pohledávky (nároky) vůči pronajímateli proti jakýmkoliv pohledávkám pronajímatele za nájemcem, zejména proti pohledávkám pronajímatele na nájemném a na úhradách za služby spojené s užíváním předmětu nájmu.</w:t>
      </w:r>
    </w:p>
    <w:p w:rsidR="00D64B89" w:rsidRPr="00F01391" w:rsidRDefault="00D64B89" w:rsidP="00D11D10">
      <w:pPr>
        <w:pStyle w:val="Zkladntextodsazen"/>
        <w:numPr>
          <w:ilvl w:val="0"/>
          <w:numId w:val="12"/>
        </w:numPr>
        <w:tabs>
          <w:tab w:val="left" w:pos="284"/>
        </w:tabs>
        <w:spacing w:after="0"/>
        <w:ind w:left="426" w:hanging="426"/>
        <w:jc w:val="both"/>
        <w:rPr>
          <w:rFonts w:ascii="Bookman Old Style" w:hAnsi="Bookman Old Style"/>
          <w:sz w:val="22"/>
          <w:szCs w:val="22"/>
          <w:lang w:val="cs-CZ"/>
        </w:rPr>
      </w:pPr>
      <w:r w:rsidRPr="00F01391">
        <w:rPr>
          <w:rFonts w:ascii="Bookman Old Style" w:hAnsi="Bookman Old Style"/>
          <w:sz w:val="22"/>
          <w:szCs w:val="22"/>
          <w:lang w:val="cs-CZ"/>
        </w:rPr>
        <w:t xml:space="preserve">  Smluvní strany se dohodly, že na nájemní vztah vzniklý na základě této smlouvy se nepoužijí ustanovení § 2303, § 2311, § 2315, § 1765 a § 1766 občanského zákoníku. Smluvní strany na sebe přebírají nebezpečí změny okolností.</w:t>
      </w:r>
    </w:p>
    <w:p w:rsidR="00D64B89" w:rsidRPr="00F01391" w:rsidRDefault="00D64B89" w:rsidP="00D11D10">
      <w:pPr>
        <w:pStyle w:val="Zkladntextodsazen"/>
        <w:numPr>
          <w:ilvl w:val="0"/>
          <w:numId w:val="12"/>
        </w:numPr>
        <w:tabs>
          <w:tab w:val="left" w:pos="284"/>
        </w:tabs>
        <w:spacing w:after="0"/>
        <w:ind w:left="426" w:hanging="426"/>
        <w:jc w:val="both"/>
        <w:rPr>
          <w:rFonts w:ascii="Bookman Old Style" w:hAnsi="Bookman Old Style"/>
          <w:sz w:val="22"/>
          <w:szCs w:val="22"/>
          <w:lang w:val="cs-CZ"/>
        </w:rPr>
      </w:pPr>
      <w:r w:rsidRPr="00F01391">
        <w:rPr>
          <w:rFonts w:ascii="Bookman Old Style" w:hAnsi="Bookman Old Style"/>
          <w:sz w:val="22"/>
          <w:szCs w:val="22"/>
          <w:lang w:val="cs-CZ"/>
        </w:rPr>
        <w:t xml:space="preserve">  Tato smlouva se pořizuje ve čtyřech vyhotoveních, z nichž každá strana obdrží po dvou stejnopisech.</w:t>
      </w:r>
    </w:p>
    <w:p w:rsidR="00D64B89" w:rsidRPr="00F01391" w:rsidRDefault="00D64B89" w:rsidP="00D11D10">
      <w:pPr>
        <w:pStyle w:val="Zkladntextodsazen"/>
        <w:numPr>
          <w:ilvl w:val="0"/>
          <w:numId w:val="12"/>
        </w:numPr>
        <w:spacing w:after="0"/>
        <w:ind w:left="426" w:hanging="426"/>
        <w:jc w:val="both"/>
        <w:rPr>
          <w:rFonts w:ascii="Bookman Old Style" w:hAnsi="Bookman Old Style"/>
          <w:sz w:val="22"/>
          <w:szCs w:val="22"/>
          <w:lang w:val="cs-CZ"/>
        </w:rPr>
      </w:pPr>
      <w:r w:rsidRPr="00F01391">
        <w:rPr>
          <w:rFonts w:ascii="Bookman Old Style" w:hAnsi="Bookman Old Style"/>
          <w:sz w:val="22"/>
          <w:szCs w:val="22"/>
          <w:lang w:val="cs-CZ"/>
        </w:rPr>
        <w:t>Smluvní strany určují pro komunikaci a ve věcech provozního charakteru týkajících se této smlouvy následující osoby:</w:t>
      </w:r>
    </w:p>
    <w:p w:rsidR="00D64B89" w:rsidRPr="00F01391" w:rsidRDefault="00D64B89" w:rsidP="00D64B89">
      <w:pPr>
        <w:pStyle w:val="Zkladntextodsazen"/>
        <w:spacing w:after="0"/>
        <w:ind w:left="454"/>
        <w:jc w:val="both"/>
        <w:rPr>
          <w:rFonts w:ascii="Bookman Old Style" w:hAnsi="Bookman Old Style"/>
          <w:sz w:val="22"/>
          <w:szCs w:val="22"/>
          <w:lang w:val="cs-CZ"/>
        </w:rPr>
      </w:pPr>
    </w:p>
    <w:p w:rsidR="00D64B89" w:rsidRPr="00F01391" w:rsidRDefault="00D64B89" w:rsidP="00955EFB">
      <w:pPr>
        <w:pStyle w:val="Zkladntextodsazen"/>
        <w:ind w:left="1418" w:hanging="567"/>
        <w:rPr>
          <w:rFonts w:ascii="Bookman Old Style" w:hAnsi="Bookman Old Style"/>
          <w:sz w:val="22"/>
          <w:szCs w:val="22"/>
          <w:lang w:val="cs-CZ"/>
        </w:rPr>
      </w:pPr>
      <w:r w:rsidRPr="00F01391">
        <w:rPr>
          <w:rFonts w:ascii="Bookman Old Style" w:hAnsi="Bookman Old Style"/>
          <w:sz w:val="22"/>
          <w:szCs w:val="22"/>
          <w:lang w:val="cs-CZ"/>
        </w:rPr>
        <w:t xml:space="preserve"> </w:t>
      </w:r>
      <w:r w:rsidR="00955EFB">
        <w:rPr>
          <w:rFonts w:ascii="Bookman Old Style" w:hAnsi="Bookman Old Style"/>
          <w:sz w:val="22"/>
          <w:szCs w:val="22"/>
          <w:lang w:val="cs-CZ"/>
        </w:rPr>
        <w:t xml:space="preserve"> </w:t>
      </w:r>
      <w:r w:rsidRPr="00F01391">
        <w:rPr>
          <w:rFonts w:ascii="Bookman Old Style" w:hAnsi="Bookman Old Style"/>
          <w:sz w:val="22"/>
          <w:szCs w:val="22"/>
          <w:lang w:val="cs-CZ"/>
        </w:rPr>
        <w:t xml:space="preserve"> -</w:t>
      </w:r>
      <w:r w:rsidR="00955EFB">
        <w:rPr>
          <w:rFonts w:ascii="Bookman Old Style" w:hAnsi="Bookman Old Style"/>
          <w:sz w:val="22"/>
          <w:szCs w:val="22"/>
          <w:lang w:val="cs-CZ"/>
        </w:rPr>
        <w:t xml:space="preserve">    </w:t>
      </w:r>
      <w:r w:rsidRPr="00F01391">
        <w:rPr>
          <w:rFonts w:ascii="Bookman Old Style" w:hAnsi="Bookman Old Style"/>
          <w:sz w:val="22"/>
          <w:szCs w:val="22"/>
          <w:u w:val="single"/>
          <w:lang w:val="cs-CZ"/>
        </w:rPr>
        <w:t>za pronajímatele</w:t>
      </w:r>
      <w:r w:rsidRPr="00F01391">
        <w:rPr>
          <w:rFonts w:ascii="Bookman Old Style" w:hAnsi="Bookman Old Style"/>
          <w:sz w:val="22"/>
          <w:szCs w:val="22"/>
          <w:lang w:val="cs-CZ"/>
        </w:rPr>
        <w:t xml:space="preserve">: p. Josef Horák, tel.: 773 909 011, e-mail: </w:t>
      </w:r>
      <w:r>
        <w:rPr>
          <w:rFonts w:ascii="Bookman Old Style" w:hAnsi="Bookman Old Style"/>
          <w:sz w:val="22"/>
          <w:szCs w:val="22"/>
          <w:lang w:val="cs-CZ"/>
        </w:rPr>
        <w:t xml:space="preserve">  </w:t>
      </w:r>
      <w:r w:rsidRPr="00F01391">
        <w:rPr>
          <w:rFonts w:ascii="Bookman Old Style" w:hAnsi="Bookman Old Style"/>
          <w:sz w:val="22"/>
          <w:szCs w:val="22"/>
          <w:lang w:val="cs-CZ"/>
        </w:rPr>
        <w:t>josef.horak@psn.cz</w:t>
      </w:r>
      <w:r w:rsidRPr="00F01391">
        <w:rPr>
          <w:rFonts w:ascii="Bookman Old Style" w:hAnsi="Bookman Old Style"/>
          <w:sz w:val="22"/>
          <w:szCs w:val="22"/>
          <w:lang w:val="cs-CZ"/>
        </w:rPr>
        <w:tab/>
      </w:r>
    </w:p>
    <w:p w:rsidR="00D64B89" w:rsidRPr="00F01391" w:rsidRDefault="00D64B89" w:rsidP="00D64B89">
      <w:pPr>
        <w:ind w:left="1134" w:hanging="142"/>
        <w:jc w:val="both"/>
        <w:rPr>
          <w:sz w:val="22"/>
          <w:szCs w:val="22"/>
        </w:rPr>
      </w:pPr>
      <w:r w:rsidRPr="00F01391">
        <w:rPr>
          <w:sz w:val="22"/>
          <w:szCs w:val="22"/>
        </w:rPr>
        <w:t xml:space="preserve"> - </w:t>
      </w:r>
      <w:r>
        <w:rPr>
          <w:sz w:val="22"/>
          <w:szCs w:val="22"/>
        </w:rPr>
        <w:t xml:space="preserve"> </w:t>
      </w:r>
      <w:r w:rsidR="009B5326">
        <w:rPr>
          <w:sz w:val="22"/>
          <w:szCs w:val="22"/>
        </w:rPr>
        <w:t xml:space="preserve"> </w:t>
      </w:r>
      <w:r w:rsidRPr="00F01391">
        <w:rPr>
          <w:sz w:val="22"/>
          <w:szCs w:val="22"/>
          <w:u w:val="single"/>
        </w:rPr>
        <w:t>za nájemce</w:t>
      </w:r>
      <w:r w:rsidRPr="00F01391">
        <w:rPr>
          <w:sz w:val="22"/>
          <w:szCs w:val="22"/>
        </w:rPr>
        <w:t xml:space="preserve">: </w:t>
      </w:r>
    </w:p>
    <w:p w:rsidR="00D64B89" w:rsidRDefault="00D64B89" w:rsidP="00D64B89">
      <w:pPr>
        <w:ind w:left="1418" w:hanging="426"/>
        <w:jc w:val="both"/>
        <w:rPr>
          <w:sz w:val="22"/>
          <w:szCs w:val="22"/>
        </w:rPr>
      </w:pPr>
      <w:r w:rsidRPr="00F01391">
        <w:rPr>
          <w:sz w:val="22"/>
          <w:szCs w:val="22"/>
        </w:rPr>
        <w:t xml:space="preserve">  </w:t>
      </w:r>
      <w:r>
        <w:rPr>
          <w:sz w:val="22"/>
          <w:szCs w:val="22"/>
        </w:rPr>
        <w:t xml:space="preserve"> </w:t>
      </w:r>
      <w:r w:rsidRPr="00F01391">
        <w:rPr>
          <w:sz w:val="22"/>
          <w:szCs w:val="22"/>
        </w:rPr>
        <w:t xml:space="preserve"> </w:t>
      </w:r>
      <w:r w:rsidR="009B5326">
        <w:rPr>
          <w:sz w:val="22"/>
          <w:szCs w:val="22"/>
        </w:rPr>
        <w:t xml:space="preserve"> </w:t>
      </w:r>
      <w:r w:rsidRPr="00F01391">
        <w:rPr>
          <w:sz w:val="22"/>
          <w:szCs w:val="22"/>
        </w:rPr>
        <w:t xml:space="preserve">Ing. Boháčová, e-mail: dbohacova@suz.cz, tel.: 974 827 141, </w:t>
      </w:r>
    </w:p>
    <w:p w:rsidR="00D64B89" w:rsidRPr="00F01391" w:rsidRDefault="00D64B89" w:rsidP="00D64B89">
      <w:pPr>
        <w:ind w:left="1418" w:hanging="426"/>
        <w:jc w:val="both"/>
        <w:rPr>
          <w:sz w:val="22"/>
          <w:szCs w:val="22"/>
        </w:rPr>
      </w:pPr>
      <w:r>
        <w:rPr>
          <w:sz w:val="22"/>
          <w:szCs w:val="22"/>
        </w:rPr>
        <w:t xml:space="preserve">    </w:t>
      </w:r>
      <w:r w:rsidR="009B5326">
        <w:rPr>
          <w:sz w:val="22"/>
          <w:szCs w:val="22"/>
        </w:rPr>
        <w:t xml:space="preserve"> </w:t>
      </w:r>
      <w:r w:rsidRPr="00F01391">
        <w:rPr>
          <w:sz w:val="22"/>
          <w:szCs w:val="22"/>
        </w:rPr>
        <w:t>Ing. Miloslav Lenz, tel.: 608 120 004.</w:t>
      </w:r>
    </w:p>
    <w:p w:rsidR="00D64B89" w:rsidRPr="00F01391" w:rsidRDefault="00D64B89" w:rsidP="00D64B89">
      <w:pPr>
        <w:ind w:left="1418" w:hanging="426"/>
        <w:jc w:val="both"/>
        <w:rPr>
          <w:sz w:val="22"/>
          <w:szCs w:val="22"/>
        </w:rPr>
      </w:pPr>
    </w:p>
    <w:p w:rsidR="00D64B89" w:rsidRPr="00FC60F9" w:rsidRDefault="00D64B89" w:rsidP="00D11D10">
      <w:pPr>
        <w:numPr>
          <w:ilvl w:val="0"/>
          <w:numId w:val="12"/>
        </w:numPr>
        <w:ind w:left="360"/>
        <w:jc w:val="both"/>
        <w:rPr>
          <w:sz w:val="22"/>
          <w:szCs w:val="22"/>
        </w:rPr>
      </w:pPr>
      <w:r w:rsidRPr="00F01391">
        <w:rPr>
          <w:sz w:val="22"/>
          <w:szCs w:val="22"/>
        </w:rPr>
        <w:t>Smluvní strany podpisem smlouvy sjednávají, že písemná podání týkající se trvání této nájemní smlouvy budou zasílána druhé smluvní straně doporučeně prostřednictvím držitele poštovní licence, a to na adresu uvedenou v záhlaví této smlouvy nebo při její změně písemně sdělenou druhé smluvní straně. </w:t>
      </w:r>
    </w:p>
    <w:p w:rsidR="00D64B89" w:rsidRPr="00F01391" w:rsidRDefault="00D64B89" w:rsidP="00D11D10">
      <w:pPr>
        <w:pStyle w:val="Zkladntextodsazen"/>
        <w:numPr>
          <w:ilvl w:val="0"/>
          <w:numId w:val="12"/>
        </w:numPr>
        <w:spacing w:after="0"/>
        <w:ind w:left="284"/>
        <w:jc w:val="both"/>
        <w:rPr>
          <w:rFonts w:ascii="Bookman Old Style" w:hAnsi="Bookman Old Style"/>
          <w:sz w:val="22"/>
          <w:szCs w:val="22"/>
          <w:lang w:val="cs-CZ"/>
        </w:rPr>
      </w:pPr>
      <w:r w:rsidRPr="00F01391">
        <w:rPr>
          <w:rFonts w:ascii="Bookman Old Style" w:hAnsi="Bookman Old Style"/>
          <w:sz w:val="22"/>
          <w:szCs w:val="22"/>
          <w:lang w:val="cs-CZ"/>
        </w:rPr>
        <w:t>Smluvní strany prohlašují, že tuto smlouvu uzavírají ze své pravé a svobodné vůle, určitě, vážně a srozumitelně nikoliv v tísni, omylu a za nápadně nevýhodných podmínek a na důkaz toho připojují níže své vlastnoruční podpisy.</w:t>
      </w:r>
    </w:p>
    <w:p w:rsidR="00D64B89" w:rsidRDefault="00D64B89" w:rsidP="00D11D10">
      <w:pPr>
        <w:pStyle w:val="Zkladntextodsazen"/>
        <w:numPr>
          <w:ilvl w:val="0"/>
          <w:numId w:val="12"/>
        </w:numPr>
        <w:spacing w:after="0"/>
        <w:ind w:left="284"/>
        <w:jc w:val="both"/>
        <w:rPr>
          <w:rFonts w:ascii="Bookman Old Style" w:hAnsi="Bookman Old Style"/>
          <w:sz w:val="22"/>
          <w:szCs w:val="22"/>
          <w:lang w:val="cs-CZ"/>
        </w:rPr>
      </w:pPr>
      <w:r w:rsidRPr="00F01391">
        <w:rPr>
          <w:rFonts w:ascii="Bookman Old Style" w:hAnsi="Bookman Old Style"/>
          <w:sz w:val="22"/>
          <w:szCs w:val="22"/>
          <w:lang w:val="cs-CZ"/>
        </w:rPr>
        <w:t>Tato smlouva nabývá platnosti dnem jejího podpisu oběma smluvními stranami.</w:t>
      </w:r>
    </w:p>
    <w:p w:rsidR="009B5326" w:rsidRDefault="009B5326" w:rsidP="009B5326">
      <w:pPr>
        <w:pStyle w:val="Zkladntextodsazen"/>
        <w:spacing w:after="0"/>
        <w:jc w:val="both"/>
        <w:rPr>
          <w:rFonts w:ascii="Bookman Old Style" w:hAnsi="Bookman Old Style"/>
          <w:sz w:val="22"/>
          <w:szCs w:val="22"/>
          <w:lang w:val="cs-CZ"/>
        </w:rPr>
      </w:pPr>
    </w:p>
    <w:p w:rsidR="009B5326" w:rsidRDefault="009B5326" w:rsidP="009B5326">
      <w:pPr>
        <w:pStyle w:val="Zkladntextodsazen"/>
        <w:spacing w:after="0"/>
        <w:jc w:val="both"/>
        <w:rPr>
          <w:rFonts w:ascii="Bookman Old Style" w:hAnsi="Bookman Old Style"/>
          <w:sz w:val="22"/>
          <w:szCs w:val="22"/>
          <w:lang w:val="cs-CZ"/>
        </w:rPr>
      </w:pPr>
    </w:p>
    <w:p w:rsidR="009B5326" w:rsidRDefault="009B5326" w:rsidP="009B5326">
      <w:pPr>
        <w:pStyle w:val="Zkladntextodsazen"/>
        <w:spacing w:after="0"/>
        <w:jc w:val="both"/>
        <w:rPr>
          <w:rFonts w:ascii="Bookman Old Style" w:hAnsi="Bookman Old Style"/>
          <w:sz w:val="22"/>
          <w:szCs w:val="22"/>
          <w:lang w:val="cs-CZ"/>
        </w:rPr>
      </w:pPr>
    </w:p>
    <w:p w:rsidR="009B5326" w:rsidRDefault="009B5326" w:rsidP="009B5326">
      <w:pPr>
        <w:pStyle w:val="Zkladntextodsazen"/>
        <w:spacing w:after="0"/>
        <w:jc w:val="both"/>
        <w:rPr>
          <w:rFonts w:ascii="Bookman Old Style" w:hAnsi="Bookman Old Style"/>
          <w:sz w:val="22"/>
          <w:szCs w:val="22"/>
          <w:lang w:val="cs-CZ"/>
        </w:rPr>
      </w:pPr>
    </w:p>
    <w:p w:rsidR="009B5326" w:rsidRDefault="009B5326" w:rsidP="009B5326">
      <w:pPr>
        <w:pStyle w:val="Zkladntextodsazen"/>
        <w:spacing w:after="0"/>
        <w:jc w:val="both"/>
        <w:rPr>
          <w:rFonts w:ascii="Bookman Old Style" w:hAnsi="Bookman Old Style"/>
          <w:sz w:val="22"/>
          <w:szCs w:val="22"/>
          <w:lang w:val="cs-CZ"/>
        </w:rPr>
      </w:pPr>
    </w:p>
    <w:p w:rsidR="009B5326" w:rsidRPr="00F01391" w:rsidRDefault="009B5326" w:rsidP="009B5326">
      <w:pPr>
        <w:pStyle w:val="Zkladntextodsazen"/>
        <w:spacing w:after="0"/>
        <w:jc w:val="both"/>
        <w:rPr>
          <w:rFonts w:ascii="Bookman Old Style" w:hAnsi="Bookman Old Style"/>
          <w:sz w:val="22"/>
          <w:szCs w:val="22"/>
          <w:lang w:val="cs-CZ"/>
        </w:rPr>
      </w:pPr>
    </w:p>
    <w:p w:rsidR="00D64B89" w:rsidRPr="00F01391" w:rsidRDefault="00D64B89" w:rsidP="00D11D10">
      <w:pPr>
        <w:pStyle w:val="Zkladntextodsazen"/>
        <w:numPr>
          <w:ilvl w:val="0"/>
          <w:numId w:val="12"/>
        </w:numPr>
        <w:spacing w:after="0"/>
        <w:ind w:left="284"/>
        <w:jc w:val="both"/>
        <w:rPr>
          <w:rFonts w:ascii="Bookman Old Style" w:hAnsi="Bookman Old Style"/>
          <w:sz w:val="22"/>
          <w:szCs w:val="22"/>
          <w:lang w:val="cs-CZ"/>
        </w:rPr>
      </w:pPr>
      <w:r w:rsidRPr="00F01391">
        <w:rPr>
          <w:rFonts w:ascii="Bookman Old Style" w:hAnsi="Bookman Old Style"/>
          <w:sz w:val="22"/>
          <w:szCs w:val="22"/>
        </w:rPr>
        <w:t xml:space="preserve">Tato smlouva nabývá účinnosti dnem zveřejnění v registru smluv dle </w:t>
      </w:r>
      <w:r w:rsidRPr="00F01391">
        <w:rPr>
          <w:rFonts w:ascii="Bookman Old Style" w:hAnsi="Bookman Old Style"/>
          <w:sz w:val="22"/>
          <w:szCs w:val="22"/>
          <w:lang w:val="cs-CZ"/>
        </w:rPr>
        <w:t xml:space="preserve"> </w:t>
      </w:r>
      <w:r w:rsidRPr="00F01391">
        <w:rPr>
          <w:rFonts w:ascii="Bookman Old Style" w:hAnsi="Bookman Old Style"/>
          <w:sz w:val="22"/>
          <w:szCs w:val="22"/>
        </w:rPr>
        <w:t>zákona č.340/2015 Sb., o zvláštních podmínkách účinnosti některých smluv, uveřejňování těchto smluv a o registru smluv.</w:t>
      </w:r>
    </w:p>
    <w:p w:rsidR="00D64B89" w:rsidRDefault="00D64B89" w:rsidP="00D11D10">
      <w:pPr>
        <w:pStyle w:val="Zkladntextodsazen"/>
        <w:numPr>
          <w:ilvl w:val="0"/>
          <w:numId w:val="12"/>
        </w:numPr>
        <w:spacing w:after="0"/>
        <w:ind w:left="284"/>
        <w:jc w:val="both"/>
        <w:rPr>
          <w:rFonts w:ascii="Bookman Old Style" w:hAnsi="Bookman Old Style"/>
          <w:sz w:val="22"/>
          <w:szCs w:val="22"/>
          <w:lang w:val="cs-CZ"/>
        </w:rPr>
      </w:pPr>
      <w:r w:rsidRPr="00F01391">
        <w:rPr>
          <w:rFonts w:ascii="Bookman Old Style" w:hAnsi="Bookman Old Style"/>
          <w:sz w:val="22"/>
          <w:szCs w:val="22"/>
        </w:rPr>
        <w:t>Smluvní strany souhlasí se zveřejněním smlouvy v registru smluv, dle zákona o registru smluv. Zveřejnění provede Česká republika – Správa uprchlických zařízení Ministerstva vni</w:t>
      </w:r>
      <w:r w:rsidR="00F967D6">
        <w:rPr>
          <w:rFonts w:ascii="Bookman Old Style" w:hAnsi="Bookman Old Style"/>
          <w:sz w:val="22"/>
          <w:szCs w:val="22"/>
        </w:rPr>
        <w:t>tra</w:t>
      </w:r>
      <w:r w:rsidR="00F967D6">
        <w:rPr>
          <w:rFonts w:ascii="Bookman Old Style" w:hAnsi="Bookman Old Style"/>
          <w:sz w:val="22"/>
          <w:szCs w:val="22"/>
          <w:lang w:val="cs-CZ"/>
        </w:rPr>
        <w:t xml:space="preserve">, </w:t>
      </w:r>
      <w:r w:rsidRPr="00F01391">
        <w:rPr>
          <w:rFonts w:ascii="Bookman Old Style" w:hAnsi="Bookman Old Style"/>
          <w:sz w:val="22"/>
          <w:szCs w:val="22"/>
        </w:rPr>
        <w:t>Lhotecká 7, 143 01 Praha 12,</w:t>
      </w:r>
      <w:r w:rsidR="009B5326">
        <w:rPr>
          <w:rFonts w:ascii="Bookman Old Style" w:hAnsi="Bookman Old Style"/>
          <w:sz w:val="22"/>
          <w:szCs w:val="22"/>
        </w:rPr>
        <w:t xml:space="preserve"> </w:t>
      </w:r>
      <w:r w:rsidRPr="00F01391">
        <w:rPr>
          <w:rFonts w:ascii="Bookman Old Style" w:hAnsi="Bookman Old Style"/>
          <w:sz w:val="22"/>
          <w:szCs w:val="22"/>
        </w:rPr>
        <w:t>IČ: 604 98</w:t>
      </w:r>
      <w:r>
        <w:rPr>
          <w:rFonts w:ascii="Bookman Old Style" w:hAnsi="Bookman Old Style"/>
          <w:sz w:val="22"/>
          <w:szCs w:val="22"/>
        </w:rPr>
        <w:t> </w:t>
      </w:r>
      <w:r w:rsidRPr="00F01391">
        <w:rPr>
          <w:rFonts w:ascii="Bookman Old Style" w:hAnsi="Bookman Old Style"/>
          <w:sz w:val="22"/>
          <w:szCs w:val="22"/>
        </w:rPr>
        <w:t>021.</w:t>
      </w:r>
    </w:p>
    <w:p w:rsidR="00D64B89" w:rsidRPr="00F01391" w:rsidRDefault="00D64B89" w:rsidP="00D64B89">
      <w:pPr>
        <w:pStyle w:val="Zkladntextodsazen"/>
        <w:spacing w:after="0"/>
        <w:ind w:left="284"/>
        <w:jc w:val="both"/>
        <w:rPr>
          <w:rFonts w:ascii="Bookman Old Style" w:hAnsi="Bookman Old Style"/>
          <w:sz w:val="22"/>
          <w:szCs w:val="22"/>
          <w:lang w:val="cs-CZ"/>
        </w:rPr>
      </w:pPr>
      <w:r w:rsidRPr="00F01391">
        <w:rPr>
          <w:rFonts w:ascii="Bookman Old Style" w:hAnsi="Bookman Old Style"/>
          <w:sz w:val="22"/>
          <w:szCs w:val="22"/>
          <w:lang w:val="cs-CZ"/>
        </w:rPr>
        <w:t xml:space="preserve">       </w:t>
      </w:r>
    </w:p>
    <w:p w:rsidR="00D64B89" w:rsidRPr="00F01391" w:rsidRDefault="00D64B89" w:rsidP="00D11D10">
      <w:pPr>
        <w:pStyle w:val="Zkladntextodsazen"/>
        <w:numPr>
          <w:ilvl w:val="0"/>
          <w:numId w:val="12"/>
        </w:numPr>
        <w:spacing w:after="0"/>
        <w:ind w:left="284"/>
        <w:jc w:val="both"/>
        <w:rPr>
          <w:rFonts w:ascii="Bookman Old Style" w:hAnsi="Bookman Old Style"/>
          <w:sz w:val="22"/>
          <w:szCs w:val="22"/>
          <w:lang w:val="cs-CZ"/>
        </w:rPr>
      </w:pPr>
      <w:r w:rsidRPr="00F01391">
        <w:rPr>
          <w:rFonts w:ascii="Bookman Old Style" w:hAnsi="Bookman Old Style"/>
          <w:sz w:val="22"/>
          <w:szCs w:val="22"/>
          <w:u w:val="single"/>
          <w:lang w:val="cs-CZ"/>
        </w:rPr>
        <w:t>Přílohy této smlouvy tvoří</w:t>
      </w:r>
      <w:r w:rsidRPr="00F01391">
        <w:rPr>
          <w:rFonts w:ascii="Bookman Old Style" w:hAnsi="Bookman Old Style"/>
          <w:sz w:val="22"/>
          <w:szCs w:val="22"/>
          <w:lang w:val="cs-CZ"/>
        </w:rPr>
        <w:t>:</w:t>
      </w:r>
    </w:p>
    <w:p w:rsidR="00D64B89" w:rsidRPr="00F01391" w:rsidRDefault="00D64B89" w:rsidP="00D64B89">
      <w:pPr>
        <w:pStyle w:val="Zkladntextodsazen"/>
        <w:spacing w:after="0"/>
        <w:ind w:left="0" w:firstLine="993"/>
        <w:jc w:val="both"/>
        <w:rPr>
          <w:rFonts w:ascii="Bookman Old Style" w:hAnsi="Bookman Old Style"/>
          <w:sz w:val="22"/>
          <w:szCs w:val="22"/>
          <w:lang w:val="cs-CZ"/>
        </w:rPr>
      </w:pPr>
      <w:r w:rsidRPr="00F01391">
        <w:rPr>
          <w:rFonts w:ascii="Bookman Old Style" w:hAnsi="Bookman Old Style"/>
          <w:sz w:val="22"/>
          <w:szCs w:val="22"/>
          <w:lang w:val="cs-CZ"/>
        </w:rPr>
        <w:t>Příloha 1 – Určení prostor, půdorysný výkres předmětu smlouvy (m²)</w:t>
      </w:r>
    </w:p>
    <w:p w:rsidR="00D64B89" w:rsidRPr="00F01391" w:rsidRDefault="00D64B89" w:rsidP="00D64B89">
      <w:pPr>
        <w:pStyle w:val="Zkladntextodsazen"/>
        <w:spacing w:after="0"/>
        <w:ind w:left="0" w:firstLine="993"/>
        <w:jc w:val="both"/>
        <w:rPr>
          <w:rFonts w:ascii="Bookman Old Style" w:hAnsi="Bookman Old Style"/>
          <w:b/>
          <w:sz w:val="22"/>
          <w:szCs w:val="22"/>
          <w:lang w:val="cs-CZ"/>
        </w:rPr>
      </w:pPr>
      <w:r w:rsidRPr="00F01391">
        <w:rPr>
          <w:rFonts w:ascii="Bookman Old Style" w:hAnsi="Bookman Old Style"/>
          <w:sz w:val="22"/>
          <w:szCs w:val="22"/>
          <w:lang w:val="cs-CZ"/>
        </w:rPr>
        <w:t>Příloha 2 – Rozpis poskytovaných služeb spojených s nájmem</w:t>
      </w:r>
    </w:p>
    <w:p w:rsidR="00955EFB" w:rsidRDefault="00D64B89" w:rsidP="00D64B89">
      <w:pPr>
        <w:pStyle w:val="Zkladntextodsazen"/>
        <w:spacing w:after="0"/>
        <w:ind w:left="0" w:firstLine="993"/>
        <w:jc w:val="both"/>
        <w:rPr>
          <w:rFonts w:ascii="Bookman Old Style" w:hAnsi="Bookman Old Style"/>
          <w:sz w:val="22"/>
          <w:szCs w:val="22"/>
          <w:lang w:val="cs-CZ"/>
        </w:rPr>
      </w:pPr>
      <w:r w:rsidRPr="00F01391">
        <w:rPr>
          <w:rFonts w:ascii="Bookman Old Style" w:hAnsi="Bookman Old Style"/>
          <w:sz w:val="22"/>
          <w:szCs w:val="22"/>
          <w:lang w:val="cs-CZ"/>
        </w:rPr>
        <w:t xml:space="preserve">Příloha 3 – Kopie výpisu z katastru nemovitostí, plná moc </w:t>
      </w:r>
      <w:r w:rsidR="00955EFB">
        <w:rPr>
          <w:rFonts w:ascii="Bookman Old Style" w:hAnsi="Bookman Old Style"/>
          <w:sz w:val="22"/>
          <w:szCs w:val="22"/>
          <w:lang w:val="cs-CZ"/>
        </w:rPr>
        <w:t xml:space="preserve">na jméno </w:t>
      </w:r>
    </w:p>
    <w:p w:rsidR="00D64B89" w:rsidRPr="00F01391" w:rsidRDefault="00955EFB" w:rsidP="00D64B89">
      <w:pPr>
        <w:pStyle w:val="Zkladntextodsazen"/>
        <w:spacing w:after="0"/>
        <w:ind w:left="0" w:firstLine="993"/>
        <w:jc w:val="both"/>
        <w:rPr>
          <w:rFonts w:ascii="Bookman Old Style" w:hAnsi="Bookman Old Style"/>
          <w:sz w:val="22"/>
          <w:szCs w:val="22"/>
          <w:lang w:val="cs-CZ"/>
        </w:rPr>
      </w:pPr>
      <w:r>
        <w:rPr>
          <w:rFonts w:ascii="Bookman Old Style" w:hAnsi="Bookman Old Style"/>
          <w:sz w:val="22"/>
          <w:szCs w:val="22"/>
          <w:lang w:val="cs-CZ"/>
        </w:rPr>
        <w:t>Mgr. Ondřej Heřman</w:t>
      </w:r>
    </w:p>
    <w:p w:rsidR="00D64B89" w:rsidRPr="00F01391" w:rsidRDefault="00D64B89" w:rsidP="00D64B89">
      <w:pPr>
        <w:pStyle w:val="Zkladntext1"/>
        <w:jc w:val="both"/>
        <w:rPr>
          <w:rFonts w:ascii="Bookman Old Style" w:hAnsi="Bookman Old Style"/>
          <w:color w:val="auto"/>
          <w:szCs w:val="22"/>
          <w:lang w:val="cs-CZ"/>
        </w:rPr>
      </w:pPr>
      <w:r w:rsidRPr="00F01391">
        <w:rPr>
          <w:rFonts w:ascii="Bookman Old Style" w:hAnsi="Bookman Old Style"/>
          <w:color w:val="auto"/>
          <w:szCs w:val="22"/>
          <w:lang w:val="cs-CZ"/>
        </w:rPr>
        <w:t xml:space="preserve">              Příloha 4 – Adaptace/Úpravy</w:t>
      </w:r>
    </w:p>
    <w:p w:rsidR="00D64B89" w:rsidRPr="00F01391" w:rsidRDefault="00D64B89" w:rsidP="00D64B89">
      <w:pPr>
        <w:pStyle w:val="Zkladntext1"/>
        <w:jc w:val="both"/>
        <w:rPr>
          <w:rFonts w:ascii="Bookman Old Style" w:hAnsi="Bookman Old Style"/>
          <w:b/>
          <w:color w:val="auto"/>
          <w:szCs w:val="22"/>
          <w:u w:val="single"/>
          <w:lang w:val="cs-CZ"/>
        </w:rPr>
      </w:pPr>
    </w:p>
    <w:p w:rsidR="00D64B89" w:rsidRPr="00F01391" w:rsidRDefault="00D64B89" w:rsidP="00D64B89">
      <w:pPr>
        <w:pStyle w:val="Zkladntextodsazen"/>
        <w:ind w:left="0"/>
        <w:jc w:val="both"/>
        <w:rPr>
          <w:rFonts w:ascii="Bookman Old Style" w:hAnsi="Bookman Old Style"/>
          <w:sz w:val="22"/>
          <w:szCs w:val="22"/>
          <w:lang w:val="cs-CZ"/>
        </w:rPr>
      </w:pPr>
    </w:p>
    <w:p w:rsidR="00D64B89" w:rsidRPr="00F01391" w:rsidRDefault="00D64B89" w:rsidP="00D64B89">
      <w:pPr>
        <w:ind w:right="-284"/>
        <w:jc w:val="both"/>
        <w:rPr>
          <w:sz w:val="22"/>
          <w:szCs w:val="22"/>
        </w:rPr>
      </w:pPr>
      <w:r w:rsidRPr="00F01391">
        <w:rPr>
          <w:sz w:val="22"/>
          <w:szCs w:val="22"/>
        </w:rPr>
        <w:t xml:space="preserve">           V Praze dne …../….. 2016</w:t>
      </w:r>
      <w:r w:rsidRPr="00F01391">
        <w:rPr>
          <w:sz w:val="22"/>
          <w:szCs w:val="22"/>
        </w:rPr>
        <w:tab/>
      </w:r>
      <w:r w:rsidRPr="00F01391">
        <w:rPr>
          <w:sz w:val="22"/>
          <w:szCs w:val="22"/>
        </w:rPr>
        <w:tab/>
      </w:r>
      <w:r>
        <w:rPr>
          <w:sz w:val="22"/>
          <w:szCs w:val="22"/>
        </w:rPr>
        <w:t xml:space="preserve">          </w:t>
      </w:r>
      <w:r w:rsidRPr="00F01391">
        <w:rPr>
          <w:sz w:val="22"/>
          <w:szCs w:val="22"/>
        </w:rPr>
        <w:t>V</w:t>
      </w:r>
      <w:r>
        <w:rPr>
          <w:sz w:val="22"/>
          <w:szCs w:val="22"/>
        </w:rPr>
        <w:t> </w:t>
      </w:r>
      <w:r w:rsidRPr="00F01391">
        <w:rPr>
          <w:sz w:val="22"/>
          <w:szCs w:val="22"/>
        </w:rPr>
        <w:t>Pardubicích</w:t>
      </w:r>
      <w:r>
        <w:rPr>
          <w:sz w:val="22"/>
          <w:szCs w:val="22"/>
        </w:rPr>
        <w:t xml:space="preserve"> </w:t>
      </w:r>
      <w:r w:rsidRPr="00F01391">
        <w:rPr>
          <w:sz w:val="22"/>
          <w:szCs w:val="22"/>
        </w:rPr>
        <w:t>dne …./</w:t>
      </w:r>
      <w:r>
        <w:rPr>
          <w:sz w:val="22"/>
          <w:szCs w:val="22"/>
        </w:rPr>
        <w:t>…../</w:t>
      </w:r>
      <w:r w:rsidRPr="00F01391">
        <w:rPr>
          <w:sz w:val="22"/>
          <w:szCs w:val="22"/>
        </w:rPr>
        <w:t>2016</w:t>
      </w:r>
      <w:r w:rsidRPr="00F01391">
        <w:rPr>
          <w:sz w:val="22"/>
          <w:szCs w:val="22"/>
        </w:rPr>
        <w:tab/>
      </w:r>
    </w:p>
    <w:tbl>
      <w:tblPr>
        <w:tblW w:w="10330" w:type="dxa"/>
        <w:tblLayout w:type="fixed"/>
        <w:tblCellMar>
          <w:left w:w="70" w:type="dxa"/>
          <w:right w:w="70" w:type="dxa"/>
        </w:tblCellMar>
        <w:tblLook w:val="0000" w:firstRow="0" w:lastRow="0" w:firstColumn="0" w:lastColumn="0" w:noHBand="0" w:noVBand="0"/>
      </w:tblPr>
      <w:tblGrid>
        <w:gridCol w:w="4910"/>
        <w:gridCol w:w="660"/>
        <w:gridCol w:w="4760"/>
      </w:tblGrid>
      <w:tr w:rsidR="00D64B89" w:rsidRPr="00F01391" w:rsidTr="00FB1505">
        <w:tc>
          <w:tcPr>
            <w:tcW w:w="4910" w:type="dxa"/>
          </w:tcPr>
          <w:p w:rsidR="00D64B89" w:rsidRDefault="00D64B89" w:rsidP="00FB1505">
            <w:pPr>
              <w:snapToGrid w:val="0"/>
              <w:jc w:val="both"/>
              <w:rPr>
                <w:b/>
                <w:sz w:val="22"/>
                <w:szCs w:val="22"/>
              </w:rPr>
            </w:pPr>
          </w:p>
          <w:p w:rsidR="00D64B89" w:rsidRPr="00F01391" w:rsidRDefault="00D64B89" w:rsidP="00FB1505">
            <w:pPr>
              <w:snapToGrid w:val="0"/>
              <w:jc w:val="both"/>
              <w:rPr>
                <w:b/>
                <w:sz w:val="22"/>
                <w:szCs w:val="22"/>
              </w:rPr>
            </w:pPr>
          </w:p>
          <w:p w:rsidR="00D64B89" w:rsidRPr="00F01391" w:rsidRDefault="00D64B89" w:rsidP="00FB1505">
            <w:pPr>
              <w:snapToGrid w:val="0"/>
              <w:jc w:val="both"/>
              <w:rPr>
                <w:b/>
                <w:sz w:val="22"/>
                <w:szCs w:val="22"/>
              </w:rPr>
            </w:pPr>
          </w:p>
        </w:tc>
        <w:tc>
          <w:tcPr>
            <w:tcW w:w="660" w:type="dxa"/>
          </w:tcPr>
          <w:p w:rsidR="00D64B89" w:rsidRPr="00F01391" w:rsidRDefault="00D64B89" w:rsidP="00FB1505">
            <w:pPr>
              <w:snapToGrid w:val="0"/>
              <w:jc w:val="both"/>
              <w:rPr>
                <w:b/>
                <w:sz w:val="22"/>
                <w:szCs w:val="22"/>
              </w:rPr>
            </w:pPr>
          </w:p>
        </w:tc>
        <w:tc>
          <w:tcPr>
            <w:tcW w:w="4760" w:type="dxa"/>
          </w:tcPr>
          <w:p w:rsidR="00D64B89" w:rsidRPr="00F01391" w:rsidRDefault="00D64B89" w:rsidP="00FB1505">
            <w:pPr>
              <w:snapToGrid w:val="0"/>
              <w:jc w:val="both"/>
              <w:rPr>
                <w:b/>
                <w:sz w:val="22"/>
                <w:szCs w:val="22"/>
              </w:rPr>
            </w:pPr>
          </w:p>
        </w:tc>
      </w:tr>
      <w:tr w:rsidR="00D64B89" w:rsidRPr="00F01391" w:rsidTr="00FB1505">
        <w:tc>
          <w:tcPr>
            <w:tcW w:w="4910" w:type="dxa"/>
          </w:tcPr>
          <w:p w:rsidR="00D64B89" w:rsidRPr="00F01391" w:rsidRDefault="00D64B89" w:rsidP="00FB1505">
            <w:pPr>
              <w:snapToGrid w:val="0"/>
              <w:jc w:val="both"/>
              <w:rPr>
                <w:sz w:val="22"/>
                <w:szCs w:val="22"/>
              </w:rPr>
            </w:pPr>
            <w:r>
              <w:rPr>
                <w:sz w:val="22"/>
                <w:szCs w:val="22"/>
              </w:rPr>
              <w:t xml:space="preserve">         </w:t>
            </w:r>
            <w:r w:rsidRPr="00F01391">
              <w:rPr>
                <w:sz w:val="22"/>
                <w:szCs w:val="22"/>
              </w:rPr>
              <w:t>……………………………………</w:t>
            </w:r>
          </w:p>
        </w:tc>
        <w:tc>
          <w:tcPr>
            <w:tcW w:w="660" w:type="dxa"/>
          </w:tcPr>
          <w:p w:rsidR="00D64B89" w:rsidRPr="00F01391" w:rsidRDefault="00D64B89" w:rsidP="00FB1505">
            <w:pPr>
              <w:snapToGrid w:val="0"/>
              <w:jc w:val="both"/>
              <w:rPr>
                <w:sz w:val="22"/>
                <w:szCs w:val="22"/>
              </w:rPr>
            </w:pPr>
          </w:p>
        </w:tc>
        <w:tc>
          <w:tcPr>
            <w:tcW w:w="4760" w:type="dxa"/>
          </w:tcPr>
          <w:p w:rsidR="00D64B89" w:rsidRPr="00F01391" w:rsidRDefault="00D64B89" w:rsidP="00FB1505">
            <w:pPr>
              <w:snapToGrid w:val="0"/>
              <w:jc w:val="both"/>
              <w:rPr>
                <w:sz w:val="22"/>
                <w:szCs w:val="22"/>
              </w:rPr>
            </w:pPr>
            <w:r>
              <w:rPr>
                <w:sz w:val="22"/>
                <w:szCs w:val="22"/>
              </w:rPr>
              <w:t xml:space="preserve">       </w:t>
            </w:r>
            <w:r w:rsidRPr="00F01391">
              <w:rPr>
                <w:sz w:val="22"/>
                <w:szCs w:val="22"/>
              </w:rPr>
              <w:t xml:space="preserve"> ………………………………</w:t>
            </w:r>
          </w:p>
        </w:tc>
      </w:tr>
      <w:tr w:rsidR="00D64B89" w:rsidRPr="00F01391" w:rsidTr="00FB1505">
        <w:tc>
          <w:tcPr>
            <w:tcW w:w="4910" w:type="dxa"/>
          </w:tcPr>
          <w:p w:rsidR="00D64B89" w:rsidRPr="00D64B89" w:rsidRDefault="00D64B89" w:rsidP="00FB1505">
            <w:pPr>
              <w:snapToGrid w:val="0"/>
              <w:jc w:val="both"/>
              <w:rPr>
                <w:b/>
                <w:sz w:val="24"/>
                <w:szCs w:val="24"/>
              </w:rPr>
            </w:pPr>
            <w:r w:rsidRPr="00D64B89">
              <w:rPr>
                <w:b/>
                <w:sz w:val="24"/>
                <w:szCs w:val="24"/>
              </w:rPr>
              <w:t xml:space="preserve">        Mgr. et Mgr. Pavel Bacík</w:t>
            </w:r>
          </w:p>
        </w:tc>
        <w:tc>
          <w:tcPr>
            <w:tcW w:w="660" w:type="dxa"/>
          </w:tcPr>
          <w:p w:rsidR="00D64B89" w:rsidRPr="00D64B89" w:rsidRDefault="00D64B89" w:rsidP="00FB1505">
            <w:pPr>
              <w:snapToGrid w:val="0"/>
              <w:jc w:val="both"/>
              <w:rPr>
                <w:sz w:val="24"/>
                <w:szCs w:val="24"/>
              </w:rPr>
            </w:pPr>
          </w:p>
        </w:tc>
        <w:tc>
          <w:tcPr>
            <w:tcW w:w="4760" w:type="dxa"/>
          </w:tcPr>
          <w:p w:rsidR="00D64B89" w:rsidRPr="00D64B89" w:rsidRDefault="00D64B89" w:rsidP="00FB1505">
            <w:pPr>
              <w:snapToGrid w:val="0"/>
              <w:jc w:val="both"/>
              <w:rPr>
                <w:b/>
                <w:sz w:val="24"/>
                <w:szCs w:val="24"/>
              </w:rPr>
            </w:pPr>
            <w:r w:rsidRPr="00D64B89">
              <w:rPr>
                <w:b/>
                <w:sz w:val="24"/>
                <w:szCs w:val="24"/>
              </w:rPr>
              <w:t xml:space="preserve">       </w:t>
            </w:r>
            <w:r>
              <w:rPr>
                <w:b/>
                <w:sz w:val="24"/>
                <w:szCs w:val="24"/>
              </w:rPr>
              <w:t xml:space="preserve"> </w:t>
            </w:r>
            <w:r w:rsidRPr="00D64B89">
              <w:rPr>
                <w:b/>
                <w:sz w:val="24"/>
                <w:szCs w:val="24"/>
              </w:rPr>
              <w:t>Mgr. Ondřej Heřman</w:t>
            </w:r>
          </w:p>
        </w:tc>
      </w:tr>
      <w:tr w:rsidR="00D64B89" w:rsidRPr="00F01391" w:rsidTr="00FB1505">
        <w:tc>
          <w:tcPr>
            <w:tcW w:w="4910" w:type="dxa"/>
          </w:tcPr>
          <w:p w:rsidR="00D64B89" w:rsidRDefault="00D64B89" w:rsidP="00FB1505">
            <w:pPr>
              <w:pStyle w:val="Nadpis3"/>
              <w:snapToGrid w:val="0"/>
              <w:jc w:val="both"/>
              <w:rPr>
                <w:rFonts w:ascii="Bookman Old Style" w:hAnsi="Bookman Old Style"/>
                <w:b w:val="0"/>
                <w:bCs/>
                <w:sz w:val="22"/>
              </w:rPr>
            </w:pPr>
            <w:r w:rsidRPr="00F01391">
              <w:rPr>
                <w:rFonts w:ascii="Bookman Old Style" w:hAnsi="Bookman Old Style"/>
                <w:b w:val="0"/>
                <w:bCs/>
                <w:sz w:val="22"/>
              </w:rPr>
              <w:t xml:space="preserve">  </w:t>
            </w:r>
            <w:r>
              <w:rPr>
                <w:rFonts w:ascii="Bookman Old Style" w:hAnsi="Bookman Old Style"/>
                <w:b w:val="0"/>
                <w:bCs/>
                <w:sz w:val="22"/>
              </w:rPr>
              <w:t xml:space="preserve">                 </w:t>
            </w:r>
            <w:r w:rsidRPr="00F01391">
              <w:rPr>
                <w:rFonts w:ascii="Bookman Old Style" w:hAnsi="Bookman Old Style"/>
                <w:b w:val="0"/>
                <w:bCs/>
                <w:sz w:val="22"/>
              </w:rPr>
              <w:t>ředitel SUZ MV</w:t>
            </w:r>
          </w:p>
          <w:p w:rsidR="00D64B89" w:rsidRPr="007D2901" w:rsidRDefault="00D64B89" w:rsidP="00FB1505">
            <w:r>
              <w:rPr>
                <w:bCs/>
                <w:i/>
                <w:sz w:val="22"/>
                <w:szCs w:val="22"/>
              </w:rPr>
              <w:t xml:space="preserve">                        </w:t>
            </w:r>
            <w:r w:rsidRPr="00F01391">
              <w:rPr>
                <w:bCs/>
                <w:i/>
                <w:sz w:val="22"/>
                <w:szCs w:val="22"/>
              </w:rPr>
              <w:t>(nájemce)</w:t>
            </w:r>
          </w:p>
        </w:tc>
        <w:tc>
          <w:tcPr>
            <w:tcW w:w="660" w:type="dxa"/>
          </w:tcPr>
          <w:p w:rsidR="00D64B89" w:rsidRPr="00F01391" w:rsidRDefault="00D64B89" w:rsidP="00FB1505">
            <w:pPr>
              <w:snapToGrid w:val="0"/>
              <w:jc w:val="both"/>
              <w:rPr>
                <w:sz w:val="22"/>
                <w:szCs w:val="22"/>
              </w:rPr>
            </w:pPr>
          </w:p>
        </w:tc>
        <w:tc>
          <w:tcPr>
            <w:tcW w:w="4760" w:type="dxa"/>
          </w:tcPr>
          <w:p w:rsidR="00D64B89" w:rsidRPr="00F01391" w:rsidRDefault="00D64B89" w:rsidP="00FB1505">
            <w:pPr>
              <w:pStyle w:val="Nadpis3"/>
              <w:snapToGrid w:val="0"/>
              <w:jc w:val="both"/>
              <w:rPr>
                <w:rFonts w:ascii="Bookman Old Style" w:hAnsi="Bookman Old Style"/>
                <w:b w:val="0"/>
                <w:bCs/>
                <w:sz w:val="22"/>
              </w:rPr>
            </w:pPr>
            <w:r w:rsidRPr="00F01391">
              <w:rPr>
                <w:rFonts w:ascii="Bookman Old Style" w:hAnsi="Bookman Old Style"/>
                <w:b w:val="0"/>
                <w:bCs/>
                <w:sz w:val="22"/>
              </w:rPr>
              <w:t xml:space="preserve">          </w:t>
            </w:r>
            <w:r>
              <w:rPr>
                <w:rFonts w:ascii="Bookman Old Style" w:hAnsi="Bookman Old Style"/>
                <w:b w:val="0"/>
                <w:bCs/>
                <w:sz w:val="22"/>
              </w:rPr>
              <w:t xml:space="preserve"> </w:t>
            </w:r>
            <w:r w:rsidRPr="00F01391">
              <w:rPr>
                <w:rFonts w:ascii="Bookman Old Style" w:hAnsi="Bookman Old Style"/>
                <w:b w:val="0"/>
                <w:bCs/>
                <w:sz w:val="22"/>
              </w:rPr>
              <w:t>(na základě plné moci)</w:t>
            </w:r>
          </w:p>
          <w:p w:rsidR="00D64B89" w:rsidRPr="00F01391" w:rsidRDefault="00D64B89" w:rsidP="00FB1505">
            <w:pPr>
              <w:snapToGrid w:val="0"/>
              <w:jc w:val="both"/>
              <w:rPr>
                <w:bCs/>
                <w:i/>
                <w:sz w:val="22"/>
                <w:szCs w:val="22"/>
              </w:rPr>
            </w:pPr>
            <w:r w:rsidRPr="00F01391">
              <w:rPr>
                <w:sz w:val="22"/>
                <w:szCs w:val="22"/>
              </w:rPr>
              <w:t xml:space="preserve">             </w:t>
            </w:r>
            <w:r>
              <w:rPr>
                <w:sz w:val="22"/>
                <w:szCs w:val="22"/>
              </w:rPr>
              <w:t xml:space="preserve">    </w:t>
            </w:r>
            <w:r w:rsidR="009B5326">
              <w:rPr>
                <w:sz w:val="22"/>
                <w:szCs w:val="22"/>
              </w:rPr>
              <w:t xml:space="preserve"> </w:t>
            </w:r>
            <w:r w:rsidRPr="00F01391">
              <w:rPr>
                <w:bCs/>
                <w:i/>
                <w:sz w:val="22"/>
                <w:szCs w:val="22"/>
              </w:rPr>
              <w:t>(pronajímatel)</w:t>
            </w:r>
          </w:p>
          <w:p w:rsidR="00D64B89" w:rsidRPr="00F01391" w:rsidRDefault="00D64B89" w:rsidP="00FB1505">
            <w:pPr>
              <w:tabs>
                <w:tab w:val="left" w:pos="1575"/>
              </w:tabs>
              <w:jc w:val="both"/>
              <w:rPr>
                <w:sz w:val="22"/>
                <w:szCs w:val="22"/>
              </w:rPr>
            </w:pPr>
          </w:p>
        </w:tc>
      </w:tr>
      <w:tr w:rsidR="00D64B89" w:rsidRPr="00F01391" w:rsidTr="00FB1505">
        <w:trPr>
          <w:trHeight w:val="967"/>
        </w:trPr>
        <w:tc>
          <w:tcPr>
            <w:tcW w:w="4910" w:type="dxa"/>
          </w:tcPr>
          <w:p w:rsidR="00D64B89" w:rsidRPr="00F01391" w:rsidRDefault="00D64B89" w:rsidP="00FB1505">
            <w:pPr>
              <w:snapToGrid w:val="0"/>
              <w:jc w:val="both"/>
              <w:rPr>
                <w:bCs/>
                <w:i/>
                <w:sz w:val="22"/>
                <w:szCs w:val="22"/>
              </w:rPr>
            </w:pPr>
          </w:p>
        </w:tc>
        <w:tc>
          <w:tcPr>
            <w:tcW w:w="660" w:type="dxa"/>
          </w:tcPr>
          <w:p w:rsidR="00D64B89" w:rsidRPr="00F01391" w:rsidRDefault="00D64B89" w:rsidP="00FB1505">
            <w:pPr>
              <w:snapToGrid w:val="0"/>
              <w:jc w:val="both"/>
              <w:rPr>
                <w:bCs/>
                <w:i/>
                <w:sz w:val="22"/>
                <w:szCs w:val="22"/>
              </w:rPr>
            </w:pPr>
          </w:p>
        </w:tc>
        <w:tc>
          <w:tcPr>
            <w:tcW w:w="4760" w:type="dxa"/>
          </w:tcPr>
          <w:p w:rsidR="00D64B89" w:rsidRPr="00F01391" w:rsidRDefault="00D64B89" w:rsidP="00FB1505">
            <w:pPr>
              <w:snapToGrid w:val="0"/>
              <w:jc w:val="both"/>
              <w:rPr>
                <w:bCs/>
                <w:i/>
                <w:sz w:val="22"/>
                <w:szCs w:val="22"/>
              </w:rPr>
            </w:pPr>
            <w:r w:rsidRPr="00F01391">
              <w:rPr>
                <w:bCs/>
                <w:i/>
                <w:sz w:val="22"/>
                <w:szCs w:val="22"/>
              </w:rPr>
              <w:t xml:space="preserve">                    </w:t>
            </w:r>
          </w:p>
          <w:p w:rsidR="00D64B89" w:rsidRPr="00F01391" w:rsidRDefault="00D64B89" w:rsidP="00FB1505">
            <w:pPr>
              <w:snapToGrid w:val="0"/>
              <w:jc w:val="both"/>
              <w:rPr>
                <w:bCs/>
                <w:i/>
                <w:sz w:val="22"/>
                <w:szCs w:val="22"/>
              </w:rPr>
            </w:pPr>
            <w:r w:rsidRPr="00F01391">
              <w:rPr>
                <w:bCs/>
                <w:i/>
                <w:sz w:val="22"/>
                <w:szCs w:val="22"/>
              </w:rPr>
              <w:t xml:space="preserve"> </w:t>
            </w:r>
          </w:p>
          <w:p w:rsidR="00D64B89" w:rsidRPr="00F01391" w:rsidRDefault="00D64B89" w:rsidP="00FB1505">
            <w:pPr>
              <w:snapToGrid w:val="0"/>
              <w:ind w:hanging="5570"/>
              <w:jc w:val="both"/>
              <w:rPr>
                <w:bCs/>
                <w:i/>
                <w:sz w:val="22"/>
                <w:szCs w:val="22"/>
              </w:rPr>
            </w:pPr>
          </w:p>
          <w:p w:rsidR="00D64B89" w:rsidRPr="00F01391" w:rsidRDefault="00D64B89" w:rsidP="00FB1505">
            <w:pPr>
              <w:snapToGrid w:val="0"/>
              <w:ind w:left="-5570"/>
              <w:jc w:val="both"/>
              <w:rPr>
                <w:bCs/>
                <w:i/>
                <w:sz w:val="22"/>
                <w:szCs w:val="22"/>
              </w:rPr>
            </w:pPr>
          </w:p>
          <w:p w:rsidR="00D64B89" w:rsidRPr="00F01391" w:rsidRDefault="00D64B89" w:rsidP="00FB1505">
            <w:pPr>
              <w:snapToGrid w:val="0"/>
              <w:jc w:val="both"/>
              <w:rPr>
                <w:bCs/>
                <w:i/>
                <w:sz w:val="22"/>
                <w:szCs w:val="22"/>
              </w:rPr>
            </w:pPr>
          </w:p>
          <w:p w:rsidR="00D64B89" w:rsidRPr="00F01391" w:rsidRDefault="00D64B89" w:rsidP="00FB1505">
            <w:pPr>
              <w:snapToGrid w:val="0"/>
              <w:ind w:left="3786" w:hanging="3786"/>
              <w:jc w:val="both"/>
              <w:rPr>
                <w:bCs/>
                <w:i/>
                <w:sz w:val="22"/>
                <w:szCs w:val="22"/>
              </w:rPr>
            </w:pPr>
          </w:p>
        </w:tc>
      </w:tr>
    </w:tbl>
    <w:p w:rsidR="00D64B89" w:rsidRPr="00C86744" w:rsidRDefault="00D64B89" w:rsidP="00D64B89">
      <w:pPr>
        <w:tabs>
          <w:tab w:val="left" w:pos="540"/>
        </w:tabs>
        <w:jc w:val="both"/>
      </w:pPr>
    </w:p>
    <w:p w:rsidR="00C457AF" w:rsidRDefault="00C457AF" w:rsidP="00C457AF">
      <w:pPr>
        <w:jc w:val="center"/>
        <w:rPr>
          <w:b/>
          <w:sz w:val="28"/>
          <w:szCs w:val="28"/>
        </w:rPr>
      </w:pPr>
    </w:p>
    <w:sectPr w:rsidR="00C457AF" w:rsidSect="00353512">
      <w:footerReference w:type="even" r:id="rId7"/>
      <w:footerReference w:type="default" r:id="rId8"/>
      <w:headerReference w:type="first" r:id="rId9"/>
      <w:pgSz w:w="11906" w:h="16838" w:code="9"/>
      <w:pgMar w:top="709" w:right="991" w:bottom="42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161" w:rsidRDefault="004E4161">
      <w:r>
        <w:separator/>
      </w:r>
    </w:p>
  </w:endnote>
  <w:endnote w:type="continuationSeparator" w:id="0">
    <w:p w:rsidR="004E4161" w:rsidRDefault="004E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FusionEE">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ar-Code 39">
    <w:panose1 w:val="020B0603050302020204"/>
    <w:charset w:val="02"/>
    <w:family w:val="swiss"/>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Default="000272A1" w:rsidP="00A81D7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272A1" w:rsidRDefault="000272A1" w:rsidP="00A81D7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AC5E01" w:rsidRDefault="000272A1" w:rsidP="00A81D7A">
    <w:pPr>
      <w:pStyle w:val="Zpat"/>
      <w:framePr w:wrap="around" w:vAnchor="text" w:hAnchor="margin" w:xAlign="right" w:y="1"/>
      <w:rPr>
        <w:rStyle w:val="slostrnky"/>
        <w:b/>
        <w:color w:val="C0C0C0"/>
        <w:sz w:val="16"/>
        <w:szCs w:val="16"/>
      </w:rPr>
    </w:pPr>
    <w:r w:rsidRPr="00AC5E01">
      <w:rPr>
        <w:rStyle w:val="slostrnky"/>
        <w:b/>
        <w:color w:val="C0C0C0"/>
        <w:sz w:val="16"/>
        <w:szCs w:val="16"/>
      </w:rPr>
      <w:fldChar w:fldCharType="begin"/>
    </w:r>
    <w:r w:rsidRPr="00AC5E01">
      <w:rPr>
        <w:rStyle w:val="slostrnky"/>
        <w:b/>
        <w:color w:val="C0C0C0"/>
        <w:sz w:val="16"/>
        <w:szCs w:val="16"/>
      </w:rPr>
      <w:instrText xml:space="preserve">PAGE  </w:instrText>
    </w:r>
    <w:r w:rsidRPr="00AC5E01">
      <w:rPr>
        <w:rStyle w:val="slostrnky"/>
        <w:b/>
        <w:color w:val="C0C0C0"/>
        <w:sz w:val="16"/>
        <w:szCs w:val="16"/>
      </w:rPr>
      <w:fldChar w:fldCharType="separate"/>
    </w:r>
    <w:r w:rsidR="00472D7F">
      <w:rPr>
        <w:rStyle w:val="slostrnky"/>
        <w:b/>
        <w:noProof/>
        <w:color w:val="C0C0C0"/>
        <w:sz w:val="16"/>
        <w:szCs w:val="16"/>
      </w:rPr>
      <w:t>8</w:t>
    </w:r>
    <w:r w:rsidRPr="00AC5E01">
      <w:rPr>
        <w:rStyle w:val="slostrnky"/>
        <w:b/>
        <w:color w:val="C0C0C0"/>
        <w:sz w:val="16"/>
        <w:szCs w:val="16"/>
      </w:rPr>
      <w:fldChar w:fldCharType="end"/>
    </w:r>
  </w:p>
  <w:p w:rsidR="000272A1" w:rsidRPr="00AC5E01" w:rsidRDefault="000272A1" w:rsidP="005348A0">
    <w:pPr>
      <w:pStyle w:val="Zpat"/>
      <w:ind w:right="360"/>
      <w:rPr>
        <w:b/>
        <w:color w:val="C0C0C0"/>
        <w:sz w:val="16"/>
        <w:szCs w:val="16"/>
      </w:rPr>
    </w:pPr>
  </w:p>
  <w:p w:rsidR="000272A1" w:rsidRDefault="000272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161" w:rsidRDefault="004E4161">
      <w:r>
        <w:separator/>
      </w:r>
    </w:p>
  </w:footnote>
  <w:footnote w:type="continuationSeparator" w:id="0">
    <w:p w:rsidR="004E4161" w:rsidRDefault="004E4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2A1" w:rsidRPr="00CF6AF2" w:rsidRDefault="000272A1" w:rsidP="00CF6AF2">
    <w:pPr>
      <w:pStyle w:val="Zhlav"/>
    </w:pPr>
    <w:r>
      <w:rPr>
        <w:caps/>
      </w:rPr>
      <w:t xml:space="preserve">                     </w:t>
    </w:r>
    <w:r w:rsidRPr="00CF6AF2">
      <w:rPr>
        <w:caps/>
      </w:rPr>
      <w:t xml:space="preserve">                                                                                     </w:t>
    </w:r>
    <w:r>
      <w:rPr>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66A3"/>
    <w:multiLevelType w:val="multilevel"/>
    <w:tmpl w:val="429837BA"/>
    <w:lvl w:ilvl="0">
      <w:start w:val="1"/>
      <w:numFmt w:val="decimal"/>
      <w:lvlText w:val="%1."/>
      <w:lvlJc w:val="left"/>
      <w:pPr>
        <w:tabs>
          <w:tab w:val="num" w:pos="454"/>
        </w:tabs>
        <w:ind w:left="454" w:hanging="454"/>
      </w:pPr>
      <w:rPr>
        <w:rFonts w:hint="default"/>
        <w:i w:val="0"/>
      </w:rPr>
    </w:lvl>
    <w:lvl w:ilvl="1">
      <w:start w:val="3"/>
      <w:numFmt w:val="decimal"/>
      <w:isLgl/>
      <w:lvlText w:val="%1.%2."/>
      <w:lvlJc w:val="left"/>
      <w:pPr>
        <w:ind w:left="1728" w:hanging="72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112"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856" w:hanging="1800"/>
      </w:pPr>
      <w:rPr>
        <w:rFonts w:hint="default"/>
      </w:rPr>
    </w:lvl>
    <w:lvl w:ilvl="8">
      <w:start w:val="1"/>
      <w:numFmt w:val="decimal"/>
      <w:isLgl/>
      <w:lvlText w:val="%1.%2.%3.%4.%5.%6.%7.%8.%9."/>
      <w:lvlJc w:val="left"/>
      <w:pPr>
        <w:ind w:left="10224" w:hanging="2160"/>
      </w:pPr>
      <w:rPr>
        <w:rFonts w:hint="default"/>
      </w:rPr>
    </w:lvl>
  </w:abstractNum>
  <w:abstractNum w:abstractNumId="1" w15:restartNumberingAfterBreak="0">
    <w:nsid w:val="0B695C60"/>
    <w:multiLevelType w:val="hybridMultilevel"/>
    <w:tmpl w:val="D6D42D5E"/>
    <w:lvl w:ilvl="0" w:tplc="B9FA5BA2">
      <w:start w:val="1"/>
      <w:numFmt w:val="decimal"/>
      <w:lvlText w:val="%1."/>
      <w:lvlJc w:val="left"/>
      <w:pPr>
        <w:tabs>
          <w:tab w:val="num" w:pos="454"/>
        </w:tabs>
        <w:ind w:left="454" w:hanging="454"/>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D131F"/>
    <w:multiLevelType w:val="hybridMultilevel"/>
    <w:tmpl w:val="25D49A1A"/>
    <w:lvl w:ilvl="0" w:tplc="59BC12BA">
      <w:start w:val="1"/>
      <w:numFmt w:val="decimal"/>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3F5453C"/>
    <w:multiLevelType w:val="hybridMultilevel"/>
    <w:tmpl w:val="4E4ABD94"/>
    <w:lvl w:ilvl="0" w:tplc="694611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85134"/>
    <w:multiLevelType w:val="singleLevel"/>
    <w:tmpl w:val="0405000F"/>
    <w:lvl w:ilvl="0">
      <w:start w:val="1"/>
      <w:numFmt w:val="decimal"/>
      <w:lvlText w:val="%1."/>
      <w:lvlJc w:val="left"/>
      <w:pPr>
        <w:tabs>
          <w:tab w:val="num" w:pos="360"/>
        </w:tabs>
        <w:ind w:left="360" w:hanging="360"/>
      </w:pPr>
      <w:rPr>
        <w:rFonts w:hint="default"/>
      </w:rPr>
    </w:lvl>
  </w:abstractNum>
  <w:abstractNum w:abstractNumId="5" w15:restartNumberingAfterBreak="0">
    <w:nsid w:val="17A41B9B"/>
    <w:multiLevelType w:val="hybridMultilevel"/>
    <w:tmpl w:val="63960F64"/>
    <w:lvl w:ilvl="0" w:tplc="5CB2A442">
      <w:start w:val="1"/>
      <w:numFmt w:val="decimal"/>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12401EF"/>
    <w:multiLevelType w:val="multilevel"/>
    <w:tmpl w:val="AE603F4C"/>
    <w:lvl w:ilvl="0">
      <w:start w:val="1"/>
      <w:numFmt w:val="decimal"/>
      <w:lvlText w:val="%1."/>
      <w:lvlJc w:val="left"/>
      <w:pPr>
        <w:tabs>
          <w:tab w:val="num" w:pos="454"/>
        </w:tabs>
        <w:ind w:left="454" w:hanging="454"/>
      </w:pPr>
      <w:rPr>
        <w:rFonts w:ascii="Bookman Old Style" w:eastAsia="Times New Roman" w:hAnsi="Bookman Old Style" w:cs="Times New Roman"/>
        <w:i w:val="0"/>
      </w:rPr>
    </w:lvl>
    <w:lvl w:ilvl="1">
      <w:start w:val="3"/>
      <w:numFmt w:val="decimal"/>
      <w:isLgl/>
      <w:lvlText w:val="%1.%2."/>
      <w:lvlJc w:val="left"/>
      <w:pPr>
        <w:ind w:left="1728" w:hanging="72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112"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856" w:hanging="1800"/>
      </w:pPr>
      <w:rPr>
        <w:rFonts w:hint="default"/>
      </w:rPr>
    </w:lvl>
    <w:lvl w:ilvl="8">
      <w:start w:val="1"/>
      <w:numFmt w:val="decimal"/>
      <w:isLgl/>
      <w:lvlText w:val="%1.%2.%3.%4.%5.%6.%7.%8.%9."/>
      <w:lvlJc w:val="left"/>
      <w:pPr>
        <w:ind w:left="10224" w:hanging="2160"/>
      </w:pPr>
      <w:rPr>
        <w:rFonts w:hint="default"/>
      </w:rPr>
    </w:lvl>
  </w:abstractNum>
  <w:abstractNum w:abstractNumId="7" w15:restartNumberingAfterBreak="0">
    <w:nsid w:val="338A6BAB"/>
    <w:multiLevelType w:val="hybridMultilevel"/>
    <w:tmpl w:val="8F7AE4D8"/>
    <w:lvl w:ilvl="0" w:tplc="0405000F">
      <w:start w:val="1"/>
      <w:numFmt w:val="decimal"/>
      <w:lvlText w:val="%1."/>
      <w:lvlJc w:val="left"/>
      <w:pPr>
        <w:ind w:left="555" w:hanging="360"/>
      </w:p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8" w15:restartNumberingAfterBreak="0">
    <w:nsid w:val="382C1FF2"/>
    <w:multiLevelType w:val="multilevel"/>
    <w:tmpl w:val="B8B20DE2"/>
    <w:lvl w:ilvl="0">
      <w:start w:val="2"/>
      <w:numFmt w:val="decimal"/>
      <w:lvlText w:val="%1."/>
      <w:lvlJc w:val="left"/>
      <w:pPr>
        <w:tabs>
          <w:tab w:val="num" w:pos="454"/>
        </w:tabs>
        <w:ind w:left="454" w:hanging="454"/>
      </w:pPr>
      <w:rPr>
        <w:rFonts w:hint="default"/>
        <w:i w:val="0"/>
      </w:rPr>
    </w:lvl>
    <w:lvl w:ilvl="1">
      <w:start w:val="3"/>
      <w:numFmt w:val="decimal"/>
      <w:isLgl/>
      <w:lvlText w:val="%1.%2."/>
      <w:lvlJc w:val="left"/>
      <w:pPr>
        <w:ind w:left="1728" w:hanging="72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4104" w:hanging="1080"/>
      </w:pPr>
      <w:rPr>
        <w:rFonts w:hint="default"/>
      </w:rPr>
    </w:lvl>
    <w:lvl w:ilvl="4">
      <w:start w:val="1"/>
      <w:numFmt w:val="decimal"/>
      <w:isLgl/>
      <w:lvlText w:val="%1.%2.%3.%4.%5."/>
      <w:lvlJc w:val="left"/>
      <w:pPr>
        <w:ind w:left="5112" w:hanging="1080"/>
      </w:pPr>
      <w:rPr>
        <w:rFonts w:hint="default"/>
      </w:rPr>
    </w:lvl>
    <w:lvl w:ilvl="5">
      <w:start w:val="1"/>
      <w:numFmt w:val="decimal"/>
      <w:isLgl/>
      <w:lvlText w:val="%1.%2.%3.%4.%5.%6."/>
      <w:lvlJc w:val="left"/>
      <w:pPr>
        <w:ind w:left="6480" w:hanging="1440"/>
      </w:pPr>
      <w:rPr>
        <w:rFonts w:hint="default"/>
      </w:rPr>
    </w:lvl>
    <w:lvl w:ilvl="6">
      <w:start w:val="1"/>
      <w:numFmt w:val="decimal"/>
      <w:isLgl/>
      <w:lvlText w:val="%1.%2.%3.%4.%5.%6.%7."/>
      <w:lvlJc w:val="left"/>
      <w:pPr>
        <w:ind w:left="7488" w:hanging="1440"/>
      </w:pPr>
      <w:rPr>
        <w:rFonts w:hint="default"/>
      </w:rPr>
    </w:lvl>
    <w:lvl w:ilvl="7">
      <w:start w:val="1"/>
      <w:numFmt w:val="decimal"/>
      <w:isLgl/>
      <w:lvlText w:val="%1.%2.%3.%4.%5.%6.%7.%8."/>
      <w:lvlJc w:val="left"/>
      <w:pPr>
        <w:ind w:left="8856" w:hanging="1800"/>
      </w:pPr>
      <w:rPr>
        <w:rFonts w:hint="default"/>
      </w:rPr>
    </w:lvl>
    <w:lvl w:ilvl="8">
      <w:start w:val="1"/>
      <w:numFmt w:val="decimal"/>
      <w:isLgl/>
      <w:lvlText w:val="%1.%2.%3.%4.%5.%6.%7.%8.%9."/>
      <w:lvlJc w:val="left"/>
      <w:pPr>
        <w:ind w:left="10224" w:hanging="2160"/>
      </w:pPr>
      <w:rPr>
        <w:rFonts w:hint="default"/>
      </w:rPr>
    </w:lvl>
  </w:abstractNum>
  <w:abstractNum w:abstractNumId="9" w15:restartNumberingAfterBreak="0">
    <w:nsid w:val="4D2E1BFA"/>
    <w:multiLevelType w:val="hybridMultilevel"/>
    <w:tmpl w:val="9D7AF982"/>
    <w:lvl w:ilvl="0" w:tplc="B114C7F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62326FA"/>
    <w:multiLevelType w:val="hybridMultilevel"/>
    <w:tmpl w:val="A3FCA384"/>
    <w:lvl w:ilvl="0" w:tplc="88ACAB5E">
      <w:start w:val="1"/>
      <w:numFmt w:val="decimal"/>
      <w:lvlText w:val="%1."/>
      <w:lvlJc w:val="left"/>
      <w:pPr>
        <w:tabs>
          <w:tab w:val="num" w:pos="454"/>
        </w:tabs>
        <w:ind w:left="454" w:hanging="454"/>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BDF6876"/>
    <w:multiLevelType w:val="hybridMultilevel"/>
    <w:tmpl w:val="4940A0C0"/>
    <w:lvl w:ilvl="0" w:tplc="CED662D6">
      <w:start w:val="1"/>
      <w:numFmt w:val="decimal"/>
      <w:lvlText w:val="%1."/>
      <w:lvlJc w:val="left"/>
      <w:pPr>
        <w:ind w:left="1068" w:hanging="360"/>
      </w:pPr>
      <w:rPr>
        <w:rFonts w:hint="default"/>
        <w:b w:val="0"/>
        <w:i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0"/>
  </w:num>
  <w:num w:numId="3">
    <w:abstractNumId w:val="11"/>
  </w:num>
  <w:num w:numId="4">
    <w:abstractNumId w:val="3"/>
  </w:num>
  <w:num w:numId="5">
    <w:abstractNumId w:val="8"/>
  </w:num>
  <w:num w:numId="6">
    <w:abstractNumId w:val="2"/>
  </w:num>
  <w:num w:numId="7">
    <w:abstractNumId w:val="4"/>
  </w:num>
  <w:num w:numId="8">
    <w:abstractNumId w:val="9"/>
  </w:num>
  <w:num w:numId="9">
    <w:abstractNumId w:val="7"/>
  </w:num>
  <w:num w:numId="10">
    <w:abstractNumId w:val="6"/>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A0"/>
    <w:rsid w:val="000005EA"/>
    <w:rsid w:val="00005C65"/>
    <w:rsid w:val="00015C61"/>
    <w:rsid w:val="00022850"/>
    <w:rsid w:val="000243FF"/>
    <w:rsid w:val="000272A1"/>
    <w:rsid w:val="00036853"/>
    <w:rsid w:val="00046649"/>
    <w:rsid w:val="00052F86"/>
    <w:rsid w:val="00054F67"/>
    <w:rsid w:val="0005760E"/>
    <w:rsid w:val="000702E0"/>
    <w:rsid w:val="00070A9B"/>
    <w:rsid w:val="00073262"/>
    <w:rsid w:val="000751B5"/>
    <w:rsid w:val="000759EF"/>
    <w:rsid w:val="0007646E"/>
    <w:rsid w:val="00083F84"/>
    <w:rsid w:val="00085A60"/>
    <w:rsid w:val="000866EF"/>
    <w:rsid w:val="00091D4B"/>
    <w:rsid w:val="000A3D60"/>
    <w:rsid w:val="000A4B53"/>
    <w:rsid w:val="000A71F1"/>
    <w:rsid w:val="000B25B1"/>
    <w:rsid w:val="000C233E"/>
    <w:rsid w:val="000D426C"/>
    <w:rsid w:val="000D5470"/>
    <w:rsid w:val="000E0016"/>
    <w:rsid w:val="000E497A"/>
    <w:rsid w:val="000E71E1"/>
    <w:rsid w:val="0011429E"/>
    <w:rsid w:val="00115AA7"/>
    <w:rsid w:val="0012399E"/>
    <w:rsid w:val="00123A1C"/>
    <w:rsid w:val="00131067"/>
    <w:rsid w:val="00144AD5"/>
    <w:rsid w:val="0015210B"/>
    <w:rsid w:val="00154A55"/>
    <w:rsid w:val="00154CD8"/>
    <w:rsid w:val="001555EC"/>
    <w:rsid w:val="00162F2B"/>
    <w:rsid w:val="001641F7"/>
    <w:rsid w:val="00170A2B"/>
    <w:rsid w:val="0017418A"/>
    <w:rsid w:val="00176746"/>
    <w:rsid w:val="00185BAA"/>
    <w:rsid w:val="001A2CCB"/>
    <w:rsid w:val="001A4854"/>
    <w:rsid w:val="001A61BE"/>
    <w:rsid w:val="001B6B00"/>
    <w:rsid w:val="001C4E59"/>
    <w:rsid w:val="001D07F1"/>
    <w:rsid w:val="001D36A6"/>
    <w:rsid w:val="001D381F"/>
    <w:rsid w:val="001D392C"/>
    <w:rsid w:val="001D3A0E"/>
    <w:rsid w:val="001E294E"/>
    <w:rsid w:val="001E32D4"/>
    <w:rsid w:val="001E556C"/>
    <w:rsid w:val="001E6C96"/>
    <w:rsid w:val="001F0A36"/>
    <w:rsid w:val="00201768"/>
    <w:rsid w:val="00202AD4"/>
    <w:rsid w:val="0020502E"/>
    <w:rsid w:val="0020509D"/>
    <w:rsid w:val="00205797"/>
    <w:rsid w:val="00206D59"/>
    <w:rsid w:val="00215699"/>
    <w:rsid w:val="002200DE"/>
    <w:rsid w:val="002234AE"/>
    <w:rsid w:val="00231D09"/>
    <w:rsid w:val="00235850"/>
    <w:rsid w:val="00244879"/>
    <w:rsid w:val="00245865"/>
    <w:rsid w:val="0024697E"/>
    <w:rsid w:val="002503E1"/>
    <w:rsid w:val="00262B0D"/>
    <w:rsid w:val="0026726D"/>
    <w:rsid w:val="00270B66"/>
    <w:rsid w:val="00276DF9"/>
    <w:rsid w:val="00277596"/>
    <w:rsid w:val="00283C91"/>
    <w:rsid w:val="00291873"/>
    <w:rsid w:val="00293FD4"/>
    <w:rsid w:val="002B0D0B"/>
    <w:rsid w:val="002C0630"/>
    <w:rsid w:val="002C17E6"/>
    <w:rsid w:val="002D33FD"/>
    <w:rsid w:val="002E3724"/>
    <w:rsid w:val="002F34CD"/>
    <w:rsid w:val="002F3D95"/>
    <w:rsid w:val="002F457A"/>
    <w:rsid w:val="00300BBD"/>
    <w:rsid w:val="00324993"/>
    <w:rsid w:val="003264D6"/>
    <w:rsid w:val="0034618B"/>
    <w:rsid w:val="00346FAB"/>
    <w:rsid w:val="00353512"/>
    <w:rsid w:val="00356B7E"/>
    <w:rsid w:val="00365537"/>
    <w:rsid w:val="003712CE"/>
    <w:rsid w:val="00374EA9"/>
    <w:rsid w:val="003A6B11"/>
    <w:rsid w:val="003A7B74"/>
    <w:rsid w:val="003B06F2"/>
    <w:rsid w:val="003B1DB5"/>
    <w:rsid w:val="003B22EA"/>
    <w:rsid w:val="003B2576"/>
    <w:rsid w:val="003C11D3"/>
    <w:rsid w:val="003C77B8"/>
    <w:rsid w:val="003E510C"/>
    <w:rsid w:val="003E57B3"/>
    <w:rsid w:val="003F3B03"/>
    <w:rsid w:val="00401137"/>
    <w:rsid w:val="00402CCF"/>
    <w:rsid w:val="00404A9F"/>
    <w:rsid w:val="00413B33"/>
    <w:rsid w:val="004157A8"/>
    <w:rsid w:val="00420E21"/>
    <w:rsid w:val="0043570F"/>
    <w:rsid w:val="00441691"/>
    <w:rsid w:val="004437BD"/>
    <w:rsid w:val="004511FE"/>
    <w:rsid w:val="00463AF2"/>
    <w:rsid w:val="00464CA2"/>
    <w:rsid w:val="0046523D"/>
    <w:rsid w:val="0047049E"/>
    <w:rsid w:val="00470939"/>
    <w:rsid w:val="00471B6C"/>
    <w:rsid w:val="00472D7F"/>
    <w:rsid w:val="004765DB"/>
    <w:rsid w:val="00477A64"/>
    <w:rsid w:val="00481ABC"/>
    <w:rsid w:val="00496DB8"/>
    <w:rsid w:val="004A1F07"/>
    <w:rsid w:val="004A1FE3"/>
    <w:rsid w:val="004A4E34"/>
    <w:rsid w:val="004B0D5F"/>
    <w:rsid w:val="004D091D"/>
    <w:rsid w:val="004D27AE"/>
    <w:rsid w:val="004D2A4D"/>
    <w:rsid w:val="004D3634"/>
    <w:rsid w:val="004D3DB5"/>
    <w:rsid w:val="004D6FF9"/>
    <w:rsid w:val="004E2D24"/>
    <w:rsid w:val="004E4161"/>
    <w:rsid w:val="00507491"/>
    <w:rsid w:val="00514D68"/>
    <w:rsid w:val="00526AE7"/>
    <w:rsid w:val="005271CF"/>
    <w:rsid w:val="00534310"/>
    <w:rsid w:val="005348A0"/>
    <w:rsid w:val="00545A70"/>
    <w:rsid w:val="00551D02"/>
    <w:rsid w:val="00553AF5"/>
    <w:rsid w:val="00561383"/>
    <w:rsid w:val="00566B34"/>
    <w:rsid w:val="005706EB"/>
    <w:rsid w:val="00573928"/>
    <w:rsid w:val="0058060A"/>
    <w:rsid w:val="00585532"/>
    <w:rsid w:val="005A0D54"/>
    <w:rsid w:val="005A5B2B"/>
    <w:rsid w:val="005B5DEB"/>
    <w:rsid w:val="005C002E"/>
    <w:rsid w:val="005C2D2A"/>
    <w:rsid w:val="005D09DB"/>
    <w:rsid w:val="005D2511"/>
    <w:rsid w:val="005D43A6"/>
    <w:rsid w:val="005D6CEA"/>
    <w:rsid w:val="005D6D8A"/>
    <w:rsid w:val="005E585D"/>
    <w:rsid w:val="005E66F9"/>
    <w:rsid w:val="006036D2"/>
    <w:rsid w:val="006122B4"/>
    <w:rsid w:val="006131EE"/>
    <w:rsid w:val="00613757"/>
    <w:rsid w:val="00613AAB"/>
    <w:rsid w:val="00617E77"/>
    <w:rsid w:val="00624153"/>
    <w:rsid w:val="0062613B"/>
    <w:rsid w:val="006402DD"/>
    <w:rsid w:val="00642CC9"/>
    <w:rsid w:val="00643706"/>
    <w:rsid w:val="00647572"/>
    <w:rsid w:val="0065081B"/>
    <w:rsid w:val="00651197"/>
    <w:rsid w:val="00656734"/>
    <w:rsid w:val="00670795"/>
    <w:rsid w:val="00670F54"/>
    <w:rsid w:val="00671694"/>
    <w:rsid w:val="006722A4"/>
    <w:rsid w:val="00675EDB"/>
    <w:rsid w:val="0068067E"/>
    <w:rsid w:val="00696A05"/>
    <w:rsid w:val="006A274F"/>
    <w:rsid w:val="006A44A0"/>
    <w:rsid w:val="006A5A0A"/>
    <w:rsid w:val="006C16C8"/>
    <w:rsid w:val="006C5C99"/>
    <w:rsid w:val="006D3AC8"/>
    <w:rsid w:val="006D61DD"/>
    <w:rsid w:val="006D78FB"/>
    <w:rsid w:val="006E3D3B"/>
    <w:rsid w:val="006F3EA2"/>
    <w:rsid w:val="006F6B4D"/>
    <w:rsid w:val="00705029"/>
    <w:rsid w:val="00714C9D"/>
    <w:rsid w:val="00732279"/>
    <w:rsid w:val="0073242D"/>
    <w:rsid w:val="00733C7D"/>
    <w:rsid w:val="00743207"/>
    <w:rsid w:val="0075022B"/>
    <w:rsid w:val="00756B77"/>
    <w:rsid w:val="00760634"/>
    <w:rsid w:val="00764B67"/>
    <w:rsid w:val="00765CC0"/>
    <w:rsid w:val="00775CCC"/>
    <w:rsid w:val="00782FCA"/>
    <w:rsid w:val="00785D9D"/>
    <w:rsid w:val="00790843"/>
    <w:rsid w:val="007A349A"/>
    <w:rsid w:val="007A7368"/>
    <w:rsid w:val="007D0815"/>
    <w:rsid w:val="007E14B6"/>
    <w:rsid w:val="007E4FCA"/>
    <w:rsid w:val="007F01FF"/>
    <w:rsid w:val="00805E74"/>
    <w:rsid w:val="0081146F"/>
    <w:rsid w:val="008273EF"/>
    <w:rsid w:val="00835556"/>
    <w:rsid w:val="0083566A"/>
    <w:rsid w:val="00837DDF"/>
    <w:rsid w:val="00844103"/>
    <w:rsid w:val="00865488"/>
    <w:rsid w:val="00870BD3"/>
    <w:rsid w:val="00881466"/>
    <w:rsid w:val="00892C80"/>
    <w:rsid w:val="00892DA4"/>
    <w:rsid w:val="00894FC6"/>
    <w:rsid w:val="008A1C35"/>
    <w:rsid w:val="008A1D48"/>
    <w:rsid w:val="008A2BD1"/>
    <w:rsid w:val="008B1F38"/>
    <w:rsid w:val="008B1FB6"/>
    <w:rsid w:val="008B2ABC"/>
    <w:rsid w:val="008C695A"/>
    <w:rsid w:val="008D17DC"/>
    <w:rsid w:val="008D1CB5"/>
    <w:rsid w:val="008D4730"/>
    <w:rsid w:val="008D6516"/>
    <w:rsid w:val="008D6796"/>
    <w:rsid w:val="008F0100"/>
    <w:rsid w:val="008F03AE"/>
    <w:rsid w:val="008F20D4"/>
    <w:rsid w:val="008F32B3"/>
    <w:rsid w:val="008F40B1"/>
    <w:rsid w:val="00900465"/>
    <w:rsid w:val="00902C6B"/>
    <w:rsid w:val="00904D9B"/>
    <w:rsid w:val="00905212"/>
    <w:rsid w:val="00911529"/>
    <w:rsid w:val="0091173C"/>
    <w:rsid w:val="009135C5"/>
    <w:rsid w:val="0091452C"/>
    <w:rsid w:val="00923433"/>
    <w:rsid w:val="00934836"/>
    <w:rsid w:val="00936921"/>
    <w:rsid w:val="009447B4"/>
    <w:rsid w:val="009553B6"/>
    <w:rsid w:val="00955EFB"/>
    <w:rsid w:val="009613E1"/>
    <w:rsid w:val="009627DA"/>
    <w:rsid w:val="00970EEB"/>
    <w:rsid w:val="00980844"/>
    <w:rsid w:val="0098151C"/>
    <w:rsid w:val="00990A12"/>
    <w:rsid w:val="009A1A30"/>
    <w:rsid w:val="009A48C1"/>
    <w:rsid w:val="009B2D24"/>
    <w:rsid w:val="009B5326"/>
    <w:rsid w:val="009C1BD7"/>
    <w:rsid w:val="009C34C9"/>
    <w:rsid w:val="009C7791"/>
    <w:rsid w:val="009D079A"/>
    <w:rsid w:val="009D676A"/>
    <w:rsid w:val="009F1D90"/>
    <w:rsid w:val="009F20E5"/>
    <w:rsid w:val="009F3A60"/>
    <w:rsid w:val="00A0307B"/>
    <w:rsid w:val="00A12D56"/>
    <w:rsid w:val="00A15ABD"/>
    <w:rsid w:val="00A15D39"/>
    <w:rsid w:val="00A179FE"/>
    <w:rsid w:val="00A218FF"/>
    <w:rsid w:val="00A23C9C"/>
    <w:rsid w:val="00A276F1"/>
    <w:rsid w:val="00A332F7"/>
    <w:rsid w:val="00A474B7"/>
    <w:rsid w:val="00A54EED"/>
    <w:rsid w:val="00A635D0"/>
    <w:rsid w:val="00A67E89"/>
    <w:rsid w:val="00A732DD"/>
    <w:rsid w:val="00A81C71"/>
    <w:rsid w:val="00A81D7A"/>
    <w:rsid w:val="00A90591"/>
    <w:rsid w:val="00A91868"/>
    <w:rsid w:val="00A94EB8"/>
    <w:rsid w:val="00A9598C"/>
    <w:rsid w:val="00AA054A"/>
    <w:rsid w:val="00AA3565"/>
    <w:rsid w:val="00AB036A"/>
    <w:rsid w:val="00AB423B"/>
    <w:rsid w:val="00AC4F9D"/>
    <w:rsid w:val="00AC5E01"/>
    <w:rsid w:val="00AD49ED"/>
    <w:rsid w:val="00AD4C13"/>
    <w:rsid w:val="00AD5724"/>
    <w:rsid w:val="00AD58C0"/>
    <w:rsid w:val="00AE783F"/>
    <w:rsid w:val="00AF2F81"/>
    <w:rsid w:val="00AF4F9E"/>
    <w:rsid w:val="00B02929"/>
    <w:rsid w:val="00B036C8"/>
    <w:rsid w:val="00B05147"/>
    <w:rsid w:val="00B0790A"/>
    <w:rsid w:val="00B1074C"/>
    <w:rsid w:val="00B31749"/>
    <w:rsid w:val="00B34952"/>
    <w:rsid w:val="00B51383"/>
    <w:rsid w:val="00B52E11"/>
    <w:rsid w:val="00B616A0"/>
    <w:rsid w:val="00B63397"/>
    <w:rsid w:val="00B64C82"/>
    <w:rsid w:val="00B67D90"/>
    <w:rsid w:val="00B7235D"/>
    <w:rsid w:val="00B7265E"/>
    <w:rsid w:val="00B82BF0"/>
    <w:rsid w:val="00B93FD9"/>
    <w:rsid w:val="00B9483F"/>
    <w:rsid w:val="00BA13A9"/>
    <w:rsid w:val="00BB4422"/>
    <w:rsid w:val="00BB464A"/>
    <w:rsid w:val="00BB4675"/>
    <w:rsid w:val="00BB7B06"/>
    <w:rsid w:val="00BC27EF"/>
    <w:rsid w:val="00BE0BA5"/>
    <w:rsid w:val="00BE1441"/>
    <w:rsid w:val="00BE6ABB"/>
    <w:rsid w:val="00BE6E9E"/>
    <w:rsid w:val="00BF09A4"/>
    <w:rsid w:val="00BF0A6E"/>
    <w:rsid w:val="00C00A0B"/>
    <w:rsid w:val="00C15B40"/>
    <w:rsid w:val="00C17B7B"/>
    <w:rsid w:val="00C2363D"/>
    <w:rsid w:val="00C353C3"/>
    <w:rsid w:val="00C37111"/>
    <w:rsid w:val="00C4557F"/>
    <w:rsid w:val="00C457AF"/>
    <w:rsid w:val="00C504D6"/>
    <w:rsid w:val="00C5065C"/>
    <w:rsid w:val="00C51105"/>
    <w:rsid w:val="00C518EE"/>
    <w:rsid w:val="00C65460"/>
    <w:rsid w:val="00C72992"/>
    <w:rsid w:val="00C73228"/>
    <w:rsid w:val="00C82747"/>
    <w:rsid w:val="00C82A68"/>
    <w:rsid w:val="00C84D56"/>
    <w:rsid w:val="00C91242"/>
    <w:rsid w:val="00C91930"/>
    <w:rsid w:val="00C95EC4"/>
    <w:rsid w:val="00C96E57"/>
    <w:rsid w:val="00CA0905"/>
    <w:rsid w:val="00CA490E"/>
    <w:rsid w:val="00CA4F35"/>
    <w:rsid w:val="00CB4925"/>
    <w:rsid w:val="00CB64DB"/>
    <w:rsid w:val="00CC16A5"/>
    <w:rsid w:val="00CC728E"/>
    <w:rsid w:val="00CC785E"/>
    <w:rsid w:val="00CC7E2F"/>
    <w:rsid w:val="00CD36D7"/>
    <w:rsid w:val="00CD7AC8"/>
    <w:rsid w:val="00CF125E"/>
    <w:rsid w:val="00CF14C8"/>
    <w:rsid w:val="00CF1D4E"/>
    <w:rsid w:val="00CF6AF2"/>
    <w:rsid w:val="00D00851"/>
    <w:rsid w:val="00D051FF"/>
    <w:rsid w:val="00D11D10"/>
    <w:rsid w:val="00D13E2E"/>
    <w:rsid w:val="00D16F14"/>
    <w:rsid w:val="00D27875"/>
    <w:rsid w:val="00D33BF6"/>
    <w:rsid w:val="00D35FBE"/>
    <w:rsid w:val="00D43C1D"/>
    <w:rsid w:val="00D60A97"/>
    <w:rsid w:val="00D64B89"/>
    <w:rsid w:val="00D65EF9"/>
    <w:rsid w:val="00D6614B"/>
    <w:rsid w:val="00D71222"/>
    <w:rsid w:val="00D7304B"/>
    <w:rsid w:val="00D9014E"/>
    <w:rsid w:val="00D928B3"/>
    <w:rsid w:val="00DA5B36"/>
    <w:rsid w:val="00DB2A2F"/>
    <w:rsid w:val="00DB531D"/>
    <w:rsid w:val="00DB796F"/>
    <w:rsid w:val="00DC0525"/>
    <w:rsid w:val="00DC4791"/>
    <w:rsid w:val="00DE0B6D"/>
    <w:rsid w:val="00DE1C06"/>
    <w:rsid w:val="00DF03D8"/>
    <w:rsid w:val="00DF41CB"/>
    <w:rsid w:val="00DF7085"/>
    <w:rsid w:val="00E01977"/>
    <w:rsid w:val="00E052E0"/>
    <w:rsid w:val="00E10998"/>
    <w:rsid w:val="00E13633"/>
    <w:rsid w:val="00E13F27"/>
    <w:rsid w:val="00E16D01"/>
    <w:rsid w:val="00E257D6"/>
    <w:rsid w:val="00E41B40"/>
    <w:rsid w:val="00E42A03"/>
    <w:rsid w:val="00E5020C"/>
    <w:rsid w:val="00E50D51"/>
    <w:rsid w:val="00E657A8"/>
    <w:rsid w:val="00E65BCA"/>
    <w:rsid w:val="00E90F74"/>
    <w:rsid w:val="00EB6169"/>
    <w:rsid w:val="00EC2A16"/>
    <w:rsid w:val="00EC6091"/>
    <w:rsid w:val="00ED1066"/>
    <w:rsid w:val="00EE4361"/>
    <w:rsid w:val="00EE46C2"/>
    <w:rsid w:val="00F02C11"/>
    <w:rsid w:val="00F10FF2"/>
    <w:rsid w:val="00F110E7"/>
    <w:rsid w:val="00F12206"/>
    <w:rsid w:val="00F1280E"/>
    <w:rsid w:val="00F1746D"/>
    <w:rsid w:val="00F2311F"/>
    <w:rsid w:val="00F31046"/>
    <w:rsid w:val="00F4691D"/>
    <w:rsid w:val="00F4711E"/>
    <w:rsid w:val="00F47188"/>
    <w:rsid w:val="00F617CA"/>
    <w:rsid w:val="00F6295B"/>
    <w:rsid w:val="00F64AC8"/>
    <w:rsid w:val="00F66026"/>
    <w:rsid w:val="00F76BD7"/>
    <w:rsid w:val="00F77E0C"/>
    <w:rsid w:val="00F829B6"/>
    <w:rsid w:val="00F967D6"/>
    <w:rsid w:val="00FA3293"/>
    <w:rsid w:val="00FA32E7"/>
    <w:rsid w:val="00FA4E56"/>
    <w:rsid w:val="00FA723F"/>
    <w:rsid w:val="00FB1A52"/>
    <w:rsid w:val="00FB64A6"/>
    <w:rsid w:val="00FC11FB"/>
    <w:rsid w:val="00FD799D"/>
    <w:rsid w:val="00FD7AB0"/>
    <w:rsid w:val="00FE0B06"/>
    <w:rsid w:val="00FE59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A1CF328-F96D-44D4-8D5F-BB0A0F51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48A0"/>
    <w:rPr>
      <w:rFonts w:ascii="Bookman Old Style" w:hAnsi="Bookman Old Style"/>
    </w:rPr>
  </w:style>
  <w:style w:type="paragraph" w:styleId="Nadpis3">
    <w:name w:val="heading 3"/>
    <w:basedOn w:val="Normln"/>
    <w:next w:val="Normln"/>
    <w:link w:val="Nadpis3Char"/>
    <w:uiPriority w:val="99"/>
    <w:qFormat/>
    <w:rsid w:val="000866EF"/>
    <w:pPr>
      <w:keepNext/>
      <w:jc w:val="center"/>
      <w:outlineLvl w:val="2"/>
    </w:pPr>
    <w:rPr>
      <w:rFonts w:ascii="Arial" w:hAnsi="Arial" w:cs="Arial"/>
      <w:b/>
      <w:sz w:val="24"/>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uiPriority w:val="99"/>
    <w:semiHidden/>
    <w:locked/>
    <w:rPr>
      <w:rFonts w:ascii="Cambria" w:hAnsi="Cambria"/>
      <w:b/>
      <w:sz w:val="26"/>
    </w:rPr>
  </w:style>
  <w:style w:type="paragraph" w:styleId="Zhlav">
    <w:name w:val="header"/>
    <w:basedOn w:val="Normln"/>
    <w:link w:val="ZhlavChar"/>
    <w:uiPriority w:val="99"/>
    <w:rsid w:val="005348A0"/>
    <w:pPr>
      <w:tabs>
        <w:tab w:val="center" w:pos="4536"/>
        <w:tab w:val="right" w:pos="9072"/>
      </w:tabs>
    </w:pPr>
  </w:style>
  <w:style w:type="character" w:customStyle="1" w:styleId="ZhlavChar">
    <w:name w:val="Záhlaví Char"/>
    <w:link w:val="Zhlav"/>
    <w:uiPriority w:val="99"/>
    <w:semiHidden/>
    <w:locked/>
    <w:rPr>
      <w:rFonts w:ascii="Bookman Old Style" w:hAnsi="Bookman Old Style"/>
      <w:sz w:val="20"/>
    </w:rPr>
  </w:style>
  <w:style w:type="paragraph" w:styleId="Zpat">
    <w:name w:val="footer"/>
    <w:basedOn w:val="Normln"/>
    <w:link w:val="ZpatChar"/>
    <w:uiPriority w:val="99"/>
    <w:rsid w:val="005348A0"/>
    <w:pPr>
      <w:tabs>
        <w:tab w:val="center" w:pos="4536"/>
        <w:tab w:val="right" w:pos="9072"/>
      </w:tabs>
    </w:pPr>
  </w:style>
  <w:style w:type="character" w:customStyle="1" w:styleId="ZpatChar">
    <w:name w:val="Zápatí Char"/>
    <w:link w:val="Zpat"/>
    <w:uiPriority w:val="99"/>
    <w:semiHidden/>
    <w:locked/>
    <w:rPr>
      <w:rFonts w:ascii="Bookman Old Style" w:hAnsi="Bookman Old Style"/>
      <w:sz w:val="20"/>
    </w:rPr>
  </w:style>
  <w:style w:type="character" w:styleId="slostrnky">
    <w:name w:val="page number"/>
    <w:uiPriority w:val="99"/>
    <w:rsid w:val="005348A0"/>
    <w:rPr>
      <w:rFonts w:cs="Times New Roman"/>
    </w:rPr>
  </w:style>
  <w:style w:type="paragraph" w:customStyle="1" w:styleId="HLAVICKA">
    <w:name w:val="HLAVICKA"/>
    <w:basedOn w:val="Normln"/>
    <w:uiPriority w:val="99"/>
    <w:rsid w:val="005348A0"/>
    <w:pPr>
      <w:keepLines/>
      <w:tabs>
        <w:tab w:val="left" w:pos="284"/>
        <w:tab w:val="left" w:pos="1145"/>
      </w:tabs>
      <w:overflowPunct w:val="0"/>
      <w:autoSpaceDE w:val="0"/>
      <w:autoSpaceDN w:val="0"/>
      <w:adjustRightInd w:val="0"/>
      <w:spacing w:after="60"/>
      <w:textAlignment w:val="baseline"/>
    </w:pPr>
    <w:rPr>
      <w:rFonts w:ascii="Times New Roman" w:hAnsi="Times New Roman"/>
    </w:rPr>
  </w:style>
  <w:style w:type="paragraph" w:customStyle="1" w:styleId="BODY1">
    <w:name w:val="BODY (1)"/>
    <w:basedOn w:val="Normln"/>
    <w:uiPriority w:val="99"/>
    <w:rsid w:val="005348A0"/>
    <w:pPr>
      <w:overflowPunct w:val="0"/>
      <w:autoSpaceDE w:val="0"/>
      <w:autoSpaceDN w:val="0"/>
      <w:adjustRightInd w:val="0"/>
      <w:spacing w:before="60" w:after="60"/>
      <w:ind w:left="284"/>
      <w:jc w:val="both"/>
      <w:textAlignment w:val="baseline"/>
    </w:pPr>
    <w:rPr>
      <w:rFonts w:ascii="Times New Roman" w:hAnsi="Times New Roman"/>
    </w:rPr>
  </w:style>
  <w:style w:type="paragraph" w:customStyle="1" w:styleId="1">
    <w:name w:val="1)"/>
    <w:basedOn w:val="Normln"/>
    <w:uiPriority w:val="99"/>
    <w:rsid w:val="005348A0"/>
    <w:pPr>
      <w:overflowPunct w:val="0"/>
      <w:autoSpaceDE w:val="0"/>
      <w:autoSpaceDN w:val="0"/>
      <w:adjustRightInd w:val="0"/>
      <w:spacing w:before="60" w:after="60"/>
      <w:ind w:left="284" w:hanging="284"/>
      <w:jc w:val="both"/>
      <w:textAlignment w:val="baseline"/>
    </w:pPr>
    <w:rPr>
      <w:rFonts w:ascii="Times New Roman" w:hAnsi="Times New Roman"/>
    </w:rPr>
  </w:style>
  <w:style w:type="paragraph" w:customStyle="1" w:styleId="A">
    <w:name w:val="A)"/>
    <w:basedOn w:val="1"/>
    <w:uiPriority w:val="99"/>
    <w:rsid w:val="005348A0"/>
    <w:pPr>
      <w:ind w:left="567"/>
    </w:pPr>
  </w:style>
  <w:style w:type="paragraph" w:customStyle="1" w:styleId="BODYA">
    <w:name w:val="BODY A)"/>
    <w:basedOn w:val="BODY1"/>
    <w:uiPriority w:val="99"/>
    <w:rsid w:val="005348A0"/>
    <w:pPr>
      <w:ind w:left="567"/>
    </w:pPr>
  </w:style>
  <w:style w:type="paragraph" w:customStyle="1" w:styleId="PODPOMLCKA">
    <w:name w:val="PODPOMLCKA"/>
    <w:basedOn w:val="Normln"/>
    <w:uiPriority w:val="99"/>
    <w:rsid w:val="005348A0"/>
    <w:pPr>
      <w:tabs>
        <w:tab w:val="left" w:pos="360"/>
      </w:tabs>
      <w:overflowPunct w:val="0"/>
      <w:autoSpaceDE w:val="0"/>
      <w:autoSpaceDN w:val="0"/>
      <w:adjustRightInd w:val="0"/>
      <w:spacing w:before="60" w:after="60"/>
      <w:ind w:left="568" w:hanging="284"/>
      <w:jc w:val="both"/>
      <w:textAlignment w:val="baseline"/>
    </w:pPr>
    <w:rPr>
      <w:rFonts w:ascii="Times New Roman" w:hAnsi="Times New Roman"/>
    </w:rPr>
  </w:style>
  <w:style w:type="paragraph" w:customStyle="1" w:styleId="NADPISCENNETUC">
    <w:name w:val="NADPIS CENNETUC"/>
    <w:basedOn w:val="Normln"/>
    <w:uiPriority w:val="99"/>
    <w:rsid w:val="005348A0"/>
    <w:pPr>
      <w:keepNext/>
      <w:keepLines/>
      <w:overflowPunct w:val="0"/>
      <w:autoSpaceDE w:val="0"/>
      <w:autoSpaceDN w:val="0"/>
      <w:adjustRightInd w:val="0"/>
      <w:spacing w:before="120" w:after="60"/>
      <w:jc w:val="center"/>
      <w:textAlignment w:val="baseline"/>
    </w:pPr>
    <w:rPr>
      <w:rFonts w:ascii="Times New Roman" w:hAnsi="Times New Roman"/>
    </w:rPr>
  </w:style>
  <w:style w:type="paragraph" w:styleId="Zkladntext2">
    <w:name w:val="Body Text 2"/>
    <w:basedOn w:val="Normln"/>
    <w:link w:val="Zkladntext2Char"/>
    <w:uiPriority w:val="99"/>
    <w:rsid w:val="00C353C3"/>
    <w:pPr>
      <w:spacing w:after="120" w:line="480" w:lineRule="auto"/>
    </w:pPr>
    <w:rPr>
      <w:rFonts w:ascii="Times New Roman" w:hAnsi="Times New Roman"/>
      <w:sz w:val="24"/>
      <w:szCs w:val="24"/>
    </w:rPr>
  </w:style>
  <w:style w:type="character" w:customStyle="1" w:styleId="Zkladntext2Char">
    <w:name w:val="Základní text 2 Char"/>
    <w:link w:val="Zkladntext2"/>
    <w:uiPriority w:val="99"/>
    <w:semiHidden/>
    <w:locked/>
    <w:rPr>
      <w:rFonts w:ascii="Bookman Old Style" w:hAnsi="Bookman Old Style"/>
      <w:sz w:val="20"/>
    </w:rPr>
  </w:style>
  <w:style w:type="paragraph" w:styleId="Zkladntext3">
    <w:name w:val="Body Text 3"/>
    <w:basedOn w:val="Normln"/>
    <w:link w:val="Zkladntext3Char"/>
    <w:uiPriority w:val="99"/>
    <w:rsid w:val="00015C61"/>
    <w:pPr>
      <w:spacing w:after="120"/>
    </w:pPr>
    <w:rPr>
      <w:sz w:val="16"/>
      <w:szCs w:val="16"/>
    </w:rPr>
  </w:style>
  <w:style w:type="character" w:customStyle="1" w:styleId="Zkladntext3Char">
    <w:name w:val="Základní text 3 Char"/>
    <w:link w:val="Zkladntext3"/>
    <w:uiPriority w:val="99"/>
    <w:semiHidden/>
    <w:locked/>
    <w:rPr>
      <w:rFonts w:ascii="Bookman Old Style" w:hAnsi="Bookman Old Style"/>
      <w:sz w:val="16"/>
    </w:rPr>
  </w:style>
  <w:style w:type="paragraph" w:styleId="Textbubliny">
    <w:name w:val="Balloon Text"/>
    <w:basedOn w:val="Normln"/>
    <w:link w:val="TextbublinyChar"/>
    <w:uiPriority w:val="99"/>
    <w:semiHidden/>
    <w:rsid w:val="00696A05"/>
    <w:rPr>
      <w:rFonts w:ascii="Tahoma" w:hAnsi="Tahoma" w:cs="Tahoma"/>
      <w:sz w:val="16"/>
      <w:szCs w:val="16"/>
    </w:rPr>
  </w:style>
  <w:style w:type="character" w:customStyle="1" w:styleId="TextbublinyChar">
    <w:name w:val="Text bubliny Char"/>
    <w:link w:val="Textbubliny"/>
    <w:uiPriority w:val="99"/>
    <w:semiHidden/>
    <w:locked/>
    <w:rPr>
      <w:sz w:val="2"/>
    </w:rPr>
  </w:style>
  <w:style w:type="character" w:styleId="Hypertextovodkaz">
    <w:name w:val="Hyperlink"/>
    <w:uiPriority w:val="99"/>
    <w:rsid w:val="0034618B"/>
    <w:rPr>
      <w:rFonts w:cs="Times New Roman"/>
      <w:color w:val="0000FF"/>
      <w:u w:val="single"/>
    </w:rPr>
  </w:style>
  <w:style w:type="paragraph" w:styleId="Zkladntext">
    <w:name w:val="Body Text"/>
    <w:basedOn w:val="Normln"/>
    <w:link w:val="ZkladntextChar"/>
    <w:uiPriority w:val="99"/>
    <w:rsid w:val="00DB2A2F"/>
    <w:pPr>
      <w:spacing w:after="120"/>
    </w:pPr>
    <w:rPr>
      <w:rFonts w:ascii="Times New Roman" w:hAnsi="Times New Roman"/>
    </w:rPr>
  </w:style>
  <w:style w:type="character" w:customStyle="1" w:styleId="ZkladntextChar">
    <w:name w:val="Základní text Char"/>
    <w:link w:val="Zkladntext"/>
    <w:uiPriority w:val="99"/>
    <w:locked/>
    <w:rsid w:val="00DB2A2F"/>
    <w:rPr>
      <w:lang w:val="cs-CZ" w:eastAsia="cs-CZ"/>
    </w:rPr>
  </w:style>
  <w:style w:type="paragraph" w:styleId="Odstavecseseznamem">
    <w:name w:val="List Paragraph"/>
    <w:basedOn w:val="Normln"/>
    <w:uiPriority w:val="34"/>
    <w:qFormat/>
    <w:rsid w:val="00283C91"/>
    <w:pPr>
      <w:spacing w:after="200" w:line="276" w:lineRule="auto"/>
      <w:ind w:left="720"/>
      <w:contextualSpacing/>
    </w:pPr>
    <w:rPr>
      <w:rFonts w:ascii="Calibri" w:hAnsi="Calibri"/>
      <w:sz w:val="22"/>
      <w:szCs w:val="22"/>
      <w:lang w:eastAsia="en-US"/>
    </w:rPr>
  </w:style>
  <w:style w:type="paragraph" w:customStyle="1" w:styleId="Norma">
    <w:name w:val="Norma"/>
    <w:basedOn w:val="Normln"/>
    <w:rsid w:val="00D64B89"/>
    <w:rPr>
      <w:rFonts w:ascii="FusionEE" w:eastAsia="FusionEE" w:hAnsi="FusionEE"/>
      <w:noProof/>
      <w:lang w:val="en-US" w:eastAsia="en-US"/>
    </w:rPr>
  </w:style>
  <w:style w:type="paragraph" w:customStyle="1" w:styleId="Zkladntext1">
    <w:name w:val="Základní text1"/>
    <w:basedOn w:val="Normln"/>
    <w:rsid w:val="00D64B89"/>
    <w:pPr>
      <w:widowControl w:val="0"/>
    </w:pPr>
    <w:rPr>
      <w:rFonts w:ascii="Verdana" w:hAnsi="Verdana"/>
      <w:color w:val="000000"/>
      <w:sz w:val="22"/>
      <w:lang w:val="en-US" w:eastAsia="en-US"/>
    </w:rPr>
  </w:style>
  <w:style w:type="paragraph" w:styleId="Zkladntextodsazen">
    <w:name w:val="Body Text Indent"/>
    <w:basedOn w:val="Normln"/>
    <w:link w:val="ZkladntextodsazenChar"/>
    <w:rsid w:val="00D64B89"/>
    <w:pPr>
      <w:spacing w:after="120"/>
      <w:ind w:left="283"/>
    </w:pPr>
    <w:rPr>
      <w:rFonts w:ascii="Times New Roman" w:hAnsi="Times New Roman"/>
      <w:sz w:val="24"/>
      <w:szCs w:val="24"/>
      <w:lang w:val="x-none" w:eastAsia="x-none"/>
    </w:rPr>
  </w:style>
  <w:style w:type="character" w:customStyle="1" w:styleId="ZkladntextodsazenChar">
    <w:name w:val="Základní text odsazený Char"/>
    <w:link w:val="Zkladntextodsazen"/>
    <w:rsid w:val="00D64B89"/>
    <w:rPr>
      <w:sz w:val="24"/>
      <w:szCs w:val="24"/>
      <w:lang w:val="x-none" w:eastAsia="x-none"/>
    </w:rPr>
  </w:style>
  <w:style w:type="paragraph" w:customStyle="1" w:styleId="Normodsaz">
    <w:name w:val="Norm.odsaz."/>
    <w:basedOn w:val="Normln"/>
    <w:rsid w:val="00D64B89"/>
    <w:pPr>
      <w:ind w:left="567" w:hanging="567"/>
      <w:jc w:val="both"/>
    </w:pPr>
    <w:rPr>
      <w:rFonts w:ascii="Times New Roman" w:hAnsi="Times New Roman"/>
      <w:sz w:val="24"/>
    </w:rPr>
  </w:style>
  <w:style w:type="paragraph" w:customStyle="1" w:styleId="Nzev1">
    <w:name w:val="Název1"/>
    <w:basedOn w:val="Normln"/>
    <w:rsid w:val="00D64B89"/>
    <w:pPr>
      <w:jc w:val="center"/>
    </w:pPr>
    <w:rPr>
      <w:rFonts w:ascii="Times New Roman" w:hAnsi="Times New Roman"/>
      <w:noProof/>
      <w:sz w:val="28"/>
      <w:lang w:val="en-US" w:eastAsia="en-US"/>
    </w:rPr>
  </w:style>
  <w:style w:type="paragraph" w:customStyle="1" w:styleId="Odsekzoznamu">
    <w:name w:val="Odsek zoznamu"/>
    <w:basedOn w:val="Normln"/>
    <w:uiPriority w:val="34"/>
    <w:qFormat/>
    <w:rsid w:val="00D64B89"/>
    <w:pPr>
      <w:spacing w:after="200" w:line="276" w:lineRule="auto"/>
      <w:ind w:left="720"/>
      <w:contextualSpacing/>
    </w:pPr>
    <w:rPr>
      <w:rFonts w:ascii="Calibri" w:eastAsia="Calibri" w:hAnsi="Calibri"/>
      <w:sz w:val="22"/>
      <w:szCs w:val="22"/>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139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3405</Words>
  <Characters>20094</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SUZ MV ČR</Company>
  <LinksUpToDate>false</LinksUpToDate>
  <CharactersWithSpaces>23453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Jiří Kot</dc:creator>
  <cp:keywords/>
  <cp:lastModifiedBy>Blanka Fojtíková, Mgr.</cp:lastModifiedBy>
  <cp:revision>2</cp:revision>
  <cp:lastPrinted>2016-08-08T10:22:00Z</cp:lastPrinted>
  <dcterms:created xsi:type="dcterms:W3CDTF">2016-08-17T12:43:00Z</dcterms:created>
  <dcterms:modified xsi:type="dcterms:W3CDTF">2016-08-17T12:43:00Z</dcterms:modified>
</cp:coreProperties>
</file>