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22" w:rsidRDefault="000845C9">
      <w:pPr>
        <w:spacing w:after="179" w:line="259" w:lineRule="auto"/>
        <w:ind w:left="0" w:right="7" w:firstLine="0"/>
        <w:jc w:val="center"/>
      </w:pPr>
      <w:r>
        <w:rPr>
          <w:b/>
          <w:sz w:val="24"/>
        </w:rPr>
        <w:t xml:space="preserve">KUPNÍ SMLOUVA  </w:t>
      </w:r>
    </w:p>
    <w:p w:rsidR="00350C22" w:rsidRDefault="000845C9">
      <w:pPr>
        <w:spacing w:after="0" w:line="259" w:lineRule="auto"/>
        <w:jc w:val="center"/>
      </w:pPr>
      <w:r>
        <w:t>uzavřená dle ustanovení § 1746 odst. 2 zákona</w:t>
      </w:r>
      <w:r>
        <w:t xml:space="preserve"> </w:t>
      </w:r>
    </w:p>
    <w:p w:rsidR="00350C22" w:rsidRDefault="000845C9">
      <w:pPr>
        <w:spacing w:after="0" w:line="259" w:lineRule="auto"/>
        <w:ind w:right="15"/>
        <w:jc w:val="center"/>
      </w:pPr>
      <w:r>
        <w:t>č. 89/2012 Sb., občanský zákoník, ve znění změn a doplňků</w:t>
      </w:r>
      <w:r>
        <w:t xml:space="preserve"> </w:t>
      </w:r>
    </w:p>
    <w:p w:rsidR="00350C22" w:rsidRDefault="000845C9">
      <w:pPr>
        <w:pStyle w:val="Nadpis1"/>
        <w:numPr>
          <w:ilvl w:val="0"/>
          <w:numId w:val="0"/>
        </w:numPr>
        <w:spacing w:after="0"/>
      </w:pPr>
      <w:r>
        <w:t xml:space="preserve">(kupní smlouva </w:t>
      </w:r>
      <w:r>
        <w:t xml:space="preserve">s </w:t>
      </w:r>
      <w:r>
        <w:t>postupným plněním</w:t>
      </w:r>
      <w:r>
        <w:t xml:space="preserve">) </w:t>
      </w:r>
    </w:p>
    <w:p w:rsidR="00350C22" w:rsidRDefault="000845C9">
      <w:pPr>
        <w:spacing w:after="82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350C22" w:rsidRDefault="000845C9">
      <w:pPr>
        <w:spacing w:after="191"/>
        <w:ind w:left="-5" w:right="0"/>
      </w:pPr>
      <w:r>
        <w:t xml:space="preserve">Číslo smlouvy </w:t>
      </w:r>
      <w:proofErr w:type="spellStart"/>
      <w:r>
        <w:t>Diasorin</w:t>
      </w:r>
      <w:proofErr w:type="spellEnd"/>
      <w:r>
        <w:t>: ……………….</w:t>
      </w:r>
      <w:r>
        <w:t xml:space="preserve"> </w:t>
      </w:r>
    </w:p>
    <w:p w:rsidR="00350C22" w:rsidRDefault="000845C9">
      <w:pPr>
        <w:spacing w:after="88"/>
        <w:ind w:left="-5" w:right="0"/>
      </w:pPr>
      <w:r>
        <w:t>Číslo smlouvy Zdravotní ústav se sídlem v</w:t>
      </w:r>
      <w:r>
        <w:t xml:space="preserve"> </w:t>
      </w:r>
      <w:r>
        <w:t xml:space="preserve">Ústí nad </w:t>
      </w:r>
      <w:proofErr w:type="gramStart"/>
      <w:r>
        <w:t>Labem:  SD</w:t>
      </w:r>
      <w:proofErr w:type="gramEnd"/>
      <w:r>
        <w:t>1900</w:t>
      </w:r>
      <w:r>
        <w:t xml:space="preserve">047 </w:t>
      </w:r>
    </w:p>
    <w:p w:rsidR="00350C22" w:rsidRDefault="000845C9">
      <w:pPr>
        <w:spacing w:after="4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50C22" w:rsidRDefault="000845C9">
      <w:pPr>
        <w:pStyle w:val="Nadpis1"/>
        <w:ind w:left="163" w:right="11" w:hanging="163"/>
      </w:pPr>
      <w:r>
        <w:t>Smluvní strany</w:t>
      </w:r>
      <w:r>
        <w:t xml:space="preserve"> </w:t>
      </w:r>
    </w:p>
    <w:p w:rsidR="00350C22" w:rsidRDefault="000845C9">
      <w:pPr>
        <w:numPr>
          <w:ilvl w:val="0"/>
          <w:numId w:val="1"/>
        </w:numPr>
        <w:spacing w:after="0" w:line="259" w:lineRule="auto"/>
        <w:ind w:right="0" w:hanging="360"/>
        <w:jc w:val="left"/>
      </w:pPr>
      <w:proofErr w:type="spellStart"/>
      <w:r>
        <w:rPr>
          <w:b/>
        </w:rPr>
        <w:t>DiaSorin</w:t>
      </w:r>
      <w:proofErr w:type="spellEnd"/>
      <w:r>
        <w:rPr>
          <w:b/>
        </w:rPr>
        <w:t xml:space="preserve"> Czech s.r.o. </w:t>
      </w:r>
    </w:p>
    <w:p w:rsidR="00350C22" w:rsidRDefault="000845C9">
      <w:pPr>
        <w:spacing w:after="2" w:line="259" w:lineRule="auto"/>
        <w:ind w:left="360" w:right="0" w:firstLine="0"/>
        <w:jc w:val="left"/>
      </w:pPr>
      <w:r>
        <w:t xml:space="preserve"> </w:t>
      </w:r>
    </w:p>
    <w:p w:rsidR="00350C22" w:rsidRDefault="000845C9">
      <w:pPr>
        <w:tabs>
          <w:tab w:val="center" w:pos="1221"/>
          <w:tab w:val="center" w:pos="2160"/>
          <w:tab w:val="center" w:pos="543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Se sídlem:</w:t>
      </w:r>
      <w:r>
        <w:t xml:space="preserve"> </w:t>
      </w:r>
      <w:r>
        <w:tab/>
        <w:t xml:space="preserve"> </w:t>
      </w:r>
      <w:r>
        <w:tab/>
      </w:r>
      <w:r>
        <w:t xml:space="preserve">K Hájům 2606/2b, PSČ 155 00, Praha </w:t>
      </w:r>
      <w:proofErr w:type="gramStart"/>
      <w:r>
        <w:t xml:space="preserve">5  </w:t>
      </w:r>
      <w:r>
        <w:t>-</w:t>
      </w:r>
      <w:proofErr w:type="gramEnd"/>
      <w:r>
        <w:t xml:space="preserve"> </w:t>
      </w:r>
      <w:r>
        <w:t>Stodůlky</w:t>
      </w:r>
      <w:r>
        <w:t xml:space="preserve"> </w:t>
      </w:r>
    </w:p>
    <w:p w:rsidR="00350C22" w:rsidRDefault="000845C9">
      <w:pPr>
        <w:tabs>
          <w:tab w:val="center" w:pos="1191"/>
          <w:tab w:val="center" w:pos="2160"/>
          <w:tab w:val="center" w:pos="475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Jednající:</w:t>
      </w:r>
      <w:r>
        <w:t xml:space="preserve"> </w:t>
      </w:r>
      <w:r>
        <w:tab/>
        <w:t xml:space="preserve"> </w:t>
      </w:r>
      <w:r>
        <w:tab/>
        <w:t xml:space="preserve">RNDr. </w:t>
      </w:r>
      <w:r>
        <w:t>Milan Šrot, jednatel</w:t>
      </w:r>
      <w:r>
        <w:t xml:space="preserve"> </w:t>
      </w:r>
      <w:r>
        <w:t>společnosti</w:t>
      </w:r>
      <w:r>
        <w:t xml:space="preserve"> </w:t>
      </w:r>
    </w:p>
    <w:p w:rsidR="00350C22" w:rsidRDefault="000845C9">
      <w:pPr>
        <w:ind w:left="730" w:right="0"/>
      </w:pPr>
      <w:r>
        <w:t xml:space="preserve">Společnost je zapsána v OR vedeném Městským soudem v Praze, </w:t>
      </w:r>
      <w:proofErr w:type="spellStart"/>
      <w:r>
        <w:t>odd.C</w:t>
      </w:r>
      <w:proofErr w:type="spellEnd"/>
      <w:r>
        <w:t xml:space="preserve">, </w:t>
      </w:r>
      <w:proofErr w:type="spellStart"/>
      <w:r>
        <w:t>vl</w:t>
      </w:r>
      <w:proofErr w:type="spellEnd"/>
      <w:r>
        <w:t>. 145925</w:t>
      </w:r>
      <w:r>
        <w:t xml:space="preserve"> </w:t>
      </w:r>
    </w:p>
    <w:tbl>
      <w:tblPr>
        <w:tblStyle w:val="TableGrid"/>
        <w:tblW w:w="5801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3640"/>
      </w:tblGrid>
      <w:tr w:rsidR="00350C22">
        <w:trPr>
          <w:trHeight w:val="21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350C22" w:rsidRDefault="000845C9">
            <w:pPr>
              <w:tabs>
                <w:tab w:val="center" w:pos="1440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IČO:  </w:t>
            </w:r>
            <w:r>
              <w:t xml:space="preserve"> </w:t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t xml:space="preserve">28497481 </w:t>
            </w:r>
          </w:p>
        </w:tc>
      </w:tr>
      <w:tr w:rsidR="00350C22">
        <w:trPr>
          <w:trHeight w:val="2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350C22" w:rsidRDefault="000845C9">
            <w:pPr>
              <w:tabs>
                <w:tab w:val="center" w:pos="1440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DIČ:  </w:t>
            </w:r>
            <w:r>
              <w:t xml:space="preserve"> </w:t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t xml:space="preserve">CZ28497481 </w:t>
            </w:r>
          </w:p>
        </w:tc>
      </w:tr>
      <w:tr w:rsidR="00350C22">
        <w:trPr>
          <w:trHeight w:val="23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t>Bank. spojení:</w:t>
            </w:r>
            <w:r>
              <w:t xml:space="preserve"> 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50C22" w:rsidRDefault="000845C9">
            <w:pPr>
              <w:spacing w:after="0" w:line="259" w:lineRule="auto"/>
              <w:ind w:left="0" w:right="0" w:firstLine="0"/>
            </w:pPr>
            <w:proofErr w:type="spellStart"/>
            <w:r>
              <w:t>Deutsche</w:t>
            </w:r>
            <w:proofErr w:type="spellEnd"/>
            <w:r>
              <w:t xml:space="preserve"> Bank AG, pobočka Praha, </w:t>
            </w:r>
            <w:r>
              <w:t xml:space="preserve"> </w:t>
            </w:r>
          </w:p>
        </w:tc>
      </w:tr>
      <w:tr w:rsidR="00350C22">
        <w:trPr>
          <w:trHeight w:val="21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350C22" w:rsidRDefault="000845C9">
            <w:pPr>
              <w:tabs>
                <w:tab w:val="center" w:pos="1440"/>
              </w:tabs>
              <w:spacing w:after="0" w:line="259" w:lineRule="auto"/>
              <w:ind w:left="0" w:right="0" w:firstLine="0"/>
              <w:jc w:val="left"/>
            </w:pPr>
            <w:r>
              <w:t>Číslo účtu: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č.ú</w:t>
            </w:r>
            <w:proofErr w:type="spellEnd"/>
            <w:r>
              <w:t>. 3150200001/7910</w:t>
            </w:r>
            <w:r>
              <w:t xml:space="preserve"> </w:t>
            </w:r>
          </w:p>
        </w:tc>
      </w:tr>
    </w:tbl>
    <w:p w:rsidR="00350C22" w:rsidRDefault="000845C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C22" w:rsidRDefault="000845C9">
      <w:pPr>
        <w:spacing w:line="343" w:lineRule="auto"/>
        <w:ind w:left="-15" w:right="5187" w:firstLine="720"/>
      </w:pPr>
      <w:r>
        <w:t>(dále též jen jako „prodávající“)</w:t>
      </w:r>
      <w:r>
        <w:t xml:space="preserve"> a </w:t>
      </w:r>
    </w:p>
    <w:p w:rsidR="00350C22" w:rsidRDefault="000845C9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350C22" w:rsidRDefault="000845C9">
      <w:pPr>
        <w:spacing w:after="1" w:line="259" w:lineRule="auto"/>
        <w:ind w:left="108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1"/>
        </w:numPr>
        <w:spacing w:after="105" w:line="259" w:lineRule="auto"/>
        <w:ind w:right="0" w:hanging="360"/>
        <w:jc w:val="left"/>
      </w:pPr>
      <w:r>
        <w:rPr>
          <w:b/>
        </w:rPr>
        <w:t xml:space="preserve">Zdravotní ústav se sídlem v Ústí nad Labem </w:t>
      </w:r>
      <w:r>
        <w:rPr>
          <w:b/>
        </w:rPr>
        <w:tab/>
        <w:t xml:space="preserve"> </w:t>
      </w:r>
    </w:p>
    <w:p w:rsidR="00350C22" w:rsidRDefault="000845C9">
      <w:pPr>
        <w:tabs>
          <w:tab w:val="center" w:pos="1221"/>
          <w:tab w:val="center" w:pos="4371"/>
        </w:tabs>
        <w:spacing w:after="11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Se </w:t>
      </w:r>
      <w:proofErr w:type="gramStart"/>
      <w:r>
        <w:t xml:space="preserve">sídlem: </w:t>
      </w:r>
      <w:r>
        <w:t xml:space="preserve"> </w:t>
      </w:r>
      <w:r>
        <w:tab/>
      </w:r>
      <w:proofErr w:type="gramEnd"/>
      <w:r>
        <w:t xml:space="preserve">Moskevská 1531/15, 400 01 Ústí nad Labem  </w:t>
      </w:r>
      <w:r>
        <w:t xml:space="preserve"> </w:t>
      </w:r>
    </w:p>
    <w:p w:rsidR="00350C22" w:rsidRDefault="000845C9">
      <w:pPr>
        <w:tabs>
          <w:tab w:val="center" w:pos="3098"/>
          <w:tab w:val="center" w:pos="576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Zastoupená: </w:t>
      </w:r>
      <w:r>
        <w:t xml:space="preserve"> Ing.</w:t>
      </w:r>
      <w:proofErr w:type="gramEnd"/>
      <w:r>
        <w:t xml:space="preserve"> </w:t>
      </w:r>
      <w:r>
        <w:t xml:space="preserve">Pavlem </w:t>
      </w:r>
      <w:proofErr w:type="spellStart"/>
      <w:r>
        <w:t>Bernáthem</w:t>
      </w:r>
      <w:proofErr w:type="spellEnd"/>
      <w:r>
        <w:t>, ředitelem</w:t>
      </w:r>
      <w:r>
        <w:t xml:space="preserve"> </w:t>
      </w:r>
      <w:r>
        <w:tab/>
        <w:t xml:space="preserve"> </w:t>
      </w:r>
    </w:p>
    <w:p w:rsidR="00350C22" w:rsidRDefault="000845C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C22" w:rsidRDefault="000845C9">
      <w:pPr>
        <w:spacing w:after="8" w:line="252" w:lineRule="auto"/>
        <w:ind w:left="715" w:right="4978"/>
      </w:pPr>
      <w:r>
        <w:t>IČO:</w:t>
      </w:r>
      <w:r>
        <w:t xml:space="preserve"> </w:t>
      </w:r>
      <w:r>
        <w:tab/>
        <w:t xml:space="preserve">71009361 </w:t>
      </w:r>
      <w:r>
        <w:tab/>
        <w:t xml:space="preserve"> </w:t>
      </w:r>
      <w:r>
        <w:tab/>
        <w:t xml:space="preserve"> </w:t>
      </w:r>
      <w:proofErr w:type="gramStart"/>
      <w:r>
        <w:t xml:space="preserve">DIČ: </w:t>
      </w:r>
      <w:r>
        <w:t xml:space="preserve"> CZ</w:t>
      </w:r>
      <w:proofErr w:type="gramEnd"/>
      <w:r>
        <w:t xml:space="preserve">71009361  </w:t>
      </w:r>
      <w:r>
        <w:tab/>
        <w:t xml:space="preserve"> </w:t>
      </w:r>
    </w:p>
    <w:p w:rsidR="00350C22" w:rsidRDefault="000845C9">
      <w:pPr>
        <w:tabs>
          <w:tab w:val="center" w:pos="1594"/>
          <w:tab w:val="center" w:pos="288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Bankovní spojení: </w:t>
      </w:r>
      <w:r>
        <w:t xml:space="preserve"> </w:t>
      </w:r>
      <w:r>
        <w:tab/>
        <w:t xml:space="preserve">  </w:t>
      </w:r>
    </w:p>
    <w:p w:rsidR="00350C22" w:rsidRDefault="000845C9">
      <w:pPr>
        <w:tabs>
          <w:tab w:val="center" w:pos="1050"/>
          <w:tab w:val="center" w:pos="2160"/>
          <w:tab w:val="center" w:pos="288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</w:t>
      </w:r>
      <w:r>
        <w:t>Číslo účtu: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350C22" w:rsidRDefault="000845C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350C22" w:rsidRDefault="000845C9">
      <w:pPr>
        <w:ind w:left="730" w:right="0"/>
      </w:pPr>
      <w:r>
        <w:t>(dále též jen jako „kupující“)</w:t>
      </w: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50C22" w:rsidRDefault="000845C9">
      <w:pPr>
        <w:spacing w:after="2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50C22" w:rsidRDefault="000845C9">
      <w:pPr>
        <w:pStyle w:val="Nadpis1"/>
        <w:ind w:left="228" w:right="9" w:hanging="228"/>
      </w:pPr>
      <w:r>
        <w:t>Předmět smlouvy</w:t>
      </w:r>
      <w:r>
        <w:t xml:space="preserve"> </w:t>
      </w:r>
    </w:p>
    <w:p w:rsidR="00350C22" w:rsidRDefault="000845C9">
      <w:pPr>
        <w:numPr>
          <w:ilvl w:val="0"/>
          <w:numId w:val="2"/>
        </w:numPr>
        <w:spacing w:after="53"/>
        <w:ind w:right="0" w:hanging="454"/>
      </w:pPr>
      <w:r>
        <w:t>Tato smlouva se uzavírá s</w:t>
      </w:r>
      <w:r>
        <w:t xml:space="preserve"> </w:t>
      </w:r>
      <w:r>
        <w:t xml:space="preserve">vybraným dodavatelem coby </w:t>
      </w:r>
      <w:r>
        <w:t>p</w:t>
      </w:r>
      <w:r>
        <w:t xml:space="preserve">rodávajícím, jehož nabídka </w:t>
      </w:r>
      <w:r>
        <w:t>byla vy</w:t>
      </w:r>
      <w:r>
        <w:t>brána jako nejvýhodnější k</w:t>
      </w:r>
      <w:r>
        <w:t xml:space="preserve"> </w:t>
      </w:r>
      <w:r>
        <w:t>nadlimitní veřejné zakázce na dodávky „</w:t>
      </w:r>
      <w:r>
        <w:t>ZUUL –</w:t>
      </w:r>
      <w:r>
        <w:t xml:space="preserve"> </w:t>
      </w:r>
      <w:r>
        <w:t>dodávka látek pro diagnostické metody 2019, druhá etapa, části číslo</w:t>
      </w:r>
      <w:r>
        <w:t xml:space="preserve"> 04. </w:t>
      </w:r>
      <w:r>
        <w:t xml:space="preserve">Předmětem této smlouvy je úprava podmínek dodávek </w:t>
      </w:r>
      <w:r>
        <w:rPr>
          <w:b/>
        </w:rPr>
        <w:t xml:space="preserve">diagnostických zdravotnických prostředků, </w:t>
      </w:r>
      <w:r>
        <w:t>které jsou podrobněji specifikovány v</w:t>
      </w:r>
      <w:r>
        <w:t xml:space="preserve"> </w:t>
      </w:r>
      <w:r>
        <w:t>příloze č.1 –</w:t>
      </w:r>
      <w:r>
        <w:t xml:space="preserve"> </w:t>
      </w:r>
      <w:r>
        <w:t xml:space="preserve">položkovém ceníku </w:t>
      </w:r>
      <w:r>
        <w:rPr>
          <w:b/>
        </w:rPr>
        <w:t xml:space="preserve">(dále též jen </w:t>
      </w:r>
      <w:r>
        <w:rPr>
          <w:b/>
        </w:rPr>
        <w:t>jako „zdravotnické prostředky“ nebo „zboží“)</w:t>
      </w:r>
      <w:r>
        <w:t xml:space="preserve"> </w:t>
      </w:r>
      <w:r>
        <w:t>prodávajícího kupujícímu.  Předpokládaný objem plnění (v množství ani finančním objemu ve výši nabídky do veřejné zakázky) nezakládá pro kupujícího povinnost odebrat a uhradit plnění v</w:t>
      </w:r>
      <w:r>
        <w:t xml:space="preserve"> </w:t>
      </w:r>
      <w:r>
        <w:t>celém rozsahu, hodnoty maj</w:t>
      </w:r>
      <w:r>
        <w:t xml:space="preserve">í pouze limitní charakter. </w:t>
      </w:r>
      <w:r>
        <w:t xml:space="preserve"> </w:t>
      </w:r>
    </w:p>
    <w:p w:rsidR="00350C22" w:rsidRDefault="000845C9">
      <w:pPr>
        <w:spacing w:after="79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2"/>
        </w:numPr>
        <w:spacing w:after="50"/>
        <w:ind w:right="0" w:hanging="454"/>
      </w:pPr>
      <w:r>
        <w:lastRenderedPageBreak/>
        <w:t xml:space="preserve">Prodávající se zavazuje na základě této smlouvy dodávat kupujícímu </w:t>
      </w:r>
      <w:r>
        <w:rPr>
          <w:b/>
        </w:rPr>
        <w:t xml:space="preserve">diagnostické zdravotnické prostředky </w:t>
      </w:r>
      <w:r>
        <w:t>do sídla kupujícího.</w:t>
      </w:r>
      <w:r>
        <w:rPr>
          <w:b/>
        </w:rPr>
        <w:t xml:space="preserve"> </w:t>
      </w:r>
      <w:r>
        <w:t xml:space="preserve">Jednotlivé dodávky zboží se budou </w:t>
      </w:r>
      <w:r>
        <w:t xml:space="preserve">uskutečňovat na základě dílčích žádanek, pro které platí podmínky této </w:t>
      </w:r>
      <w:r>
        <w:t>smlouvy, nedohodnou-</w:t>
      </w:r>
      <w:r>
        <w:t xml:space="preserve">li se strany v jednotlivých případech jinak. </w:t>
      </w:r>
      <w:r>
        <w:t xml:space="preserve"> </w:t>
      </w:r>
    </w:p>
    <w:p w:rsidR="00350C22" w:rsidRDefault="000845C9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2"/>
        </w:numPr>
        <w:spacing w:after="53"/>
        <w:ind w:right="0" w:hanging="454"/>
      </w:pPr>
      <w:r>
        <w:t>Kupující se zavazuje objednané zboží odebrat a zaplatit kupní cenu ve sjednané výši způsobem uvedeným dále v</w:t>
      </w:r>
      <w:r>
        <w:t xml:space="preserve"> </w:t>
      </w:r>
      <w:r>
        <w:t>této sm</w:t>
      </w:r>
      <w:r>
        <w:t>louvě.</w:t>
      </w:r>
      <w:r>
        <w:t xml:space="preserve"> </w:t>
      </w:r>
    </w:p>
    <w:p w:rsidR="00350C22" w:rsidRDefault="000845C9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2"/>
        </w:numPr>
        <w:spacing w:after="53"/>
        <w:ind w:right="0" w:hanging="454"/>
      </w:pPr>
      <w:r>
        <w:t>Podkladem pro jednotlivé dílčí dodávky zboží je vždy písemná žádanka</w:t>
      </w:r>
      <w:r>
        <w:t xml:space="preserve"> </w:t>
      </w:r>
      <w:r>
        <w:t>(zaslaná e</w:t>
      </w:r>
      <w:r>
        <w:t>mailem nebo p</w:t>
      </w:r>
      <w:r>
        <w:t>oštou) kupujícího s uvedením druhu, množství a místa dodání</w:t>
      </w:r>
      <w:r>
        <w:t xml:space="preserve"> na n</w:t>
      </w:r>
      <w:r>
        <w:t xml:space="preserve">íže </w:t>
      </w:r>
      <w:r>
        <w:t xml:space="preserve">uvedenou adresu. V </w:t>
      </w:r>
      <w:r>
        <w:t>nezbytných, ojedinělých a zdůvodněných</w:t>
      </w:r>
      <w:r>
        <w:t xml:space="preserve"> </w:t>
      </w:r>
      <w:r>
        <w:t>případec</w:t>
      </w:r>
      <w:r>
        <w:t>h je mo</w:t>
      </w:r>
      <w:r>
        <w:t>ž</w:t>
      </w:r>
      <w:r>
        <w:t xml:space="preserve">no </w:t>
      </w:r>
      <w:r>
        <w:t>uplatnit žádanku telefonem</w:t>
      </w:r>
      <w:r>
        <w:t xml:space="preserve"> s </w:t>
      </w:r>
      <w:r>
        <w:t>následným potvrzením písemnou formou.</w:t>
      </w:r>
      <w:r>
        <w:t xml:space="preserve"> </w:t>
      </w:r>
    </w:p>
    <w:p w:rsidR="00350C22" w:rsidRDefault="000845C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50C22" w:rsidRDefault="000845C9">
      <w:pPr>
        <w:spacing w:after="85"/>
        <w:ind w:left="-5" w:right="0"/>
      </w:pPr>
      <w:r>
        <w:t>Okamžikem obdržení objednávky se rozumí:</w:t>
      </w:r>
      <w:r>
        <w:t xml:space="preserve"> </w:t>
      </w:r>
    </w:p>
    <w:p w:rsidR="00350C22" w:rsidRDefault="000845C9">
      <w:pPr>
        <w:numPr>
          <w:ilvl w:val="1"/>
          <w:numId w:val="2"/>
        </w:numPr>
        <w:spacing w:line="250" w:lineRule="auto"/>
        <w:ind w:right="0" w:hanging="396"/>
        <w:jc w:val="left"/>
      </w:pPr>
      <w:r>
        <w:t xml:space="preserve">v </w:t>
      </w:r>
      <w:r>
        <w:t>případě písemné objednávky zaslané poštou (</w:t>
      </w:r>
      <w:proofErr w:type="spellStart"/>
      <w:r>
        <w:t>DiaSorin</w:t>
      </w:r>
      <w:proofErr w:type="spellEnd"/>
      <w:r>
        <w:t xml:space="preserve"> Czech s.r.o., 155 00 Praha 5) či</w:t>
      </w:r>
      <w:r>
        <w:t xml:space="preserve"> faxem (+420 235 311</w:t>
      </w:r>
      <w:r>
        <w:t xml:space="preserve"> </w:t>
      </w:r>
      <w:r>
        <w:t>902), okamžik doručení této písemné objednávky prodávajícímu,</w:t>
      </w:r>
      <w:r>
        <w:t xml:space="preserve"> </w:t>
      </w:r>
    </w:p>
    <w:p w:rsidR="00350C22" w:rsidRDefault="000845C9">
      <w:pPr>
        <w:numPr>
          <w:ilvl w:val="1"/>
          <w:numId w:val="2"/>
        </w:numPr>
        <w:spacing w:after="0" w:line="259" w:lineRule="auto"/>
        <w:ind w:right="0" w:hanging="396"/>
        <w:jc w:val="left"/>
      </w:pPr>
      <w:r>
        <w:t xml:space="preserve">v </w:t>
      </w:r>
      <w:r>
        <w:t xml:space="preserve">případě </w:t>
      </w:r>
      <w:r>
        <w:tab/>
        <w:t xml:space="preserve">objednávky </w:t>
      </w:r>
      <w:r>
        <w:tab/>
        <w:t xml:space="preserve">formou </w:t>
      </w:r>
      <w:r>
        <w:tab/>
        <w:t>e</w:t>
      </w:r>
      <w:r>
        <w:t>-</w:t>
      </w:r>
      <w:r>
        <w:t xml:space="preserve">mailové </w:t>
      </w:r>
      <w:r>
        <w:tab/>
        <w:t xml:space="preserve">zprávy </w:t>
      </w:r>
    </w:p>
    <w:p w:rsidR="00350C22" w:rsidRDefault="000845C9">
      <w:pPr>
        <w:ind w:left="1371" w:right="0"/>
      </w:pPr>
      <w:r>
        <w:t xml:space="preserve">(objednavkyCzechDiaSorin@dhl.com) </w:t>
      </w:r>
      <w:r>
        <w:t>okamžik doručení této e</w:t>
      </w:r>
      <w:r>
        <w:t>-</w:t>
      </w:r>
      <w:r>
        <w:t>mailové zprávy prodávajícímu,</w:t>
      </w:r>
      <w:r>
        <w:t xml:space="preserve"> </w:t>
      </w:r>
    </w:p>
    <w:p w:rsidR="00350C22" w:rsidRDefault="000845C9">
      <w:pPr>
        <w:numPr>
          <w:ilvl w:val="1"/>
          <w:numId w:val="2"/>
        </w:numPr>
        <w:spacing w:after="598"/>
        <w:ind w:right="0" w:hanging="396"/>
        <w:jc w:val="left"/>
      </w:pPr>
      <w:r>
        <w:t xml:space="preserve">v </w:t>
      </w:r>
      <w:r>
        <w:t>případě objednávky formou telefonního hovoru (+420</w:t>
      </w:r>
      <w:r>
        <w:t xml:space="preserve"> 722 466 715) </w:t>
      </w:r>
      <w:r>
        <w:t>okamžik předání zprávy prodávajícímu</w:t>
      </w:r>
      <w:r>
        <w:t xml:space="preserve">. </w:t>
      </w:r>
    </w:p>
    <w:p w:rsidR="00350C22" w:rsidRDefault="000845C9">
      <w:pPr>
        <w:pStyle w:val="Nadpis1"/>
        <w:ind w:left="290" w:right="13" w:hanging="290"/>
      </w:pPr>
      <w:r>
        <w:t>Cenová ujednání</w:t>
      </w:r>
      <w:r>
        <w:t xml:space="preserve"> </w:t>
      </w:r>
    </w:p>
    <w:p w:rsidR="00350C22" w:rsidRDefault="000845C9">
      <w:pPr>
        <w:numPr>
          <w:ilvl w:val="0"/>
          <w:numId w:val="3"/>
        </w:numPr>
        <w:spacing w:after="70"/>
        <w:ind w:right="0" w:hanging="454"/>
      </w:pPr>
      <w:r>
        <w:t xml:space="preserve">Kupní cena zboží platná ke dni uzavření této smlouvy </w:t>
      </w:r>
      <w:r>
        <w:t xml:space="preserve">je uvedena v </w:t>
      </w:r>
      <w:r>
        <w:t>příloze</w:t>
      </w:r>
      <w:r>
        <w:t xml:space="preserve"> </w:t>
      </w:r>
      <w:r>
        <w:t>této smlouvy</w:t>
      </w:r>
      <w:r>
        <w:t xml:space="preserve">, </w:t>
      </w:r>
      <w:r>
        <w:t>Celková kupní cena za dobu plnění je</w:t>
      </w:r>
      <w:r>
        <w:t xml:space="preserve"> dohodnuta, </w:t>
      </w:r>
      <w:r>
        <w:t xml:space="preserve">v souladu s </w:t>
      </w:r>
      <w:r>
        <w:t>nabídkou prodívajícího, ve výši:</w:t>
      </w:r>
      <w:r>
        <w:t xml:space="preserve"> </w:t>
      </w:r>
    </w:p>
    <w:p w:rsidR="00350C22" w:rsidRDefault="000845C9">
      <w:pPr>
        <w:tabs>
          <w:tab w:val="center" w:pos="1811"/>
          <w:tab w:val="center" w:pos="3601"/>
          <w:tab w:val="center" w:pos="4321"/>
          <w:tab w:val="center" w:pos="5693"/>
        </w:tabs>
        <w:spacing w:after="7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Celko</w:t>
      </w:r>
      <w:r>
        <w:t>vá cena bez DPH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4 613 402 Kč</w:t>
      </w:r>
      <w:r>
        <w:t xml:space="preserve"> </w:t>
      </w:r>
    </w:p>
    <w:p w:rsidR="00350C22" w:rsidRDefault="000845C9">
      <w:pPr>
        <w:tabs>
          <w:tab w:val="center" w:pos="454"/>
          <w:tab w:val="center" w:pos="720"/>
          <w:tab w:val="center" w:pos="1440"/>
          <w:tab w:val="center" w:pos="5173"/>
        </w:tabs>
        <w:spacing w:after="7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(slovy </w:t>
      </w:r>
      <w:proofErr w:type="spellStart"/>
      <w:r>
        <w:t>Čtyřimilionyšestsettřinácttisícčtyřistadvě</w:t>
      </w:r>
      <w:proofErr w:type="spellEnd"/>
      <w:r>
        <w:t xml:space="preserve"> koruny české)</w:t>
      </w:r>
      <w:r>
        <w:t xml:space="preserve"> </w:t>
      </w:r>
    </w:p>
    <w:p w:rsidR="00350C22" w:rsidRDefault="000845C9">
      <w:pPr>
        <w:tabs>
          <w:tab w:val="center" w:pos="1218"/>
          <w:tab w:val="center" w:pos="2160"/>
          <w:tab w:val="center" w:pos="2881"/>
          <w:tab w:val="center" w:pos="3601"/>
          <w:tab w:val="center" w:pos="4321"/>
          <w:tab w:val="center" w:pos="5696"/>
        </w:tabs>
        <w:spacing w:after="70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DPH 21 %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968 </w:t>
      </w:r>
      <w:r>
        <w:t>814 Kč</w:t>
      </w:r>
      <w:r>
        <w:t xml:space="preserve"> </w:t>
      </w:r>
    </w:p>
    <w:p w:rsidR="00350C22" w:rsidRDefault="000845C9">
      <w:pPr>
        <w:tabs>
          <w:tab w:val="center" w:pos="1676"/>
          <w:tab w:val="center" w:pos="3601"/>
          <w:tab w:val="center" w:pos="4321"/>
          <w:tab w:val="center" w:pos="5694"/>
        </w:tabs>
        <w:spacing w:after="5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Celkem </w:t>
      </w:r>
      <w:proofErr w:type="spellStart"/>
      <w:r>
        <w:t>včetbě</w:t>
      </w:r>
      <w:proofErr w:type="spellEnd"/>
      <w:r>
        <w:t xml:space="preserve"> </w:t>
      </w:r>
      <w:proofErr w:type="gramStart"/>
      <w:r>
        <w:t>DPH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>5 582 216 K</w:t>
      </w:r>
      <w:r>
        <w:t>č</w:t>
      </w:r>
      <w:r>
        <w:t xml:space="preserve"> </w:t>
      </w:r>
    </w:p>
    <w:p w:rsidR="00350C22" w:rsidRDefault="000845C9">
      <w:pPr>
        <w:spacing w:after="53"/>
        <w:ind w:left="464" w:right="0"/>
      </w:pPr>
      <w:r>
        <w:t>Kupní cena bude postupně</w:t>
      </w:r>
      <w:r>
        <w:t xml:space="preserve"> naplňována dílčími dodávkami a nebude jimi překročena, </w:t>
      </w:r>
      <w:r>
        <w:t xml:space="preserve">nebude-li v </w:t>
      </w:r>
      <w:r>
        <w:t>souladu se zákonem o zadávání veřejných zakázek číslo 134/2016 Sb. ve znění pozdějších předpisů dohodnuto jinak.</w:t>
      </w:r>
      <w:r>
        <w:t xml:space="preserve"> </w:t>
      </w:r>
    </w:p>
    <w:p w:rsidR="00350C22" w:rsidRDefault="000845C9">
      <w:pPr>
        <w:spacing w:after="79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3"/>
        </w:numPr>
        <w:spacing w:after="53"/>
        <w:ind w:right="0" w:hanging="454"/>
      </w:pPr>
      <w:r>
        <w:t>Cena za dílčí plnění se bude odvíjet od konkrétních žádanek</w:t>
      </w:r>
      <w:r>
        <w:t xml:space="preserve"> </w:t>
      </w:r>
      <w:r>
        <w:t>kupujícího</w:t>
      </w:r>
      <w:r>
        <w:t xml:space="preserve"> (</w:t>
      </w:r>
      <w:r>
        <w:t xml:space="preserve">množství a jednotkových </w:t>
      </w:r>
      <w:proofErr w:type="gramStart"/>
      <w:r>
        <w:t>cen</w:t>
      </w:r>
      <w:r>
        <w:t xml:space="preserve">)  </w:t>
      </w:r>
      <w:r>
        <w:t>kdy</w:t>
      </w:r>
      <w:proofErr w:type="gramEnd"/>
      <w:r>
        <w:t xml:space="preserve"> na základě této smlouvy bude prodávající postupně dodávat diagnostické přípravky pro činnost klinických laboratoří kupujícího dle jeho aktuální potřeb</w:t>
      </w:r>
      <w:r>
        <w:t>y.</w:t>
      </w:r>
      <w:r>
        <w:t xml:space="preserve"> </w:t>
      </w:r>
    </w:p>
    <w:p w:rsidR="00350C22" w:rsidRDefault="000845C9">
      <w:pPr>
        <w:spacing w:after="79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3"/>
        </w:numPr>
        <w:spacing w:after="89"/>
        <w:ind w:right="0" w:hanging="454"/>
      </w:pPr>
      <w:r>
        <w:t>Kupní cena zboží</w:t>
      </w:r>
      <w:r>
        <w:t xml:space="preserve"> </w:t>
      </w:r>
      <w:r>
        <w:t>zahrnuje cenu zboží, cenu dopravy do místa dodání včetně pojištění a celní poplatky</w:t>
      </w:r>
      <w:r>
        <w:t xml:space="preserve">. </w:t>
      </w:r>
      <w:r>
        <w:t xml:space="preserve">Kupující nebude poskytovat prodávajícímu žádné zálohy. </w:t>
      </w:r>
      <w:r>
        <w:t xml:space="preserve"> </w:t>
      </w:r>
    </w:p>
    <w:p w:rsidR="00350C22" w:rsidRDefault="000845C9">
      <w:pPr>
        <w:numPr>
          <w:ilvl w:val="0"/>
          <w:numId w:val="3"/>
        </w:numPr>
        <w:spacing w:after="88"/>
        <w:ind w:right="0" w:hanging="454"/>
      </w:pPr>
      <w:r>
        <w:t>Placení a fakturace:</w:t>
      </w:r>
      <w:r>
        <w:t xml:space="preserve"> </w:t>
      </w:r>
    </w:p>
    <w:p w:rsidR="00350C22" w:rsidRDefault="000845C9">
      <w:pPr>
        <w:numPr>
          <w:ilvl w:val="1"/>
          <w:numId w:val="3"/>
        </w:numPr>
        <w:spacing w:after="42"/>
        <w:ind w:right="1525" w:hanging="396"/>
        <w:jc w:val="left"/>
      </w:pPr>
      <w:r>
        <w:t>prodávající vystaví fakturu nejdříve v den dodání a převzetí zboží ku</w:t>
      </w:r>
      <w:r>
        <w:t>pujícím, faktura musí obsahovat:</w:t>
      </w:r>
      <w:r>
        <w:t xml:space="preserve"> </w:t>
      </w:r>
    </w:p>
    <w:p w:rsidR="00350C22" w:rsidRDefault="000845C9">
      <w:pPr>
        <w:tabs>
          <w:tab w:val="center" w:pos="1473"/>
          <w:tab w:val="center" w:pos="31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označení faktury a její číslo,</w:t>
      </w:r>
      <w:r>
        <w:t xml:space="preserve"> </w:t>
      </w:r>
    </w:p>
    <w:p w:rsidR="00350C22" w:rsidRDefault="000845C9">
      <w:pPr>
        <w:tabs>
          <w:tab w:val="center" w:pos="1473"/>
          <w:tab w:val="center" w:pos="37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název a sídlo prodávajícího a kupujícího,</w:t>
      </w:r>
      <w:r>
        <w:t xml:space="preserve"> </w:t>
      </w:r>
    </w:p>
    <w:p w:rsidR="00350C22" w:rsidRDefault="000845C9">
      <w:pPr>
        <w:tabs>
          <w:tab w:val="center" w:pos="1473"/>
          <w:tab w:val="center" w:pos="398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předmět plnění a datum</w:t>
      </w:r>
      <w:r>
        <w:t xml:space="preserve"> </w:t>
      </w:r>
      <w:r>
        <w:t>zdanitelného plnění,</w:t>
      </w:r>
      <w:r>
        <w:t xml:space="preserve"> </w:t>
      </w:r>
    </w:p>
    <w:p w:rsidR="00350C22" w:rsidRDefault="000845C9">
      <w:pPr>
        <w:tabs>
          <w:tab w:val="center" w:pos="1473"/>
          <w:tab w:val="center" w:pos="390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označení bankovního spojení prodávajícího,</w:t>
      </w:r>
      <w:r>
        <w:t xml:space="preserve"> </w:t>
      </w:r>
    </w:p>
    <w:p w:rsidR="00350C22" w:rsidRDefault="000845C9">
      <w:pPr>
        <w:spacing w:line="250" w:lineRule="auto"/>
        <w:ind w:left="1418" w:right="1873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udání ceny zboží, údaje o dani z</w:t>
      </w:r>
      <w:r>
        <w:t xml:space="preserve"> </w:t>
      </w:r>
      <w:r>
        <w:t>přidané hodnoty,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doplnění faktury textem „</w:t>
      </w:r>
      <w:r>
        <w:rPr>
          <w:b/>
        </w:rPr>
        <w:t>plnění k VZ dle SD1900047</w:t>
      </w:r>
      <w:r>
        <w:t>“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další údaje dle obecně závazných právních předpisů.</w:t>
      </w:r>
      <w:r>
        <w:t xml:space="preserve"> </w:t>
      </w:r>
    </w:p>
    <w:p w:rsidR="00350C22" w:rsidRDefault="000845C9">
      <w:pPr>
        <w:numPr>
          <w:ilvl w:val="1"/>
          <w:numId w:val="3"/>
        </w:numPr>
        <w:spacing w:line="250" w:lineRule="auto"/>
        <w:ind w:right="1525" w:hanging="396"/>
        <w:jc w:val="left"/>
      </w:pPr>
      <w:r>
        <w:t>kupující může do data splatnosti fakturu vrátit: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obsahuje-</w:t>
      </w:r>
      <w:r>
        <w:t>li nesprávné cenové údaje,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chyb</w:t>
      </w:r>
      <w:r>
        <w:t>í</w:t>
      </w:r>
      <w:r>
        <w:t>-</w:t>
      </w:r>
      <w:r>
        <w:t>li ve faktuře některá z náležitostí.</w:t>
      </w:r>
      <w:r>
        <w:t xml:space="preserve"> </w:t>
      </w:r>
    </w:p>
    <w:p w:rsidR="00350C22" w:rsidRDefault="000845C9">
      <w:pPr>
        <w:spacing w:after="0" w:line="259" w:lineRule="auto"/>
        <w:ind w:left="1058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1058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4"/>
        </w:numPr>
        <w:spacing w:after="141"/>
        <w:ind w:right="0" w:hanging="454"/>
      </w:pPr>
      <w:r>
        <w:t>Prodávající se zavazuje vystavit daňový doklad –</w:t>
      </w:r>
      <w:r>
        <w:t xml:space="preserve"> </w:t>
      </w:r>
      <w:r>
        <w:t>fakturu pro každé dílčí plnění nejpozději do 10 dnů po datu uskutečnění zdanitelného plnění (DUZP) a tuto fakt</w:t>
      </w:r>
      <w:r>
        <w:t xml:space="preserve">ury zaslat elektronicky na adresu faktury@zuusti.cz. </w:t>
      </w:r>
      <w:r>
        <w:t xml:space="preserve">Doba splatnosti jednotlivých faktur za jednotlivé dodávky je dohodnuta na </w:t>
      </w:r>
      <w:r>
        <w:t xml:space="preserve">30 </w:t>
      </w:r>
      <w:r>
        <w:t>dní od data prok</w:t>
      </w:r>
      <w:r>
        <w:t xml:space="preserve">azatelného doručení </w:t>
      </w:r>
      <w:r>
        <w:t xml:space="preserve">faktury </w:t>
      </w:r>
      <w:r>
        <w:t xml:space="preserve">kupujícímu. Faktury budou hrazeny bezhotovostně na účet prodávajícího uvedený </w:t>
      </w:r>
      <w:r>
        <w:t xml:space="preserve">v </w:t>
      </w:r>
      <w:r>
        <w:t>této smlouvě. V případě, že daňový doklad nebude mít odpovídající náležitosti, má kupující právo zaslat jej do lhůty splatnosti zpět prodávajícímu k</w:t>
      </w:r>
      <w:r>
        <w:t xml:space="preserve"> doplnění, aniž se tak dostane do prodlení se splatností. Důvody vrácení sdělí kupující prodávajícímu písemně,</w:t>
      </w:r>
      <w:r>
        <w:t xml:space="preserve"> </w:t>
      </w:r>
      <w:r>
        <w:t>zároveň s</w:t>
      </w:r>
      <w:r>
        <w:t xml:space="preserve"> </w:t>
      </w:r>
      <w:r>
        <w:t>vráceným daňovým dokladem. V závislosti na povaze závady je prodávající povinen daňový doklad včetně jeho příloh opravit nebo vyhotovit</w:t>
      </w:r>
      <w:r>
        <w:t xml:space="preserve"> nový. Lhůta splatnosti počíná běžet znovu od opětovného zaslání náležitě doplněného či opraveného </w:t>
      </w:r>
      <w:r>
        <w:t xml:space="preserve">dokladu. </w:t>
      </w:r>
    </w:p>
    <w:p w:rsidR="00350C22" w:rsidRDefault="000845C9">
      <w:pPr>
        <w:spacing w:after="78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4"/>
        </w:numPr>
        <w:spacing w:after="52"/>
        <w:ind w:right="0" w:hanging="454"/>
      </w:pPr>
      <w:r>
        <w:t xml:space="preserve">Datem </w:t>
      </w:r>
      <w:r>
        <w:t>dílčího zdanitelného plnění bude datum dodání zboží</w:t>
      </w:r>
      <w:r>
        <w:t xml:space="preserve">.  </w:t>
      </w:r>
    </w:p>
    <w:p w:rsidR="00350C22" w:rsidRDefault="000845C9">
      <w:pPr>
        <w:spacing w:after="41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4"/>
        </w:numPr>
        <w:spacing w:after="143"/>
        <w:ind w:right="0" w:hanging="454"/>
      </w:pPr>
      <w:r>
        <w:t>Vzhledem k čtyřleté době poskytování plnění si kupující vyhrazuje právo, uplatnit nárok na snížení jednotkových cen stanovených v</w:t>
      </w:r>
      <w:r>
        <w:t xml:space="preserve"> </w:t>
      </w:r>
      <w:r>
        <w:t>nabídce prodávajícího a příloze č. 1, pokud by prodávající v</w:t>
      </w:r>
      <w:r>
        <w:t xml:space="preserve"> </w:t>
      </w:r>
      <w:r>
        <w:t>průběhu plnění této smlouvy snížil běžně nabízené ceny pod úroveň</w:t>
      </w:r>
      <w:r>
        <w:t xml:space="preserve">    jednotkových cen v</w:t>
      </w:r>
      <w:r>
        <w:t xml:space="preserve"> </w:t>
      </w:r>
      <w:r>
        <w:t xml:space="preserve">příloze č. 1, a to minimálně na úroveň nových ceníkových položek.  </w:t>
      </w:r>
      <w:r>
        <w:t xml:space="preserve"> </w:t>
      </w:r>
    </w:p>
    <w:p w:rsidR="00350C22" w:rsidRDefault="000845C9">
      <w:pPr>
        <w:spacing w:after="644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pStyle w:val="Nadpis1"/>
        <w:spacing w:after="218"/>
        <w:ind w:left="278" w:right="9" w:hanging="278"/>
      </w:pPr>
      <w:r>
        <w:t>Dodací podmínky</w:t>
      </w:r>
      <w:r>
        <w:t xml:space="preserve"> </w:t>
      </w:r>
    </w:p>
    <w:p w:rsidR="00350C22" w:rsidRDefault="000845C9">
      <w:pPr>
        <w:numPr>
          <w:ilvl w:val="0"/>
          <w:numId w:val="5"/>
        </w:numPr>
        <w:ind w:right="0" w:hanging="271"/>
      </w:pPr>
      <w:r>
        <w:t>Míst</w:t>
      </w:r>
      <w:r>
        <w:t xml:space="preserve">a </w:t>
      </w:r>
      <w:r>
        <w:t>dodání zboží j</w:t>
      </w:r>
      <w:r>
        <w:t xml:space="preserve">sou stanovena v </w:t>
      </w:r>
      <w:r>
        <w:t>příloze č. 2 –</w:t>
      </w:r>
      <w:r>
        <w:t xml:space="preserve"> </w:t>
      </w:r>
      <w:r>
        <w:t xml:space="preserve">Lokality, kde bude plněno (viz příloha 6 zadávací dokumentace). Přesné místo plnění bude vždy </w:t>
      </w:r>
      <w:r>
        <w:t>uvedeno v</w:t>
      </w:r>
      <w:r>
        <w:t xml:space="preserve"> </w:t>
      </w:r>
      <w:r>
        <w:t xml:space="preserve">konkrétní objednávce kupujícího. </w:t>
      </w: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5"/>
        </w:numPr>
        <w:spacing w:after="657"/>
        <w:ind w:right="0" w:hanging="271"/>
      </w:pPr>
      <w:r>
        <w:t xml:space="preserve">Termín dodání: prodávající dodá zboží kupujícímu nejpozději do </w:t>
      </w:r>
      <w:r>
        <w:t xml:space="preserve">7 </w:t>
      </w:r>
      <w:r>
        <w:t>dnů po obdržení dílčí žádanky (platí pro reagencie). Povinnost prodávajícího dodat kupujícímu zboží dle konkrétní kupní smlouvy je splněna okamž</w:t>
      </w:r>
      <w:r>
        <w:t>ikem předání zboží kupujícímu. Kupující je povinen provést řádnou přejímku dodaného zboží a převzetí zboží prodávajícímu potvrdit na dodacím listu. Nebezpečí škody na zboží přechází v</w:t>
      </w:r>
      <w:r>
        <w:t xml:space="preserve"> </w:t>
      </w:r>
      <w:r>
        <w:t>takovém případě na kupujícího okamžikem, kdy mu prodávající umožní naklá</w:t>
      </w:r>
      <w:r>
        <w:t xml:space="preserve">dat se zbožím. </w:t>
      </w:r>
      <w:r>
        <w:t xml:space="preserve"> </w:t>
      </w:r>
    </w:p>
    <w:p w:rsidR="00350C22" w:rsidRDefault="000845C9">
      <w:pPr>
        <w:pStyle w:val="Nadpis1"/>
        <w:ind w:left="214" w:right="11" w:hanging="214"/>
      </w:pPr>
      <w:r>
        <w:t>Záruky</w:t>
      </w:r>
      <w:r>
        <w:t xml:space="preserve"> </w:t>
      </w:r>
    </w:p>
    <w:p w:rsidR="00350C22" w:rsidRDefault="000845C9">
      <w:pPr>
        <w:numPr>
          <w:ilvl w:val="0"/>
          <w:numId w:val="6"/>
        </w:numPr>
        <w:spacing w:after="52"/>
        <w:ind w:right="0" w:hanging="454"/>
      </w:pPr>
      <w:r>
        <w:t>Prodávající je povinen dodat zboží v</w:t>
      </w:r>
      <w:r>
        <w:t xml:space="preserve"> </w:t>
      </w:r>
      <w:r>
        <w:t>množství, jakosti a provedení podle této smlouvy a konkrétních kupních smluv.</w:t>
      </w:r>
      <w:r>
        <w:t xml:space="preserve"> </w:t>
      </w:r>
    </w:p>
    <w:p w:rsidR="00350C22" w:rsidRDefault="000845C9">
      <w:pPr>
        <w:spacing w:after="79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6"/>
        </w:numPr>
        <w:spacing w:after="50"/>
        <w:ind w:right="0" w:hanging="454"/>
      </w:pPr>
      <w:r>
        <w:t>Vady jakosti zjistitelné kupujícím při přejímce zboží a vady množství zboží je nutno reklamovat okamžitě při převzetí zboží, jinak nároky z</w:t>
      </w:r>
      <w:r>
        <w:t xml:space="preserve"> </w:t>
      </w:r>
      <w:r>
        <w:t>odpovědnosti za vady nevznikají.</w:t>
      </w:r>
      <w:r>
        <w:t xml:space="preserve"> </w:t>
      </w:r>
    </w:p>
    <w:p w:rsidR="00350C22" w:rsidRDefault="000845C9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6"/>
        </w:numPr>
        <w:spacing w:after="50"/>
        <w:ind w:right="0" w:hanging="454"/>
      </w:pPr>
      <w:r>
        <w:lastRenderedPageBreak/>
        <w:t>Prodávající se zavazuje dodávat kupujícímu zboží, do</w:t>
      </w:r>
      <w:r>
        <w:t xml:space="preserve"> </w:t>
      </w:r>
      <w:proofErr w:type="gramStart"/>
      <w:r>
        <w:t>konce</w:t>
      </w:r>
      <w:proofErr w:type="gramEnd"/>
      <w:r>
        <w:t xml:space="preserve"> jehož doby minimální </w:t>
      </w:r>
      <w:r>
        <w:t>trvanlivosti (expirační doby) zbývají ke dni dodání zboží minimálně tři měsíce. Zboží, u něhož bude ke dni jeho dodání kupujícímu zbývat do konce expirační doby méně než tři měsíce, může být dodáno pouze po předchozí dohodě a s</w:t>
      </w:r>
      <w:r>
        <w:t xml:space="preserve"> </w:t>
      </w:r>
      <w:r>
        <w:t>výslovným souhlasem odpovědn</w:t>
      </w:r>
      <w:r>
        <w:t>ého zaměstnance kupujícího. Ujednání tohoto odstavce neplatí pro zboží, jehož celková expirační doba je kratší než čtyři měsíce.</w:t>
      </w:r>
      <w:r>
        <w:t xml:space="preserve"> </w:t>
      </w:r>
    </w:p>
    <w:p w:rsidR="00350C22" w:rsidRDefault="000845C9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6"/>
        </w:numPr>
        <w:spacing w:after="53"/>
        <w:ind w:right="0" w:hanging="454"/>
      </w:pPr>
      <w:r>
        <w:t>Za předpokladu, že kupující splnil své závazky vyplývající z</w:t>
      </w:r>
      <w:r>
        <w:t xml:space="preserve"> </w:t>
      </w:r>
      <w:r>
        <w:t>této smlouvy, poskytuje prodávající kupujícímu záruku za jakost</w:t>
      </w:r>
      <w:r>
        <w:t xml:space="preserve"> v</w:t>
      </w:r>
      <w:r>
        <w:t xml:space="preserve"> </w:t>
      </w:r>
      <w:r>
        <w:t>délce expirační doby uvedené na zboží.</w:t>
      </w:r>
      <w:r>
        <w:t xml:space="preserve"> </w:t>
      </w:r>
    </w:p>
    <w:p w:rsidR="00350C22" w:rsidRDefault="000845C9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6"/>
        </w:numPr>
        <w:spacing w:after="53"/>
        <w:ind w:right="0" w:hanging="454"/>
      </w:pPr>
      <w:r>
        <w:t xml:space="preserve">Nároky z odpovědnosti za vady zboží uplatňuje kupující u prodávajícího písemně reklamačním listem. V reklamačním listě musí být uveden popis vady a jejích projevů a druh nároku kupujícího plynoucí z vad zboží (viz níže). Nároky z odpovědnosti za vady </w:t>
      </w:r>
      <w:r>
        <w:t>je ku</w:t>
      </w:r>
      <w:r>
        <w:t>pující povinen uplatnit bez zbytečného odkladu poté, co kupující vady zjistí.</w:t>
      </w:r>
      <w:r>
        <w:t xml:space="preserve"> </w:t>
      </w:r>
    </w:p>
    <w:p w:rsidR="00350C22" w:rsidRDefault="000845C9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6"/>
        </w:numPr>
        <w:spacing w:after="87"/>
        <w:ind w:right="0" w:hanging="454"/>
      </w:pPr>
      <w:r>
        <w:t>Jestliže má dodané zboží vady, může kupující podle své volby požadovat:</w:t>
      </w:r>
      <w:r>
        <w:t xml:space="preserve"> </w:t>
      </w:r>
    </w:p>
    <w:p w:rsidR="00350C22" w:rsidRDefault="000845C9">
      <w:pPr>
        <w:numPr>
          <w:ilvl w:val="1"/>
          <w:numId w:val="6"/>
        </w:numPr>
        <w:ind w:right="0" w:hanging="396"/>
      </w:pPr>
      <w:r>
        <w:t>jde-</w:t>
      </w:r>
      <w:r>
        <w:t>li o vady provedení a jakosti –</w:t>
      </w:r>
      <w:r>
        <w:t xml:space="preserve"> </w:t>
      </w:r>
      <w:r>
        <w:t>dodání náhradního zboží za zboží vadné, vadné zboží je povinen vrá</w:t>
      </w:r>
      <w:r>
        <w:t>tit</w:t>
      </w:r>
      <w:r>
        <w:t xml:space="preserve">, </w:t>
      </w:r>
    </w:p>
    <w:p w:rsidR="00350C22" w:rsidRDefault="000845C9">
      <w:pPr>
        <w:numPr>
          <w:ilvl w:val="1"/>
          <w:numId w:val="6"/>
        </w:numPr>
        <w:ind w:right="0" w:hanging="396"/>
      </w:pPr>
      <w:r>
        <w:t>jde-</w:t>
      </w:r>
      <w:r>
        <w:t>li o vady množství –</w:t>
      </w:r>
      <w:r>
        <w:t xml:space="preserve"> </w:t>
      </w:r>
      <w:r>
        <w:t>dodání chybějícího množství,</w:t>
      </w:r>
      <w:r>
        <w:t xml:space="preserve"> </w:t>
      </w:r>
    </w:p>
    <w:p w:rsidR="00350C22" w:rsidRDefault="000845C9">
      <w:pPr>
        <w:numPr>
          <w:ilvl w:val="1"/>
          <w:numId w:val="6"/>
        </w:numPr>
        <w:ind w:right="0" w:hanging="396"/>
      </w:pPr>
      <w:r>
        <w:t>jde-</w:t>
      </w:r>
      <w:r>
        <w:t>li o vady právní –</w:t>
      </w:r>
      <w:r>
        <w:t xml:space="preserve"> </w:t>
      </w:r>
      <w:r>
        <w:t>odstranění těchto vad,</w:t>
      </w:r>
      <w:r>
        <w:t xml:space="preserve"> </w:t>
      </w:r>
    </w:p>
    <w:p w:rsidR="00350C22" w:rsidRDefault="000845C9">
      <w:pPr>
        <w:numPr>
          <w:ilvl w:val="1"/>
          <w:numId w:val="6"/>
        </w:numPr>
        <w:ind w:right="0" w:hanging="396"/>
      </w:pPr>
      <w:r>
        <w:t>nebo přiměřenou slevu z</w:t>
      </w:r>
      <w:r>
        <w:t xml:space="preserve"> </w:t>
      </w:r>
      <w:r>
        <w:t>kupní ceny.</w:t>
      </w:r>
      <w:r>
        <w:t xml:space="preserve"> </w:t>
      </w:r>
    </w:p>
    <w:p w:rsidR="00350C22" w:rsidRDefault="000845C9">
      <w:pPr>
        <w:spacing w:after="588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pStyle w:val="Nadpis1"/>
        <w:ind w:left="278" w:right="12" w:hanging="278"/>
      </w:pPr>
      <w:r>
        <w:t>Doba trvání</w:t>
      </w:r>
      <w:r>
        <w:t xml:space="preserve"> </w:t>
      </w:r>
    </w:p>
    <w:p w:rsidR="00350C22" w:rsidRDefault="000845C9">
      <w:pPr>
        <w:numPr>
          <w:ilvl w:val="0"/>
          <w:numId w:val="7"/>
        </w:numPr>
        <w:spacing w:after="90"/>
        <w:ind w:right="0" w:hanging="454"/>
      </w:pPr>
      <w:r>
        <w:t>Tato Smlouva nabude účinnosti uveřejněním v</w:t>
      </w:r>
      <w:r>
        <w:t xml:space="preserve"> </w:t>
      </w:r>
      <w:r>
        <w:t>informačním systému registru smluv zřízeném podle zákona 340/2015 Sb. ve znění pozdějších předpisů</w:t>
      </w:r>
      <w:r>
        <w:t xml:space="preserve">. </w:t>
      </w:r>
    </w:p>
    <w:p w:rsidR="00350C22" w:rsidRDefault="000845C9">
      <w:pPr>
        <w:numPr>
          <w:ilvl w:val="0"/>
          <w:numId w:val="7"/>
        </w:numPr>
        <w:spacing w:after="87"/>
        <w:ind w:right="0" w:hanging="454"/>
      </w:pPr>
      <w:r>
        <w:t xml:space="preserve">Tato smlouva </w:t>
      </w:r>
      <w:r>
        <w:t xml:space="preserve">je uzavírána na dobu určitou 48 měsíců od prvního dne měsíce následujícího po nabytí účinnosti, nebo do naplnění kupní ceny dílčími </w:t>
      </w:r>
      <w:proofErr w:type="gramStart"/>
      <w:r>
        <w:t>plněními</w:t>
      </w:r>
      <w:proofErr w:type="gramEnd"/>
      <w:r>
        <w:t xml:space="preserve"> a</w:t>
      </w:r>
      <w:r>
        <w:t xml:space="preserve"> to do toho dne, který nastane dříve. </w:t>
      </w:r>
      <w:r>
        <w:t xml:space="preserve"> </w:t>
      </w:r>
    </w:p>
    <w:p w:rsidR="00350C22" w:rsidRDefault="000845C9">
      <w:pPr>
        <w:numPr>
          <w:ilvl w:val="0"/>
          <w:numId w:val="7"/>
        </w:numPr>
        <w:spacing w:after="660" w:line="250" w:lineRule="auto"/>
        <w:ind w:right="0" w:hanging="454"/>
      </w:pPr>
      <w:r>
        <w:t>Obě smluvní strany berou na vědomí a souhlasí s tím, že kupující uveřejní metadata k této smlouvě a textový obsah smlouvy v informačním systému registru smluv zřízeném podle zákona 340/2015 Sb. ve znění pozdějších př</w:t>
      </w:r>
      <w:r>
        <w:t>edpisů bez zbytečného odkladu po podpisu smlouvy. O zveřejnění bude prodávající vyrozuměn.</w:t>
      </w:r>
      <w:r>
        <w:t xml:space="preserve"> </w:t>
      </w:r>
    </w:p>
    <w:p w:rsidR="00350C22" w:rsidRDefault="000845C9">
      <w:pPr>
        <w:pStyle w:val="Nadpis1"/>
        <w:spacing w:after="219"/>
        <w:ind w:left="343" w:right="12" w:hanging="343"/>
      </w:pPr>
      <w:r>
        <w:t>Ukončení</w:t>
      </w:r>
      <w:r>
        <w:t xml:space="preserve"> </w:t>
      </w:r>
    </w:p>
    <w:p w:rsidR="00350C22" w:rsidRDefault="000845C9">
      <w:pPr>
        <w:spacing w:after="76" w:line="259" w:lineRule="auto"/>
        <w:ind w:left="454" w:right="0" w:firstLine="0"/>
        <w:jc w:val="left"/>
      </w:pPr>
      <w:r>
        <w:t xml:space="preserve">    </w:t>
      </w:r>
    </w:p>
    <w:p w:rsidR="00350C22" w:rsidRDefault="000845C9">
      <w:pPr>
        <w:numPr>
          <w:ilvl w:val="0"/>
          <w:numId w:val="8"/>
        </w:numPr>
        <w:spacing w:after="90"/>
        <w:ind w:right="0" w:hanging="454"/>
      </w:pPr>
      <w:r>
        <w:t>Prodávající může od této smlouvy odstoupit v</w:t>
      </w:r>
      <w:r>
        <w:t xml:space="preserve"> </w:t>
      </w:r>
      <w:r>
        <w:t xml:space="preserve">případě, že kupující </w:t>
      </w:r>
      <w:r>
        <w:t xml:space="preserve">bude v </w:t>
      </w:r>
      <w:r>
        <w:t xml:space="preserve">prodlení </w:t>
      </w:r>
      <w:r>
        <w:t xml:space="preserve">s </w:t>
      </w:r>
      <w:r>
        <w:t>úhradou kupní ceny o více jak 30 dnů a nezjedná nápravu do 30 dnů</w:t>
      </w:r>
      <w:r>
        <w:t xml:space="preserve"> po obdržení písemného upozornění.  </w:t>
      </w:r>
      <w:r>
        <w:rPr>
          <w:b/>
        </w:rPr>
        <w:t xml:space="preserve"> </w:t>
      </w:r>
    </w:p>
    <w:p w:rsidR="00350C22" w:rsidRDefault="000845C9">
      <w:pPr>
        <w:numPr>
          <w:ilvl w:val="0"/>
          <w:numId w:val="8"/>
        </w:numPr>
        <w:spacing w:after="90"/>
        <w:ind w:right="0" w:hanging="454"/>
      </w:pPr>
      <w:r>
        <w:t>Kupující může od této smlouvy odstoupit ze zákonných důvodů a dále v</w:t>
      </w:r>
      <w:r>
        <w:t xml:space="preserve"> </w:t>
      </w:r>
      <w:r>
        <w:t xml:space="preserve">případě, že prodávající opakovaně poruší podmínky plnění předmětné veřejné zakázky, nebo </w:t>
      </w:r>
      <w:r>
        <w:t xml:space="preserve">v </w:t>
      </w:r>
      <w:r>
        <w:t>případě, kdy prodávající uvedl v</w:t>
      </w:r>
      <w:r>
        <w:t xml:space="preserve"> </w:t>
      </w:r>
      <w:r>
        <w:t>nabídce informace nebo do</w:t>
      </w:r>
      <w:r>
        <w:t xml:space="preserve">klady, které neodpovídají skutečnosti. </w:t>
      </w:r>
      <w:r>
        <w:rPr>
          <w:b/>
        </w:rPr>
        <w:t xml:space="preserve"> </w:t>
      </w:r>
    </w:p>
    <w:p w:rsidR="00350C22" w:rsidRDefault="000845C9">
      <w:pPr>
        <w:numPr>
          <w:ilvl w:val="0"/>
          <w:numId w:val="8"/>
        </w:numPr>
        <w:spacing w:after="663"/>
        <w:ind w:right="0" w:hanging="454"/>
      </w:pPr>
      <w:r>
        <w:t xml:space="preserve">Smluvní strany mohou dále ukončit tuto smlouvu kdykoliv oboustrannou dohodou, a </w:t>
      </w:r>
      <w:r>
        <w:t xml:space="preserve">to z </w:t>
      </w:r>
      <w:r>
        <w:t>důvodů a za podmínek v</w:t>
      </w:r>
      <w:r>
        <w:t xml:space="preserve"> </w:t>
      </w:r>
      <w:r>
        <w:t xml:space="preserve">dohodě sjednaných. </w:t>
      </w:r>
      <w:r>
        <w:rPr>
          <w:b/>
        </w:rPr>
        <w:t xml:space="preserve"> </w:t>
      </w:r>
    </w:p>
    <w:p w:rsidR="00350C22" w:rsidRDefault="000845C9">
      <w:pPr>
        <w:pStyle w:val="Nadpis1"/>
        <w:spacing w:after="259" w:line="259" w:lineRule="auto"/>
        <w:ind w:left="406" w:right="11" w:hanging="406"/>
      </w:pPr>
      <w:r>
        <w:lastRenderedPageBreak/>
        <w:t xml:space="preserve">Sankce </w:t>
      </w:r>
    </w:p>
    <w:p w:rsidR="00350C22" w:rsidRDefault="000845C9">
      <w:pPr>
        <w:numPr>
          <w:ilvl w:val="0"/>
          <w:numId w:val="9"/>
        </w:numPr>
        <w:spacing w:after="90"/>
        <w:ind w:right="0" w:hanging="454"/>
      </w:pPr>
      <w:r>
        <w:t xml:space="preserve">V </w:t>
      </w:r>
      <w:r>
        <w:t xml:space="preserve">případě, že </w:t>
      </w:r>
      <w:r>
        <w:t xml:space="preserve">se </w:t>
      </w:r>
      <w:r>
        <w:t>kupující dostane do prodlení s</w:t>
      </w:r>
      <w:r>
        <w:t xml:space="preserve"> </w:t>
      </w:r>
      <w:r>
        <w:t xml:space="preserve">úhradou </w:t>
      </w:r>
      <w:r>
        <w:t xml:space="preserve">faktury, </w:t>
      </w:r>
      <w:r>
        <w:t>má prodávající právo požadovat zákonný úrok z</w:t>
      </w:r>
      <w:r>
        <w:t xml:space="preserve"> </w:t>
      </w:r>
      <w:r>
        <w:t>prodlení ve výši</w:t>
      </w:r>
      <w:r>
        <w:t xml:space="preserve"> </w:t>
      </w:r>
      <w:r>
        <w:t xml:space="preserve">stanovené v §2 nařízení vlády č. 351/2013 </w:t>
      </w:r>
      <w:r>
        <w:t xml:space="preserve">Sb.   </w:t>
      </w:r>
    </w:p>
    <w:p w:rsidR="00350C22" w:rsidRDefault="000845C9">
      <w:pPr>
        <w:numPr>
          <w:ilvl w:val="0"/>
          <w:numId w:val="9"/>
        </w:numPr>
        <w:spacing w:after="69"/>
        <w:ind w:right="0" w:hanging="454"/>
      </w:pPr>
      <w:r>
        <w:t xml:space="preserve">V </w:t>
      </w:r>
      <w:r>
        <w:t>případě, že prodávající poruší jakoukoliv povinnost dle této smlouvy, je kupující oprávněn požadovat úhradu smluvní pokuty ve výši 500,</w:t>
      </w:r>
      <w:r>
        <w:t xml:space="preserve">- </w:t>
      </w:r>
      <w:r>
        <w:t>Kč za</w:t>
      </w:r>
      <w:r>
        <w:t xml:space="preserve"> každé jednotlivé</w:t>
      </w:r>
      <w:r>
        <w:t xml:space="preserve"> </w:t>
      </w:r>
      <w:r>
        <w:t xml:space="preserve">porušení. </w:t>
      </w:r>
      <w:r>
        <w:t xml:space="preserve"> </w:t>
      </w:r>
    </w:p>
    <w:p w:rsidR="00350C22" w:rsidRDefault="000845C9">
      <w:pPr>
        <w:numPr>
          <w:ilvl w:val="0"/>
          <w:numId w:val="9"/>
        </w:numPr>
        <w:spacing w:after="658"/>
        <w:ind w:right="0" w:hanging="454"/>
      </w:pPr>
      <w:r>
        <w:t>Splatnost smluvní pokuty a úroku z</w:t>
      </w:r>
      <w:r>
        <w:t xml:space="preserve"> </w:t>
      </w:r>
      <w:r>
        <w:t xml:space="preserve">prodlení se sjednává na 15 dnů od vyúčtování. </w:t>
      </w:r>
      <w:r>
        <w:t xml:space="preserve">V souladu s </w:t>
      </w:r>
      <w:r>
        <w:t>ustanovením §3 nařízení vlády 351/2013 Sb. se dále sjednává úhrada nákladů spojených s</w:t>
      </w:r>
      <w:r>
        <w:t xml:space="preserve"> </w:t>
      </w:r>
      <w:r>
        <w:t xml:space="preserve">vymáháním každé splatné pohledávky ve výši </w:t>
      </w:r>
      <w:proofErr w:type="gramStart"/>
      <w:r>
        <w:t>1.5</w:t>
      </w:r>
      <w:r>
        <w:t>00,</w:t>
      </w:r>
      <w:r>
        <w:t>-</w:t>
      </w:r>
      <w:proofErr w:type="gramEnd"/>
      <w:r>
        <w:t xml:space="preserve"> </w:t>
      </w:r>
      <w:r>
        <w:t xml:space="preserve">Kč. </w:t>
      </w:r>
      <w:r>
        <w:t xml:space="preserve"> </w:t>
      </w:r>
    </w:p>
    <w:p w:rsidR="00350C22" w:rsidRDefault="000845C9">
      <w:pPr>
        <w:pStyle w:val="Nadpis1"/>
        <w:spacing w:after="355"/>
        <w:ind w:left="288" w:right="9" w:hanging="288"/>
      </w:pPr>
      <w:r>
        <w:t>Všeobecná ujednání</w:t>
      </w:r>
      <w:r>
        <w:t xml:space="preserve"> </w:t>
      </w:r>
    </w:p>
    <w:p w:rsidR="00350C22" w:rsidRDefault="000845C9">
      <w:pPr>
        <w:numPr>
          <w:ilvl w:val="0"/>
          <w:numId w:val="10"/>
        </w:numPr>
        <w:spacing w:after="128"/>
        <w:ind w:right="0" w:hanging="720"/>
      </w:pPr>
      <w:r>
        <w:t>Osoby oprávněné jednat ve věcech plnění této Smlouvy za Kupujícího:</w:t>
      </w:r>
      <w:r>
        <w:t xml:space="preserve"> </w:t>
      </w:r>
    </w:p>
    <w:p w:rsidR="00350C22" w:rsidRDefault="000845C9">
      <w:pPr>
        <w:numPr>
          <w:ilvl w:val="1"/>
          <w:numId w:val="10"/>
        </w:numPr>
        <w:spacing w:after="147"/>
        <w:ind w:right="0" w:hanging="360"/>
      </w:pPr>
      <w:r>
        <w:t>Ve věcech plnění k</w:t>
      </w:r>
      <w:r>
        <w:t xml:space="preserve"> </w:t>
      </w:r>
      <w:r>
        <w:t xml:space="preserve">veřejné zakázce a věcech smluvních: </w:t>
      </w:r>
      <w:r>
        <w:t xml:space="preserve"> </w:t>
      </w:r>
    </w:p>
    <w:p w:rsidR="00350C22" w:rsidRDefault="000845C9" w:rsidP="000845C9">
      <w:pPr>
        <w:numPr>
          <w:ilvl w:val="2"/>
          <w:numId w:val="10"/>
        </w:numPr>
        <w:spacing w:after="37"/>
        <w:ind w:right="519" w:firstLine="720"/>
      </w:pPr>
      <w:r>
        <w:t xml:space="preserve">Ing. Josef </w:t>
      </w:r>
      <w:proofErr w:type="gramStart"/>
      <w:r>
        <w:t xml:space="preserve">Staněk,   </w:t>
      </w:r>
      <w:proofErr w:type="gramEnd"/>
      <w:r>
        <w:t>telefon: +……………………….</w:t>
      </w:r>
    </w:p>
    <w:p w:rsidR="00350C22" w:rsidRDefault="000845C9">
      <w:pPr>
        <w:numPr>
          <w:ilvl w:val="1"/>
          <w:numId w:val="10"/>
        </w:numPr>
        <w:spacing w:line="308" w:lineRule="auto"/>
        <w:ind w:right="0" w:hanging="360"/>
      </w:pPr>
      <w:r>
        <w:t>v</w:t>
      </w:r>
      <w:r>
        <w:t>e věcech provozních a technických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Ing. Ivana Stiborová, </w:t>
      </w:r>
      <w:proofErr w:type="gramStart"/>
      <w:r>
        <w:t>PhD,  telefon</w:t>
      </w:r>
      <w:proofErr w:type="gramEnd"/>
      <w:r>
        <w:t>: ……………………</w:t>
      </w:r>
    </w:p>
    <w:p w:rsidR="00350C22" w:rsidRDefault="000845C9">
      <w:pPr>
        <w:numPr>
          <w:ilvl w:val="2"/>
          <w:numId w:val="10"/>
        </w:numPr>
        <w:spacing w:after="122" w:line="252" w:lineRule="auto"/>
        <w:ind w:right="519" w:firstLine="720"/>
      </w:pPr>
      <w:r>
        <w:t>Danuše Sýkorová</w:t>
      </w:r>
      <w:r>
        <w:t>,   telefon: +……………………</w:t>
      </w:r>
      <w:bookmarkStart w:id="0" w:name="_GoBack"/>
      <w:bookmarkEnd w:id="0"/>
    </w:p>
    <w:p w:rsidR="00350C22" w:rsidRDefault="000845C9">
      <w:pPr>
        <w:numPr>
          <w:ilvl w:val="0"/>
          <w:numId w:val="10"/>
        </w:numPr>
        <w:spacing w:after="93"/>
        <w:ind w:right="0" w:hanging="720"/>
      </w:pPr>
      <w:r>
        <w:t>Prodávající prohlašuje, že při plnění této smlouvy bude ve vztahu k</w:t>
      </w:r>
      <w:r>
        <w:t xml:space="preserve"> </w:t>
      </w:r>
      <w:r>
        <w:t xml:space="preserve">osobním údajům </w:t>
      </w:r>
      <w:r>
        <w:t xml:space="preserve">postupovat zcela v souladu s </w:t>
      </w:r>
      <w:r>
        <w:t>Nařízením Evropského parlamentu a Rady č. (EU) 2016/679 o ochraně fyzických osob v</w:t>
      </w:r>
      <w:r>
        <w:t xml:space="preserve"> </w:t>
      </w:r>
      <w:r>
        <w:t>souvislosti se zpracováním osobních údajů a o volném pohybu těchto údajů (obecné nařízení o ochraně osobních údajů –</w:t>
      </w:r>
      <w:r>
        <w:t xml:space="preserve"> GDPR) a </w:t>
      </w:r>
      <w:r>
        <w:t xml:space="preserve">osobní údaje bude zpracovávat výlučně za účelem </w:t>
      </w:r>
      <w:r>
        <w:t>plnění této smlouvy.</w:t>
      </w:r>
      <w:r>
        <w:t xml:space="preserve"> </w:t>
      </w:r>
    </w:p>
    <w:p w:rsidR="00350C22" w:rsidRDefault="000845C9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10"/>
        </w:numPr>
        <w:spacing w:after="53"/>
        <w:ind w:right="0" w:hanging="720"/>
      </w:pPr>
      <w:r>
        <w:t>Práva a povinnosti vyplývající z</w:t>
      </w:r>
      <w:r>
        <w:t xml:space="preserve"> </w:t>
      </w:r>
      <w:r>
        <w:t>této smlouvy lze měnit, pouze pokud mají charakter nepodstatných změn. Jakékoli změny a dodatky této smlouvy musí být učiněny písemně a schváleny podpisem obou stran. Tyto dodatky se stanou nedílnou součástí této smlouvy.</w:t>
      </w:r>
      <w:r>
        <w:t xml:space="preserve"> </w:t>
      </w:r>
    </w:p>
    <w:p w:rsidR="00350C22" w:rsidRDefault="000845C9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10"/>
        </w:numPr>
        <w:spacing w:after="87"/>
        <w:ind w:right="0" w:hanging="720"/>
      </w:pPr>
      <w:r>
        <w:t xml:space="preserve">Nedílnou součástí této smlouvy </w:t>
      </w:r>
      <w:r>
        <w:t>jsou následující přílohy</w:t>
      </w:r>
      <w:r>
        <w:t xml:space="preserve">: </w:t>
      </w:r>
    </w:p>
    <w:p w:rsidR="00350C22" w:rsidRDefault="000845C9">
      <w:pPr>
        <w:numPr>
          <w:ilvl w:val="1"/>
          <w:numId w:val="10"/>
        </w:numPr>
        <w:spacing w:after="90"/>
        <w:ind w:right="0" w:hanging="360"/>
      </w:pPr>
      <w:r>
        <w:t>Příloha č. 1 Jednotkové ceny a celková cena z</w:t>
      </w:r>
      <w:r>
        <w:t xml:space="preserve"> </w:t>
      </w:r>
      <w:r>
        <w:t>nabídky prodávajícího, které tvoří podklad pro fakturaci opakovaných plnění</w:t>
      </w:r>
      <w:r>
        <w:t xml:space="preserve"> </w:t>
      </w:r>
    </w:p>
    <w:p w:rsidR="00350C22" w:rsidRDefault="000845C9">
      <w:pPr>
        <w:numPr>
          <w:ilvl w:val="1"/>
          <w:numId w:val="10"/>
        </w:numPr>
        <w:spacing w:after="89"/>
        <w:ind w:right="0" w:hanging="360"/>
      </w:pPr>
      <w:r>
        <w:t xml:space="preserve">Příloha č. 2 Lokality, kde bude plněno </w:t>
      </w:r>
      <w:r>
        <w:t xml:space="preserve"> </w:t>
      </w:r>
    </w:p>
    <w:p w:rsidR="00350C22" w:rsidRDefault="000845C9">
      <w:pPr>
        <w:numPr>
          <w:ilvl w:val="1"/>
          <w:numId w:val="10"/>
        </w:numPr>
        <w:spacing w:after="53"/>
        <w:ind w:right="0" w:hanging="360"/>
      </w:pPr>
      <w:r>
        <w:t>Příloha č. 3 –</w:t>
      </w:r>
      <w:r>
        <w:t xml:space="preserve"> </w:t>
      </w:r>
      <w:r>
        <w:t>Technický rozsah poskytovaných dodávek v</w:t>
      </w:r>
      <w:r>
        <w:t xml:space="preserve"> </w:t>
      </w:r>
      <w:r>
        <w:t>rozsahu n</w:t>
      </w:r>
      <w:r>
        <w:t xml:space="preserve">abídky splňující požadavky zadávací dokumentace </w:t>
      </w:r>
      <w:r>
        <w:t xml:space="preserve"> </w:t>
      </w:r>
    </w:p>
    <w:p w:rsidR="00350C22" w:rsidRDefault="000845C9">
      <w:pPr>
        <w:spacing w:after="39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spacing w:after="53"/>
        <w:ind w:left="441" w:right="0" w:hanging="456"/>
      </w:pPr>
      <w:r>
        <w:t xml:space="preserve">       </w:t>
      </w:r>
      <w:r>
        <w:t xml:space="preserve">Kupující neodkazuje na své obchodní </w:t>
      </w:r>
      <w:proofErr w:type="gramStart"/>
      <w:r>
        <w:t>podmínky</w:t>
      </w:r>
      <w:proofErr w:type="gramEnd"/>
      <w:r>
        <w:t xml:space="preserve"> a tudíž tato smlouva a shora uvedené přílohy činí plnou dohodu smluvních stran o předmětu smlouvy. </w:t>
      </w:r>
      <w:r>
        <w:t xml:space="preserve"> </w:t>
      </w:r>
    </w:p>
    <w:p w:rsidR="00350C22" w:rsidRDefault="000845C9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10"/>
        </w:numPr>
        <w:spacing w:after="53"/>
        <w:ind w:right="0" w:hanging="720"/>
      </w:pPr>
      <w:r>
        <w:t>Tato smlouva se řídí českým právním řádem. Pro řešení případného sporu smluvní strany sjednávají místní přís</w:t>
      </w:r>
      <w:r>
        <w:t xml:space="preserve">lušnost soudu určenou dle sídla kupujícího. </w:t>
      </w:r>
      <w:r>
        <w:t xml:space="preserve"> </w:t>
      </w:r>
    </w:p>
    <w:p w:rsidR="00350C22" w:rsidRDefault="000845C9">
      <w:pPr>
        <w:spacing w:after="76" w:line="259" w:lineRule="auto"/>
        <w:ind w:left="454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10"/>
        </w:numPr>
        <w:spacing w:after="53"/>
        <w:ind w:right="0" w:hanging="720"/>
      </w:pPr>
      <w:r>
        <w:t>Prodávající se zavazuje předat kupujícímu seznam poddodavatelů, kterým za plnění</w:t>
      </w:r>
      <w:r>
        <w:t xml:space="preserve"> </w:t>
      </w:r>
      <w:r>
        <w:t>subdodávky uhradil v</w:t>
      </w:r>
      <w:r>
        <w:t xml:space="preserve"> </w:t>
      </w:r>
      <w:r>
        <w:t>běžném roce více než 10</w:t>
      </w:r>
      <w:r>
        <w:t xml:space="preserve"> % z </w:t>
      </w:r>
      <w:r>
        <w:t>ceny vyfakturované prodávajícím kupujícímu v</w:t>
      </w:r>
      <w:r>
        <w:t xml:space="preserve"> </w:t>
      </w:r>
      <w:r>
        <w:t>tomto běžném roce, případně prohl</w:t>
      </w:r>
      <w:r>
        <w:t xml:space="preserve">ášení, že žádné takovéto </w:t>
      </w:r>
      <w:r>
        <w:lastRenderedPageBreak/>
        <w:t>poddodavatele nevyužil. Tento seznam příp. prohlášení se prodávající zavazuje dodat kupujícímu po dobu účinnosti této smlouvy nejpozději do 28. února</w:t>
      </w:r>
      <w:r>
        <w:t xml:space="preserve"> </w:t>
      </w:r>
      <w:r>
        <w:t>následujícího kalendářního roku. V případě prodlení se splněním této povinnosti m</w:t>
      </w:r>
      <w:r>
        <w:t xml:space="preserve">á prodávající nárok po kupujícím požadovat úhradu smluvní pokuty ve výši </w:t>
      </w:r>
      <w:proofErr w:type="gramStart"/>
      <w:r>
        <w:t>5.000,</w:t>
      </w:r>
      <w:r>
        <w:t>-</w:t>
      </w:r>
      <w:proofErr w:type="gramEnd"/>
      <w:r>
        <w:t xml:space="preserve"> </w:t>
      </w:r>
      <w:r>
        <w:t xml:space="preserve">Kč.  </w:t>
      </w:r>
      <w:r>
        <w:t xml:space="preserve"> </w:t>
      </w:r>
    </w:p>
    <w:p w:rsidR="00350C22" w:rsidRDefault="000845C9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10"/>
        </w:numPr>
        <w:ind w:right="0" w:hanging="720"/>
      </w:pPr>
      <w:r>
        <w:t>Touto smlouvou se ruší ke dni její účinn</w:t>
      </w:r>
      <w:r>
        <w:t xml:space="preserve">osti </w:t>
      </w:r>
      <w:r>
        <w:t>rámcová kupní smlouva uzavřená mezi smluvními stranami</w:t>
      </w:r>
      <w:r>
        <w:t xml:space="preserve"> dne 26. 3. 2018. </w:t>
      </w:r>
    </w:p>
    <w:p w:rsidR="00350C22" w:rsidRDefault="000845C9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numPr>
          <w:ilvl w:val="0"/>
          <w:numId w:val="10"/>
        </w:numPr>
        <w:spacing w:after="650" w:line="252" w:lineRule="auto"/>
        <w:ind w:right="0" w:hanging="720"/>
      </w:pPr>
      <w:r>
        <w:t>Tato smlouva bude vyhotovena ve dvou stejnopis</w:t>
      </w:r>
      <w:r>
        <w:t xml:space="preserve">ech, z </w:t>
      </w:r>
      <w:r>
        <w:t>nichž každý jednotlivě bude považován za originál.</w:t>
      </w:r>
      <w:r>
        <w:t xml:space="preserve"> </w:t>
      </w:r>
    </w:p>
    <w:p w:rsidR="00350C22" w:rsidRDefault="000845C9">
      <w:pPr>
        <w:spacing w:after="2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1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tabs>
          <w:tab w:val="center" w:pos="5775"/>
        </w:tabs>
        <w:spacing w:after="8" w:line="252" w:lineRule="auto"/>
        <w:ind w:left="0" w:right="0" w:firstLine="0"/>
        <w:jc w:val="left"/>
      </w:pPr>
      <w:r>
        <w:t xml:space="preserve">V </w:t>
      </w:r>
      <w:r>
        <w:t>Ústí nad Labem</w:t>
      </w:r>
      <w:r>
        <w:t xml:space="preserve"> dne </w:t>
      </w:r>
      <w:r>
        <w:t>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tab/>
        <w:t xml:space="preserve">V Praze dne 16.12.2019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50C22" w:rsidRDefault="000845C9">
      <w:pPr>
        <w:spacing w:after="1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tabs>
          <w:tab w:val="center" w:pos="5400"/>
        </w:tabs>
        <w:ind w:left="-15" w:right="0" w:firstLine="0"/>
        <w:jc w:val="left"/>
      </w:pPr>
      <w:r>
        <w:t>za kupujícího</w:t>
      </w:r>
      <w:r>
        <w:t xml:space="preserve"> </w:t>
      </w:r>
      <w:r>
        <w:tab/>
      </w:r>
      <w:r>
        <w:t>za prodávajícího</w:t>
      </w:r>
      <w:r>
        <w:t xml:space="preserve"> </w:t>
      </w:r>
    </w:p>
    <w:p w:rsidR="00350C22" w:rsidRDefault="000845C9">
      <w:pPr>
        <w:ind w:left="-5" w:right="0"/>
      </w:pPr>
      <w:r>
        <w:t xml:space="preserve">Zdravotní ústav se sídlem v Ústí nad </w:t>
      </w:r>
      <w:proofErr w:type="gramStart"/>
      <w:r>
        <w:t xml:space="preserve">Labem </w:t>
      </w:r>
      <w:r>
        <w:t xml:space="preserve"> </w:t>
      </w:r>
      <w:proofErr w:type="spellStart"/>
      <w:r>
        <w:t>Diasorin</w:t>
      </w:r>
      <w:proofErr w:type="spellEnd"/>
      <w:proofErr w:type="gramEnd"/>
      <w:r>
        <w:t xml:space="preserve"> Czech spol. s.r.o.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tabs>
          <w:tab w:val="center" w:pos="6605"/>
        </w:tabs>
        <w:ind w:left="-15" w:right="0" w:firstLine="0"/>
        <w:jc w:val="left"/>
      </w:pPr>
      <w:r>
        <w:t>……………………………………………………</w:t>
      </w:r>
      <w:r>
        <w:t xml:space="preserve"> </w:t>
      </w:r>
      <w:r>
        <w:tab/>
      </w:r>
      <w:r>
        <w:t>……………………………………………………</w:t>
      </w:r>
      <w:r>
        <w:t xml:space="preserve"> </w:t>
      </w:r>
    </w:p>
    <w:p w:rsidR="00350C22" w:rsidRDefault="000845C9">
      <w:pPr>
        <w:tabs>
          <w:tab w:val="center" w:pos="5450"/>
        </w:tabs>
        <w:ind w:left="-15" w:right="0" w:firstLine="0"/>
        <w:jc w:val="left"/>
      </w:pPr>
      <w:r>
        <w:t xml:space="preserve">Ing. Pavel </w:t>
      </w:r>
      <w:proofErr w:type="spellStart"/>
      <w:r>
        <w:t>Bernáth</w:t>
      </w:r>
      <w:proofErr w:type="spellEnd"/>
      <w:r>
        <w:t>, ředitel</w:t>
      </w:r>
      <w:r>
        <w:t xml:space="preserve"> </w:t>
      </w:r>
      <w:r>
        <w:tab/>
      </w:r>
      <w:r>
        <w:t>RNDr. Milan Šrot</w:t>
      </w:r>
      <w:r>
        <w:t xml:space="preserve"> </w:t>
      </w:r>
    </w:p>
    <w:p w:rsidR="00350C22" w:rsidRDefault="000845C9">
      <w:pPr>
        <w:tabs>
          <w:tab w:val="center" w:pos="6002"/>
        </w:tabs>
        <w:ind w:left="-15" w:right="0" w:firstLine="0"/>
        <w:jc w:val="left"/>
      </w:pPr>
      <w:r>
        <w:t xml:space="preserve"> </w:t>
      </w:r>
      <w:r>
        <w:tab/>
      </w:r>
      <w:r>
        <w:t xml:space="preserve">ředitel a </w:t>
      </w:r>
      <w:r>
        <w:t xml:space="preserve">jednatel </w:t>
      </w:r>
      <w:r>
        <w:t>společnosti</w:t>
      </w:r>
      <w:r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50C22" w:rsidRDefault="000845C9">
      <w:pPr>
        <w:ind w:left="-5" w:right="0"/>
      </w:pPr>
      <w:r>
        <w:t>Příloha 1: CENÍK</w:t>
      </w:r>
      <w:r>
        <w:t xml:space="preserve"> </w:t>
      </w:r>
    </w:p>
    <w:tbl>
      <w:tblPr>
        <w:tblStyle w:val="TableGrid"/>
        <w:tblW w:w="8993" w:type="dxa"/>
        <w:tblInd w:w="8" w:type="dxa"/>
        <w:tblCellMar>
          <w:top w:w="60" w:type="dxa"/>
          <w:left w:w="3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905"/>
        <w:gridCol w:w="4350"/>
        <w:gridCol w:w="2738"/>
      </w:tblGrid>
      <w:tr w:rsidR="00350C22">
        <w:trPr>
          <w:trHeight w:val="292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Objednací číslo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>Název Produktu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Cena za balení Bez DPH</w:t>
            </w:r>
          </w:p>
        </w:tc>
      </w:tr>
      <w:tr w:rsidR="00350C22">
        <w:trPr>
          <w:trHeight w:val="291"/>
        </w:trPr>
        <w:tc>
          <w:tcPr>
            <w:tcW w:w="190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310500</w:t>
            </w:r>
          </w:p>
        </w:tc>
        <w:tc>
          <w:tcPr>
            <w:tcW w:w="435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EBV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(100 test)</w:t>
            </w:r>
          </w:p>
        </w:tc>
        <w:tc>
          <w:tcPr>
            <w:tcW w:w="273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5 655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310510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VCA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(100 test)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5 510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310520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EBNA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(100 test)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5 510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310540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EA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(100 test)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6 137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310600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>LIAISON 25OH VITAMIN D TOTAL ASSAY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10 200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310720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Rubella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4 000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310730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Rubella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(100 test)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4 000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19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310850L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VZV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5 960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310860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VZV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2 980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314121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>LIAISON TPA-M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8 550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314701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>LIAISON S100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17 000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317000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1"/>
              </w:rPr>
              <w:t xml:space="preserve">LIAISON 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Biotrin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Parvovirus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B19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4 000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317010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1"/>
              </w:rPr>
              <w:t xml:space="preserve">LIAISON 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Biotrin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Parvovirus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B19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4 000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318810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1"/>
              </w:rPr>
              <w:t xml:space="preserve">LIAISON 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Measles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5 750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318820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®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Measles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3 500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318840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®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Mumps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4 000</w:t>
            </w:r>
          </w:p>
        </w:tc>
      </w:tr>
      <w:tr w:rsidR="00350C22">
        <w:trPr>
          <w:trHeight w:val="292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318830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1"/>
              </w:rPr>
              <w:t xml:space="preserve">LIAISON 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Mumps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4 500</w:t>
            </w:r>
          </w:p>
        </w:tc>
      </w:tr>
      <w:tr w:rsidR="00350C22">
        <w:trPr>
          <w:trHeight w:val="299"/>
        </w:trPr>
        <w:tc>
          <w:tcPr>
            <w:tcW w:w="1905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D4D4D4"/>
            </w:tcBorders>
          </w:tcPr>
          <w:p w:rsidR="00350C22" w:rsidRDefault="000845C9">
            <w:pPr>
              <w:spacing w:after="0" w:line="259" w:lineRule="auto"/>
              <w:ind w:left="25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Kontroly</w:t>
            </w:r>
          </w:p>
        </w:tc>
        <w:tc>
          <w:tcPr>
            <w:tcW w:w="4350" w:type="dxa"/>
            <w:tcBorders>
              <w:top w:val="single" w:sz="11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:rsidR="00350C22" w:rsidRDefault="00350C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8" w:type="dxa"/>
            <w:tcBorders>
              <w:top w:val="single" w:sz="11" w:space="0" w:color="000000"/>
              <w:left w:val="single" w:sz="6" w:space="0" w:color="D4D4D4"/>
              <w:bottom w:val="single" w:sz="11" w:space="0" w:color="000000"/>
              <w:right w:val="single" w:sz="12" w:space="0" w:color="000000"/>
            </w:tcBorders>
          </w:tcPr>
          <w:p w:rsidR="00350C22" w:rsidRDefault="00350C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0C22">
        <w:trPr>
          <w:trHeight w:val="291"/>
        </w:trPr>
        <w:tc>
          <w:tcPr>
            <w:tcW w:w="190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310501</w:t>
            </w:r>
          </w:p>
        </w:tc>
        <w:tc>
          <w:tcPr>
            <w:tcW w:w="435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EBV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</w:p>
        </w:tc>
        <w:tc>
          <w:tcPr>
            <w:tcW w:w="273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1 710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310511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VCA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1 710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310521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EBNA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1 710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310541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EA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1 710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310601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LIAISON 25OH VITAMIN D TOTAL CONTROL SET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1 695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310721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Rubella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2 000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310731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Rubella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sz w:val="21"/>
              </w:rPr>
              <w:t>40T</w:t>
            </w:r>
            <w:proofErr w:type="gramEnd"/>
            <w:r>
              <w:rPr>
                <w:rFonts w:ascii="Calibri" w:eastAsia="Calibri" w:hAnsi="Calibri" w:cs="Calibri"/>
                <w:sz w:val="21"/>
              </w:rPr>
              <w:t>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2 000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310851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VzV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1 500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310861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VZV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Controls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1 500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lastRenderedPageBreak/>
              <w:t>319107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TPA 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1 710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319112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S100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Controlle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Level 1 &amp; 2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4 700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317001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Biotrin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Parvovirus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B19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2 000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317011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Biotrin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Parvovirus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B19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2 000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318811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1"/>
              </w:rPr>
              <w:t>Liaison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Measles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1 600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318821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1"/>
              </w:rPr>
              <w:t>Liaison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®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Measles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IgM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1 200</w:t>
            </w:r>
          </w:p>
        </w:tc>
      </w:tr>
      <w:tr w:rsidR="00350C22">
        <w:trPr>
          <w:trHeight w:val="28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318831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®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Mumps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I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2 000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318841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1"/>
              </w:rPr>
              <w:t xml:space="preserve">LIAISON 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Control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Mumps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IgG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2 000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310602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>LIAISON  25OH VITAMIN D T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1 620</w:t>
            </w:r>
          </w:p>
        </w:tc>
      </w:tr>
      <w:tr w:rsidR="00350C22">
        <w:trPr>
          <w:trHeight w:val="292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319117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S100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Cal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low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high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>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2 700</w:t>
            </w:r>
          </w:p>
        </w:tc>
      </w:tr>
      <w:tr w:rsidR="00350C22">
        <w:trPr>
          <w:trHeight w:val="299"/>
        </w:trPr>
        <w:tc>
          <w:tcPr>
            <w:tcW w:w="1905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D4D4D4"/>
            </w:tcBorders>
          </w:tcPr>
          <w:p w:rsidR="00350C22" w:rsidRDefault="000845C9">
            <w:pPr>
              <w:spacing w:after="0" w:line="259" w:lineRule="auto"/>
              <w:ind w:left="29" w:right="0" w:firstLine="0"/>
            </w:pPr>
            <w:r>
              <w:rPr>
                <w:rFonts w:ascii="Calibri" w:eastAsia="Calibri" w:hAnsi="Calibri" w:cs="Calibri"/>
                <w:sz w:val="21"/>
              </w:rPr>
              <w:t xml:space="preserve">Spotřební materiál </w:t>
            </w:r>
          </w:p>
        </w:tc>
        <w:tc>
          <w:tcPr>
            <w:tcW w:w="4350" w:type="dxa"/>
            <w:tcBorders>
              <w:top w:val="single" w:sz="11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:rsidR="00350C22" w:rsidRDefault="00350C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38" w:type="dxa"/>
            <w:tcBorders>
              <w:top w:val="single" w:sz="11" w:space="0" w:color="000000"/>
              <w:left w:val="single" w:sz="6" w:space="0" w:color="D4D4D4"/>
              <w:bottom w:val="single" w:sz="11" w:space="0" w:color="000000"/>
              <w:right w:val="single" w:sz="12" w:space="0" w:color="000000"/>
            </w:tcBorders>
          </w:tcPr>
          <w:p w:rsidR="00350C22" w:rsidRDefault="00350C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0C22">
        <w:trPr>
          <w:trHeight w:val="292"/>
        </w:trPr>
        <w:tc>
          <w:tcPr>
            <w:tcW w:w="190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319100</w:t>
            </w:r>
          </w:p>
        </w:tc>
        <w:tc>
          <w:tcPr>
            <w:tcW w:w="435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 xml:space="preserve">LIAISON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Wash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System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Liquid</w:t>
            </w:r>
            <w:proofErr w:type="spellEnd"/>
          </w:p>
        </w:tc>
        <w:tc>
          <w:tcPr>
            <w:tcW w:w="273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4 621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319200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1"/>
              </w:rPr>
              <w:t>LIAISON  XL</w:t>
            </w:r>
            <w:proofErr w:type="gramEnd"/>
            <w:r>
              <w:rPr>
                <w:rFonts w:ascii="Calibri" w:eastAsia="Calibri" w:hAnsi="Calibri" w:cs="Calibri"/>
                <w:sz w:val="21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Starter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Kit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3 040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19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X0015 E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1"/>
              </w:rPr>
              <w:t>LIAISON  XL</w:t>
            </w:r>
            <w:proofErr w:type="gram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DiTi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(6912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Disposable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Tips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>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14 900</w:t>
            </w:r>
          </w:p>
        </w:tc>
      </w:tr>
      <w:tr w:rsidR="00350C22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19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X0016 E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1"/>
              </w:rPr>
              <w:t>LIAISON  XL</w:t>
            </w:r>
            <w:proofErr w:type="gram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Cuvettes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 (7200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Cuvette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>)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8 900</w:t>
            </w:r>
          </w:p>
        </w:tc>
      </w:tr>
      <w:tr w:rsidR="00350C22">
        <w:trPr>
          <w:trHeight w:val="292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X0022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0C22" w:rsidRDefault="000845C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>LIQUI-NOX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50C22" w:rsidRDefault="000845C9">
            <w:pPr>
              <w:spacing w:after="0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1 180</w:t>
            </w:r>
          </w:p>
        </w:tc>
      </w:tr>
    </w:tbl>
    <w:p w:rsidR="00350C22" w:rsidRDefault="000845C9">
      <w:pPr>
        <w:spacing w:after="0" w:line="259" w:lineRule="auto"/>
        <w:ind w:left="7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b/>
          <w:sz w:val="24"/>
        </w:rPr>
        <w:t xml:space="preserve"> </w:t>
      </w:r>
    </w:p>
    <w:p w:rsidR="00350C22" w:rsidRDefault="000845C9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sectPr w:rsidR="00350C22">
      <w:footerReference w:type="even" r:id="rId7"/>
      <w:footerReference w:type="default" r:id="rId8"/>
      <w:footerReference w:type="first" r:id="rId9"/>
      <w:pgSz w:w="11909" w:h="16834"/>
      <w:pgMar w:top="1465" w:right="1410" w:bottom="1267" w:left="1419" w:header="708" w:footer="10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45C9">
      <w:pPr>
        <w:spacing w:after="0" w:line="240" w:lineRule="auto"/>
      </w:pPr>
      <w:r>
        <w:separator/>
      </w:r>
    </w:p>
  </w:endnote>
  <w:endnote w:type="continuationSeparator" w:id="0">
    <w:p w:rsidR="00000000" w:rsidRDefault="0008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22" w:rsidRDefault="000845C9">
    <w:pPr>
      <w:spacing w:after="0" w:line="259" w:lineRule="auto"/>
      <w:ind w:left="0" w:right="5" w:firstLine="0"/>
      <w:jc w:val="right"/>
    </w:pPr>
    <w:r>
      <w:rPr>
        <w:i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6"/>
      </w:rPr>
      <w:t>7</w:t>
    </w:r>
    <w:r>
      <w:rPr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22" w:rsidRDefault="000845C9">
    <w:pPr>
      <w:spacing w:after="0" w:line="259" w:lineRule="auto"/>
      <w:ind w:left="0" w:right="5" w:firstLine="0"/>
      <w:jc w:val="right"/>
    </w:pPr>
    <w:r>
      <w:rPr>
        <w:i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6"/>
      </w:rPr>
      <w:t>7</w:t>
    </w:r>
    <w:r>
      <w:rPr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22" w:rsidRDefault="000845C9">
    <w:pPr>
      <w:spacing w:after="0" w:line="259" w:lineRule="auto"/>
      <w:ind w:left="0" w:right="5" w:firstLine="0"/>
      <w:jc w:val="right"/>
    </w:pPr>
    <w:r>
      <w:rPr>
        <w:i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i/>
        <w:sz w:val="16"/>
      </w:rPr>
      <w:t>7</w:t>
    </w:r>
    <w:r>
      <w:rPr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45C9">
      <w:pPr>
        <w:spacing w:after="0" w:line="240" w:lineRule="auto"/>
      </w:pPr>
      <w:r>
        <w:separator/>
      </w:r>
    </w:p>
  </w:footnote>
  <w:footnote w:type="continuationSeparator" w:id="0">
    <w:p w:rsidR="00000000" w:rsidRDefault="0008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41D"/>
    <w:multiLevelType w:val="hybridMultilevel"/>
    <w:tmpl w:val="D4AA399E"/>
    <w:lvl w:ilvl="0" w:tplc="EED64662">
      <w:start w:val="1"/>
      <w:numFmt w:val="decimal"/>
      <w:lvlText w:val="%1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3473C0">
      <w:start w:val="1"/>
      <w:numFmt w:val="bullet"/>
      <w:lvlText w:val="-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803D8">
      <w:start w:val="1"/>
      <w:numFmt w:val="bullet"/>
      <w:lvlText w:val="o"/>
      <w:lvlJc w:val="left"/>
      <w:pPr>
        <w:ind w:left="10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AC4588">
      <w:start w:val="1"/>
      <w:numFmt w:val="bullet"/>
      <w:lvlText w:val="•"/>
      <w:lvlJc w:val="left"/>
      <w:pPr>
        <w:ind w:left="25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67670">
      <w:start w:val="1"/>
      <w:numFmt w:val="bullet"/>
      <w:lvlText w:val="o"/>
      <w:lvlJc w:val="left"/>
      <w:pPr>
        <w:ind w:left="32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E1E0C">
      <w:start w:val="1"/>
      <w:numFmt w:val="bullet"/>
      <w:lvlText w:val="▪"/>
      <w:lvlJc w:val="left"/>
      <w:pPr>
        <w:ind w:left="39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66D72">
      <w:start w:val="1"/>
      <w:numFmt w:val="bullet"/>
      <w:lvlText w:val="•"/>
      <w:lvlJc w:val="left"/>
      <w:pPr>
        <w:ind w:left="47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E02C4">
      <w:start w:val="1"/>
      <w:numFmt w:val="bullet"/>
      <w:lvlText w:val="o"/>
      <w:lvlJc w:val="left"/>
      <w:pPr>
        <w:ind w:left="54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89D36">
      <w:start w:val="1"/>
      <w:numFmt w:val="bullet"/>
      <w:lvlText w:val="▪"/>
      <w:lvlJc w:val="left"/>
      <w:pPr>
        <w:ind w:left="61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1177F"/>
    <w:multiLevelType w:val="hybridMultilevel"/>
    <w:tmpl w:val="4948B1DE"/>
    <w:lvl w:ilvl="0" w:tplc="20D88526">
      <w:start w:val="4"/>
      <w:numFmt w:val="decimal"/>
      <w:lvlText w:val="%1."/>
      <w:lvlJc w:val="left"/>
      <w:pPr>
        <w:ind w:left="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10FC4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CC39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4035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436D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6E04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4E08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80C9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A1EA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62BD5"/>
    <w:multiLevelType w:val="hybridMultilevel"/>
    <w:tmpl w:val="7ECCBD76"/>
    <w:lvl w:ilvl="0" w:tplc="01A8F51E">
      <w:start w:val="1"/>
      <w:numFmt w:val="decimal"/>
      <w:lvlText w:val="%1."/>
      <w:lvlJc w:val="left"/>
      <w:pPr>
        <w:ind w:left="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6EB14">
      <w:start w:val="1"/>
      <w:numFmt w:val="lowerLetter"/>
      <w:lvlText w:val="%2)"/>
      <w:lvlJc w:val="left"/>
      <w:pPr>
        <w:ind w:left="13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A08D3C">
      <w:start w:val="1"/>
      <w:numFmt w:val="lowerRoman"/>
      <w:lvlText w:val="%3"/>
      <w:lvlJc w:val="left"/>
      <w:pPr>
        <w:ind w:left="20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AA0B8">
      <w:start w:val="1"/>
      <w:numFmt w:val="decimal"/>
      <w:lvlText w:val="%4"/>
      <w:lvlJc w:val="left"/>
      <w:pPr>
        <w:ind w:left="2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C3470">
      <w:start w:val="1"/>
      <w:numFmt w:val="lowerLetter"/>
      <w:lvlText w:val="%5"/>
      <w:lvlJc w:val="left"/>
      <w:pPr>
        <w:ind w:left="34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807AE">
      <w:start w:val="1"/>
      <w:numFmt w:val="lowerRoman"/>
      <w:lvlText w:val="%6"/>
      <w:lvlJc w:val="left"/>
      <w:pPr>
        <w:ind w:left="42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CFF54">
      <w:start w:val="1"/>
      <w:numFmt w:val="decimal"/>
      <w:lvlText w:val="%7"/>
      <w:lvlJc w:val="left"/>
      <w:pPr>
        <w:ind w:left="49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F6F7C6">
      <w:start w:val="1"/>
      <w:numFmt w:val="lowerLetter"/>
      <w:lvlText w:val="%8"/>
      <w:lvlJc w:val="left"/>
      <w:pPr>
        <w:ind w:left="56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6C81E">
      <w:start w:val="1"/>
      <w:numFmt w:val="lowerRoman"/>
      <w:lvlText w:val="%9"/>
      <w:lvlJc w:val="left"/>
      <w:pPr>
        <w:ind w:left="63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A7AEE"/>
    <w:multiLevelType w:val="hybridMultilevel"/>
    <w:tmpl w:val="C3C26DA8"/>
    <w:lvl w:ilvl="0" w:tplc="644C47A6">
      <w:start w:val="1"/>
      <w:numFmt w:val="decimal"/>
      <w:lvlText w:val="%1."/>
      <w:lvlJc w:val="left"/>
      <w:pPr>
        <w:ind w:left="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6E5CE">
      <w:start w:val="1"/>
      <w:numFmt w:val="lowerLetter"/>
      <w:lvlText w:val="%2)"/>
      <w:lvlJc w:val="left"/>
      <w:pPr>
        <w:ind w:left="13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0CC646">
      <w:start w:val="1"/>
      <w:numFmt w:val="lowerRoman"/>
      <w:lvlText w:val="%3"/>
      <w:lvlJc w:val="left"/>
      <w:pPr>
        <w:ind w:left="20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A4557C">
      <w:start w:val="1"/>
      <w:numFmt w:val="decimal"/>
      <w:lvlText w:val="%4"/>
      <w:lvlJc w:val="left"/>
      <w:pPr>
        <w:ind w:left="2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6226A">
      <w:start w:val="1"/>
      <w:numFmt w:val="lowerLetter"/>
      <w:lvlText w:val="%5"/>
      <w:lvlJc w:val="left"/>
      <w:pPr>
        <w:ind w:left="34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A8178">
      <w:start w:val="1"/>
      <w:numFmt w:val="lowerRoman"/>
      <w:lvlText w:val="%6"/>
      <w:lvlJc w:val="left"/>
      <w:pPr>
        <w:ind w:left="42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B2AD0C">
      <w:start w:val="1"/>
      <w:numFmt w:val="decimal"/>
      <w:lvlText w:val="%7"/>
      <w:lvlJc w:val="left"/>
      <w:pPr>
        <w:ind w:left="49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BA5F44">
      <w:start w:val="1"/>
      <w:numFmt w:val="lowerLetter"/>
      <w:lvlText w:val="%8"/>
      <w:lvlJc w:val="left"/>
      <w:pPr>
        <w:ind w:left="56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C4E2A">
      <w:start w:val="1"/>
      <w:numFmt w:val="lowerRoman"/>
      <w:lvlText w:val="%9"/>
      <w:lvlJc w:val="left"/>
      <w:pPr>
        <w:ind w:left="63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4A5C78"/>
    <w:multiLevelType w:val="hybridMultilevel"/>
    <w:tmpl w:val="5F84E114"/>
    <w:lvl w:ilvl="0" w:tplc="438494A4">
      <w:start w:val="1"/>
      <w:numFmt w:val="decimal"/>
      <w:lvlText w:val="%1."/>
      <w:lvlJc w:val="left"/>
      <w:pPr>
        <w:ind w:left="2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0B70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4C53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8D1BE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4B59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E4DD9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25E9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48CD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FC53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04736"/>
    <w:multiLevelType w:val="hybridMultilevel"/>
    <w:tmpl w:val="5A587974"/>
    <w:lvl w:ilvl="0" w:tplc="EAAECFF8">
      <w:start w:val="1"/>
      <w:numFmt w:val="decimal"/>
      <w:lvlText w:val="(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CA73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A02F6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22F1BC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A1EA4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02BD6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960B20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08F652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1E174A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3A41E2"/>
    <w:multiLevelType w:val="hybridMultilevel"/>
    <w:tmpl w:val="7344802A"/>
    <w:lvl w:ilvl="0" w:tplc="3E523996">
      <w:start w:val="1"/>
      <w:numFmt w:val="decimal"/>
      <w:lvlText w:val="%1."/>
      <w:lvlJc w:val="left"/>
      <w:pPr>
        <w:ind w:left="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98488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445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02F6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6414D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5439B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456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E29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54FF1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8E3AF7"/>
    <w:multiLevelType w:val="hybridMultilevel"/>
    <w:tmpl w:val="B2AE4DF8"/>
    <w:lvl w:ilvl="0" w:tplc="AAD2DFC6">
      <w:start w:val="1"/>
      <w:numFmt w:val="upperRoman"/>
      <w:pStyle w:val="Nadpis1"/>
      <w:lvlText w:val="%1."/>
      <w:lvlJc w:val="left"/>
      <w:pPr>
        <w:ind w:left="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E03B32">
      <w:start w:val="1"/>
      <w:numFmt w:val="lowerLetter"/>
      <w:lvlText w:val="%2"/>
      <w:lvlJc w:val="left"/>
      <w:pPr>
        <w:ind w:left="477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58E0C4">
      <w:start w:val="1"/>
      <w:numFmt w:val="lowerRoman"/>
      <w:lvlText w:val="%3"/>
      <w:lvlJc w:val="left"/>
      <w:pPr>
        <w:ind w:left="549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8249A4">
      <w:start w:val="1"/>
      <w:numFmt w:val="decimal"/>
      <w:lvlText w:val="%4"/>
      <w:lvlJc w:val="left"/>
      <w:pPr>
        <w:ind w:left="621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2A3EB0">
      <w:start w:val="1"/>
      <w:numFmt w:val="lowerLetter"/>
      <w:lvlText w:val="%5"/>
      <w:lvlJc w:val="left"/>
      <w:pPr>
        <w:ind w:left="693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06B980">
      <w:start w:val="1"/>
      <w:numFmt w:val="lowerRoman"/>
      <w:lvlText w:val="%6"/>
      <w:lvlJc w:val="left"/>
      <w:pPr>
        <w:ind w:left="765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3C0110">
      <w:start w:val="1"/>
      <w:numFmt w:val="decimal"/>
      <w:lvlText w:val="%7"/>
      <w:lvlJc w:val="left"/>
      <w:pPr>
        <w:ind w:left="837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3819D2">
      <w:start w:val="1"/>
      <w:numFmt w:val="lowerLetter"/>
      <w:lvlText w:val="%8"/>
      <w:lvlJc w:val="left"/>
      <w:pPr>
        <w:ind w:left="909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9AC1AE">
      <w:start w:val="1"/>
      <w:numFmt w:val="lowerRoman"/>
      <w:lvlText w:val="%9"/>
      <w:lvlJc w:val="left"/>
      <w:pPr>
        <w:ind w:left="981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930A37"/>
    <w:multiLevelType w:val="hybridMultilevel"/>
    <w:tmpl w:val="402C584C"/>
    <w:lvl w:ilvl="0" w:tplc="BA20DE74">
      <w:start w:val="1"/>
      <w:numFmt w:val="decimal"/>
      <w:lvlText w:val="%1."/>
      <w:lvlJc w:val="left"/>
      <w:pPr>
        <w:ind w:left="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2CBB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FAA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3421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CF84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FCD94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14C0F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C3F3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D6CF7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CA42E3"/>
    <w:multiLevelType w:val="hybridMultilevel"/>
    <w:tmpl w:val="A7A27752"/>
    <w:lvl w:ilvl="0" w:tplc="FBE2D424">
      <w:start w:val="1"/>
      <w:numFmt w:val="decimal"/>
      <w:lvlText w:val="%1."/>
      <w:lvlJc w:val="left"/>
      <w:pPr>
        <w:ind w:left="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866BAC">
      <w:start w:val="1"/>
      <w:numFmt w:val="lowerLetter"/>
      <w:lvlText w:val="%2"/>
      <w:lvlJc w:val="left"/>
      <w:pPr>
        <w:ind w:left="10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08D02">
      <w:start w:val="1"/>
      <w:numFmt w:val="lowerRoman"/>
      <w:lvlText w:val="%3"/>
      <w:lvlJc w:val="left"/>
      <w:pPr>
        <w:ind w:left="18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C410E">
      <w:start w:val="1"/>
      <w:numFmt w:val="decimal"/>
      <w:lvlText w:val="%4"/>
      <w:lvlJc w:val="left"/>
      <w:pPr>
        <w:ind w:left="25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123946">
      <w:start w:val="1"/>
      <w:numFmt w:val="lowerLetter"/>
      <w:lvlText w:val="%5"/>
      <w:lvlJc w:val="left"/>
      <w:pPr>
        <w:ind w:left="32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EBE66">
      <w:start w:val="1"/>
      <w:numFmt w:val="lowerRoman"/>
      <w:lvlText w:val="%6"/>
      <w:lvlJc w:val="left"/>
      <w:pPr>
        <w:ind w:left="39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EA8728">
      <w:start w:val="1"/>
      <w:numFmt w:val="decimal"/>
      <w:lvlText w:val="%7"/>
      <w:lvlJc w:val="left"/>
      <w:pPr>
        <w:ind w:left="46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4C31E8">
      <w:start w:val="1"/>
      <w:numFmt w:val="lowerLetter"/>
      <w:lvlText w:val="%8"/>
      <w:lvlJc w:val="left"/>
      <w:pPr>
        <w:ind w:left="54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847F8E">
      <w:start w:val="1"/>
      <w:numFmt w:val="lowerRoman"/>
      <w:lvlText w:val="%9"/>
      <w:lvlJc w:val="left"/>
      <w:pPr>
        <w:ind w:left="6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9E4B3D"/>
    <w:multiLevelType w:val="hybridMultilevel"/>
    <w:tmpl w:val="418CFE06"/>
    <w:lvl w:ilvl="0" w:tplc="E2C68422">
      <w:start w:val="1"/>
      <w:numFmt w:val="decimal"/>
      <w:lvlText w:val="%1."/>
      <w:lvlJc w:val="left"/>
      <w:pPr>
        <w:ind w:left="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AA9CC">
      <w:start w:val="1"/>
      <w:numFmt w:val="lowerLetter"/>
      <w:lvlText w:val="%2)"/>
      <w:lvlJc w:val="left"/>
      <w:pPr>
        <w:ind w:left="13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A540C">
      <w:start w:val="1"/>
      <w:numFmt w:val="lowerRoman"/>
      <w:lvlText w:val="%3"/>
      <w:lvlJc w:val="left"/>
      <w:pPr>
        <w:ind w:left="20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F44204">
      <w:start w:val="1"/>
      <w:numFmt w:val="decimal"/>
      <w:lvlText w:val="%4"/>
      <w:lvlJc w:val="left"/>
      <w:pPr>
        <w:ind w:left="2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AA5B60">
      <w:start w:val="1"/>
      <w:numFmt w:val="lowerLetter"/>
      <w:lvlText w:val="%5"/>
      <w:lvlJc w:val="left"/>
      <w:pPr>
        <w:ind w:left="34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CAA64">
      <w:start w:val="1"/>
      <w:numFmt w:val="lowerRoman"/>
      <w:lvlText w:val="%6"/>
      <w:lvlJc w:val="left"/>
      <w:pPr>
        <w:ind w:left="42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6AA7E">
      <w:start w:val="1"/>
      <w:numFmt w:val="decimal"/>
      <w:lvlText w:val="%7"/>
      <w:lvlJc w:val="left"/>
      <w:pPr>
        <w:ind w:left="49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E43B9C">
      <w:start w:val="1"/>
      <w:numFmt w:val="lowerLetter"/>
      <w:lvlText w:val="%8"/>
      <w:lvlJc w:val="left"/>
      <w:pPr>
        <w:ind w:left="56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2074D4">
      <w:start w:val="1"/>
      <w:numFmt w:val="lowerRoman"/>
      <w:lvlText w:val="%9"/>
      <w:lvlJc w:val="left"/>
      <w:pPr>
        <w:ind w:left="63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22"/>
    <w:rsid w:val="000845C9"/>
    <w:rsid w:val="003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957F"/>
  <w15:docId w15:val="{ECAA2CB9-D78F-478B-8F1E-ED0F519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249" w:lineRule="auto"/>
      <w:ind w:left="10" w:right="13" w:hanging="10"/>
      <w:jc w:val="both"/>
    </w:pPr>
    <w:rPr>
      <w:rFonts w:ascii="Bookman Old Style" w:eastAsia="Bookman Old Style" w:hAnsi="Bookman Old Style" w:cs="Bookman Old Style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1"/>
      </w:numPr>
      <w:spacing w:after="254" w:line="265" w:lineRule="auto"/>
      <w:ind w:left="10" w:right="10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man Old Style" w:eastAsia="Bookman Old Style" w:hAnsi="Bookman Old Style" w:cs="Bookman Old Style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C9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2112</Words>
  <Characters>12463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Petra Viltová</dc:creator>
  <cp:keywords/>
  <cp:lastModifiedBy>Kurzweilová Dana</cp:lastModifiedBy>
  <cp:revision>2</cp:revision>
  <cp:lastPrinted>2019-12-18T06:40:00Z</cp:lastPrinted>
  <dcterms:created xsi:type="dcterms:W3CDTF">2019-12-18T06:40:00Z</dcterms:created>
  <dcterms:modified xsi:type="dcterms:W3CDTF">2019-12-18T06:40:00Z</dcterms:modified>
</cp:coreProperties>
</file>