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EAA" w:rsidRDefault="00826011">
      <w:pPr>
        <w:spacing w:after="271"/>
        <w:ind w:left="5948" w:right="-15"/>
      </w:pPr>
      <w:r>
        <w:rPr>
          <w:rFonts w:ascii="Calibri" w:eastAsia="Calibri" w:hAnsi="Calibri" w:cs="Calibri"/>
          <w:b/>
          <w:i/>
          <w:color w:val="2C67AF"/>
          <w:sz w:val="14"/>
        </w:rPr>
        <w:t xml:space="preserve">ZUUL – dodávka látek pro diagnostické metody 2019, </w:t>
      </w:r>
      <w:r>
        <w:t xml:space="preserve">Příloha A  kupní smlouvy - předpokládaná spotřeba produktů a ceny za dobu trvání smlouvy </w:t>
      </w:r>
      <w:r>
        <w:rPr>
          <w:rFonts w:ascii="Calibri" w:eastAsia="Calibri" w:hAnsi="Calibri" w:cs="Calibri"/>
          <w:b/>
          <w:i/>
          <w:color w:val="2C67AF"/>
          <w:sz w:val="14"/>
        </w:rPr>
        <w:t xml:space="preserve"> druhá etapa</w:t>
      </w:r>
    </w:p>
    <w:tbl>
      <w:tblPr>
        <w:tblStyle w:val="TableGrid"/>
        <w:tblW w:w="11647" w:type="dxa"/>
        <w:tblInd w:w="-526" w:type="dxa"/>
        <w:tblCellMar>
          <w:top w:w="14" w:type="dxa"/>
          <w:left w:w="24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339"/>
        <w:gridCol w:w="2743"/>
        <w:gridCol w:w="2744"/>
        <w:gridCol w:w="1239"/>
        <w:gridCol w:w="878"/>
        <w:gridCol w:w="914"/>
        <w:gridCol w:w="698"/>
        <w:gridCol w:w="1057"/>
        <w:gridCol w:w="1035"/>
      </w:tblGrid>
      <w:tr w:rsidR="00986EAA">
        <w:trPr>
          <w:trHeight w:val="206"/>
        </w:trPr>
        <w:tc>
          <w:tcPr>
            <w:tcW w:w="7943" w:type="dxa"/>
            <w:gridSpan w:val="5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</w:tcPr>
          <w:p w:rsidR="00986EAA" w:rsidRDefault="00826011">
            <w:pPr>
              <w:spacing w:after="0"/>
              <w:ind w:left="0" w:right="63" w:firstLine="0"/>
              <w:jc w:val="right"/>
            </w:pPr>
            <w:r>
              <w:rPr>
                <w:b/>
                <w:sz w:val="16"/>
              </w:rPr>
              <w:t xml:space="preserve">Technická specifikace za období trvání smlouvy </w:t>
            </w:r>
          </w:p>
        </w:tc>
        <w:tc>
          <w:tcPr>
            <w:tcW w:w="3704" w:type="dxa"/>
            <w:gridSpan w:val="4"/>
            <w:tcBorders>
              <w:top w:val="single" w:sz="12" w:space="0" w:color="0000FF"/>
              <w:left w:val="nil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64"/>
        </w:trPr>
        <w:tc>
          <w:tcPr>
            <w:tcW w:w="7943" w:type="dxa"/>
            <w:gridSpan w:val="5"/>
            <w:tcBorders>
              <w:top w:val="nil"/>
              <w:left w:val="single" w:sz="12" w:space="0" w:color="0000FF"/>
              <w:bottom w:val="single" w:sz="4" w:space="0" w:color="0000FF"/>
              <w:right w:val="nil"/>
            </w:tcBorders>
            <w:shd w:val="clear" w:color="auto" w:fill="FFCC99"/>
          </w:tcPr>
          <w:p w:rsidR="00986EAA" w:rsidRDefault="00826011">
            <w:pPr>
              <w:spacing w:after="0"/>
              <w:ind w:left="10" w:firstLine="0"/>
              <w:jc w:val="left"/>
            </w:pPr>
            <w:r>
              <w:rPr>
                <w:b/>
                <w:sz w:val="16"/>
              </w:rPr>
              <w:t>Předpokládaná potřeba dodávek zboží a služeb</w:t>
            </w:r>
          </w:p>
          <w:p w:rsidR="00986EAA" w:rsidRDefault="00826011">
            <w:pPr>
              <w:spacing w:after="0"/>
              <w:ind w:left="703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30480"/>
                      <wp:effectExtent l="0" t="0" r="0" b="0"/>
                      <wp:docPr id="29577" name="Group 29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0480"/>
                                <a:chOff x="0" y="0"/>
                                <a:chExt cx="6096" cy="30480"/>
                              </a:xfrm>
                            </wpg:grpSpPr>
                            <wps:wsp>
                              <wps:cNvPr id="34239" name="Shape 3423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40" name="Shape 34240"/>
                              <wps:cNvSpPr/>
                              <wps:spPr>
                                <a:xfrm>
                                  <a:off x="0" y="1219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41" name="Shape 34241"/>
                              <wps:cNvSpPr/>
                              <wps:spPr>
                                <a:xfrm>
                                  <a:off x="0" y="2438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577" style="width:0.47998pt;height:2.40002pt;mso-position-horizontal-relative:char;mso-position-vertical-relative:line" coordsize="60,304">
                      <v:shape id="Shape 34242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43" style="position:absolute;width:91;height:91;left:0;top:121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44" style="position:absolute;width:91;height:91;left:0;top:243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</w:p>
        </w:tc>
        <w:tc>
          <w:tcPr>
            <w:tcW w:w="3704" w:type="dxa"/>
            <w:gridSpan w:val="4"/>
            <w:tcBorders>
              <w:top w:val="nil"/>
              <w:left w:val="nil"/>
              <w:bottom w:val="single" w:sz="4" w:space="0" w:color="0000FF"/>
              <w:right w:val="single" w:sz="12" w:space="0" w:color="0000FF"/>
            </w:tcBorders>
            <w:shd w:val="clear" w:color="auto" w:fill="FFCC99"/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5"/>
        </w:trPr>
        <w:tc>
          <w:tcPr>
            <w:tcW w:w="339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7" w:space="0" w:color="0000FF"/>
              <w:right w:val="single" w:sz="12" w:space="0" w:color="0000FF"/>
            </w:tcBorders>
            <w:shd w:val="clear" w:color="auto" w:fill="CCCCCC"/>
          </w:tcPr>
          <w:p w:rsidR="00986EAA" w:rsidRDefault="00826011">
            <w:pPr>
              <w:spacing w:after="0"/>
              <w:ind w:left="2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445" cy="450039"/>
                      <wp:effectExtent l="0" t="0" r="0" b="0"/>
                      <wp:docPr id="29592" name="Group 29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445" cy="450039"/>
                                <a:chOff x="0" y="0"/>
                                <a:chExt cx="167445" cy="450039"/>
                              </a:xfrm>
                            </wpg:grpSpPr>
                            <wps:wsp>
                              <wps:cNvPr id="208" name="Rectangle 208"/>
                              <wps:cNvSpPr/>
                              <wps:spPr>
                                <a:xfrm rot="-5399999">
                                  <a:off x="-250758" y="102246"/>
                                  <a:ext cx="598552" cy="970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6EAA" w:rsidRDefault="00826011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11"/>
                                      </w:rPr>
                                      <w:t xml:space="preserve">pořadové císlo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" name="Rectangle 209"/>
                              <wps:cNvSpPr/>
                              <wps:spPr>
                                <a:xfrm rot="-5399999">
                                  <a:off x="-10133" y="248383"/>
                                  <a:ext cx="306278" cy="970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6EAA" w:rsidRDefault="00826011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11"/>
                                      </w:rPr>
                                      <w:t>položky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592" o:spid="_x0000_s1026" style="width:13.2pt;height:35.45pt;mso-position-horizontal-relative:char;mso-position-vertical-relative:line" coordsize="167445,450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">
                      <v:rect id="Rectangle 208" o:spid="_x0000_s1027" style="position:absolute;left:-250758;top:102246;width:598552;height:9703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" filled="f" stroked="f">
                        <v:textbox inset="0,0,0,0">
                          <w:txbxContent>
                            <w:p w:rsidR="00986EAA" w:rsidRDefault="0082601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1"/>
                                </w:rPr>
                                <w:t xml:space="preserve">pořadové císlo </w:t>
                              </w:r>
                            </w:p>
                          </w:txbxContent>
                        </v:textbox>
                      </v:rect>
                      <v:rect id="Rectangle 209" o:spid="_x0000_s1028" style="position:absolute;left:-10133;top:248383;width:306278;height:9703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W03xgAAANw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yiGdzOhCMg0ysAAAD//wMAUEsBAi0AFAAGAAgAAAAhANvh9svuAAAAhQEAABMAAAAAAAAA&#10;AAAAAAAAAAAAAFtDb250ZW50X1R5cGVzXS54bWxQSwECLQAUAAYACAAAACEAWvQsW78AAAAVAQAA&#10;CwAAAAAAAAAAAAAAAAAfAQAAX3JlbHMvLnJlbHNQSwECLQAUAAYACAAAACEAcqVtN8YAAADcAAAA&#10;DwAAAAAAAAAAAAAAAAAHAgAAZHJzL2Rvd25yZXYueG1sUEsFBgAAAAADAAMAtwAAAPoCAAAAAA==&#10;" filled="f" stroked="f">
                        <v:textbox inset="0,0,0,0">
                          <w:txbxContent>
                            <w:p w:rsidR="00986EAA" w:rsidRDefault="0082601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1"/>
                                </w:rPr>
                                <w:t>položky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3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7" w:space="0" w:color="0000FF"/>
              <w:right w:val="double" w:sz="4" w:space="0" w:color="0000FF"/>
            </w:tcBorders>
            <w:shd w:val="clear" w:color="auto" w:fill="CCCCCC"/>
            <w:vAlign w:val="center"/>
          </w:tcPr>
          <w:p w:rsidR="00986EAA" w:rsidRDefault="00826011">
            <w:pPr>
              <w:spacing w:after="0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Obchodní název produktu v katalogu uchazeče</w:t>
            </w:r>
          </w:p>
        </w:tc>
        <w:tc>
          <w:tcPr>
            <w:tcW w:w="2744" w:type="dxa"/>
            <w:vMerge w:val="restart"/>
            <w:tcBorders>
              <w:top w:val="single" w:sz="4" w:space="0" w:color="0000FF"/>
              <w:left w:val="double" w:sz="4" w:space="0" w:color="0000FF"/>
              <w:bottom w:val="single" w:sz="7" w:space="0" w:color="0000FF"/>
              <w:right w:val="single" w:sz="4" w:space="0" w:color="0000FF"/>
            </w:tcBorders>
            <w:shd w:val="clear" w:color="auto" w:fill="CCCCCC"/>
            <w:vAlign w:val="center"/>
          </w:tcPr>
          <w:p w:rsidR="00986EAA" w:rsidRDefault="00826011">
            <w:pPr>
              <w:spacing w:after="0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Obchodní název produktu v katalogu uchazeče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single" w:sz="4" w:space="0" w:color="0000FF"/>
            </w:tcBorders>
            <w:shd w:val="clear" w:color="auto" w:fill="CCCCCC"/>
            <w:vAlign w:val="center"/>
          </w:tcPr>
          <w:p w:rsidR="00986EAA" w:rsidRDefault="00826011">
            <w:pPr>
              <w:spacing w:after="0" w:line="216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-132460</wp:posOffset>
                      </wp:positionV>
                      <wp:extent cx="6096" cy="457454"/>
                      <wp:effectExtent l="0" t="0" r="0" b="0"/>
                      <wp:wrapSquare wrapText="bothSides"/>
                      <wp:docPr id="29610" name="Group 29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7454"/>
                                <a:chOff x="0" y="0"/>
                                <a:chExt cx="6096" cy="457454"/>
                              </a:xfrm>
                            </wpg:grpSpPr>
                            <wps:wsp>
                              <wps:cNvPr id="34245" name="Shape 3424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46" name="Shape 34246"/>
                              <wps:cNvSpPr/>
                              <wps:spPr>
                                <a:xfrm>
                                  <a:off x="0" y="1219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47" name="Shape 34247"/>
                              <wps:cNvSpPr/>
                              <wps:spPr>
                                <a:xfrm>
                                  <a:off x="0" y="2438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48" name="Shape 34248"/>
                              <wps:cNvSpPr/>
                              <wps:spPr>
                                <a:xfrm>
                                  <a:off x="0" y="365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49" name="Shape 34249"/>
                              <wps:cNvSpPr/>
                              <wps:spPr>
                                <a:xfrm>
                                  <a:off x="0" y="487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50" name="Shape 34250"/>
                              <wps:cNvSpPr/>
                              <wps:spPr>
                                <a:xfrm>
                                  <a:off x="0" y="609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51" name="Shape 34251"/>
                              <wps:cNvSpPr/>
                              <wps:spPr>
                                <a:xfrm>
                                  <a:off x="0" y="731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52" name="Shape 34252"/>
                              <wps:cNvSpPr/>
                              <wps:spPr>
                                <a:xfrm>
                                  <a:off x="0" y="8559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53" name="Shape 34253"/>
                              <wps:cNvSpPr/>
                              <wps:spPr>
                                <a:xfrm>
                                  <a:off x="0" y="9779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54" name="Shape 34254"/>
                              <wps:cNvSpPr/>
                              <wps:spPr>
                                <a:xfrm>
                                  <a:off x="0" y="10998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55" name="Shape 34255"/>
                              <wps:cNvSpPr/>
                              <wps:spPr>
                                <a:xfrm>
                                  <a:off x="0" y="12217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56" name="Shape 34256"/>
                              <wps:cNvSpPr/>
                              <wps:spPr>
                                <a:xfrm>
                                  <a:off x="0" y="13436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57" name="Shape 34257"/>
                              <wps:cNvSpPr/>
                              <wps:spPr>
                                <a:xfrm>
                                  <a:off x="0" y="14655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58" name="Shape 34258"/>
                              <wps:cNvSpPr/>
                              <wps:spPr>
                                <a:xfrm>
                                  <a:off x="0" y="15875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59" name="Shape 34259"/>
                              <wps:cNvSpPr/>
                              <wps:spPr>
                                <a:xfrm>
                                  <a:off x="0" y="17094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60" name="Shape 34260"/>
                              <wps:cNvSpPr/>
                              <wps:spPr>
                                <a:xfrm>
                                  <a:off x="0" y="18313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61" name="Shape 34261"/>
                              <wps:cNvSpPr/>
                              <wps:spPr>
                                <a:xfrm>
                                  <a:off x="0" y="19532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62" name="Shape 34262"/>
                              <wps:cNvSpPr/>
                              <wps:spPr>
                                <a:xfrm>
                                  <a:off x="0" y="20751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63" name="Shape 34263"/>
                              <wps:cNvSpPr/>
                              <wps:spPr>
                                <a:xfrm>
                                  <a:off x="0" y="21971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64" name="Shape 34264"/>
                              <wps:cNvSpPr/>
                              <wps:spPr>
                                <a:xfrm>
                                  <a:off x="0" y="23190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65" name="Shape 34265"/>
                              <wps:cNvSpPr/>
                              <wps:spPr>
                                <a:xfrm>
                                  <a:off x="0" y="24409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66" name="Shape 34266"/>
                              <wps:cNvSpPr/>
                              <wps:spPr>
                                <a:xfrm>
                                  <a:off x="0" y="25628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67" name="Shape 34267"/>
                              <wps:cNvSpPr/>
                              <wps:spPr>
                                <a:xfrm>
                                  <a:off x="0" y="26847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68" name="Shape 34268"/>
                              <wps:cNvSpPr/>
                              <wps:spPr>
                                <a:xfrm>
                                  <a:off x="0" y="28067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69" name="Shape 34269"/>
                              <wps:cNvSpPr/>
                              <wps:spPr>
                                <a:xfrm>
                                  <a:off x="0" y="29286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70" name="Shape 34270"/>
                              <wps:cNvSpPr/>
                              <wps:spPr>
                                <a:xfrm>
                                  <a:off x="0" y="30505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71" name="Shape 34271"/>
                              <wps:cNvSpPr/>
                              <wps:spPr>
                                <a:xfrm>
                                  <a:off x="0" y="31724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72" name="Shape 34272"/>
                              <wps:cNvSpPr/>
                              <wps:spPr>
                                <a:xfrm>
                                  <a:off x="0" y="32943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73" name="Shape 34273"/>
                              <wps:cNvSpPr/>
                              <wps:spPr>
                                <a:xfrm>
                                  <a:off x="0" y="34163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74" name="Shape 34274"/>
                              <wps:cNvSpPr/>
                              <wps:spPr>
                                <a:xfrm>
                                  <a:off x="0" y="35382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75" name="Shape 34275"/>
                              <wps:cNvSpPr/>
                              <wps:spPr>
                                <a:xfrm>
                                  <a:off x="0" y="36601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76" name="Shape 34276"/>
                              <wps:cNvSpPr/>
                              <wps:spPr>
                                <a:xfrm>
                                  <a:off x="0" y="37820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77" name="Shape 34277"/>
                              <wps:cNvSpPr/>
                              <wps:spPr>
                                <a:xfrm>
                                  <a:off x="0" y="39039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78" name="Shape 34278"/>
                              <wps:cNvSpPr/>
                              <wps:spPr>
                                <a:xfrm>
                                  <a:off x="0" y="40259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79" name="Shape 34279"/>
                              <wps:cNvSpPr/>
                              <wps:spPr>
                                <a:xfrm>
                                  <a:off x="0" y="41478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80" name="Shape 34280"/>
                              <wps:cNvSpPr/>
                              <wps:spPr>
                                <a:xfrm>
                                  <a:off x="0" y="42697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81" name="Shape 34281"/>
                              <wps:cNvSpPr/>
                              <wps:spPr>
                                <a:xfrm>
                                  <a:off x="0" y="43916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82" name="Shape 34282"/>
                              <wps:cNvSpPr/>
                              <wps:spPr>
                                <a:xfrm>
                                  <a:off x="0" y="45135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9610" style="width:0.47998pt;height:36.02pt;position:absolute;mso-position-horizontal-relative:text;mso-position-horizontal:absolute;margin-left:61.7pt;mso-position-vertical-relative:text;margin-top:-10.43pt;" coordsize="60,4574">
                      <v:shape id="Shape 34283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84" style="position:absolute;width:91;height:91;left:0;top:121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85" style="position:absolute;width:91;height:91;left:0;top:243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86" style="position:absolute;width:91;height:91;left:0;top:365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87" style="position:absolute;width:91;height:91;left:0;top:487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88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89" style="position:absolute;width:91;height:91;left:0;top:731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90" style="position:absolute;width:91;height:91;left:0;top:855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91" style="position:absolute;width:91;height:91;left:0;top:977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92" style="position:absolute;width:91;height:91;left:0;top:1099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93" style="position:absolute;width:91;height:91;left:0;top:1221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94" style="position:absolute;width:91;height:91;left:0;top:1343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95" style="position:absolute;width:91;height:91;left:0;top:1465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96" style="position:absolute;width:91;height:91;left:0;top:1587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97" style="position:absolute;width:91;height:91;left:0;top:1709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98" style="position:absolute;width:91;height:91;left:0;top:1831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299" style="position:absolute;width:91;height:91;left:0;top:1953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00" style="position:absolute;width:91;height:91;left:0;top:2075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01" style="position:absolute;width:91;height:91;left:0;top:2197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02" style="position:absolute;width:91;height:91;left:0;top:2319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03" style="position:absolute;width:91;height:91;left:0;top:2440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04" style="position:absolute;width:91;height:91;left:0;top:2562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05" style="position:absolute;width:91;height:91;left:0;top:2684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06" style="position:absolute;width:91;height:91;left:0;top:2806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07" style="position:absolute;width:91;height:91;left:0;top:2928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08" style="position:absolute;width:91;height:91;left:0;top:3050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09" style="position:absolute;width:91;height:91;left:0;top:3172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10" style="position:absolute;width:91;height:91;left:0;top:3294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11" style="position:absolute;width:91;height:91;left:0;top:3416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12" style="position:absolute;width:91;height:91;left:0;top:3538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13" style="position:absolute;width:91;height:91;left:0;top:3660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14" style="position:absolute;width:91;height:91;left:0;top:3782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15" style="position:absolute;width:91;height:91;left:0;top:3903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16" style="position:absolute;width:91;height:91;left:0;top:4025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17" style="position:absolute;width:91;height:91;left:0;top:4147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18" style="position:absolute;width:91;height:91;left:0;top:4269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19" style="position:absolute;width:91;height:91;left:0;top:4391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34320" style="position:absolute;width:91;height:91;left:0;top:4513;" coordsize="9144,9144" path="m0,0l9144,0l9144,9144l0,9144l0,0">
                        <v:stroke weight="0pt" endcap="flat" joinstyle="miter" miterlimit="10" on="false" color="#000000" opacity="0"/>
                        <v:fill on="true" color="#0000f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11"/>
              </w:rPr>
              <w:t>číslo zboží v katalogu měrná jednotka</w:t>
            </w:r>
          </w:p>
          <w:p w:rsidR="00986EAA" w:rsidRDefault="00826011">
            <w:pPr>
              <w:spacing w:after="0"/>
              <w:ind w:left="384" w:right="861" w:firstLine="0"/>
              <w:jc w:val="left"/>
            </w:pPr>
            <w:r>
              <w:rPr>
                <w:rFonts w:ascii="Calibri" w:eastAsia="Calibri" w:hAnsi="Calibri" w:cs="Calibri"/>
                <w:b/>
                <w:sz w:val="11"/>
              </w:rPr>
              <w:t>uchazeče</w:t>
            </w:r>
          </w:p>
        </w:tc>
        <w:tc>
          <w:tcPr>
            <w:tcW w:w="91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single" w:sz="4" w:space="0" w:color="0000FF"/>
            </w:tcBorders>
            <w:shd w:val="clear" w:color="auto" w:fill="CCCCCC"/>
          </w:tcPr>
          <w:p w:rsidR="00986EAA" w:rsidRDefault="00826011">
            <w:pPr>
              <w:spacing w:after="0" w:line="26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 xml:space="preserve">předpokládaný odběr za dobu </w:t>
            </w:r>
          </w:p>
          <w:p w:rsidR="00986EAA" w:rsidRDefault="00826011">
            <w:pPr>
              <w:spacing w:after="120"/>
              <w:ind w:left="31" w:firstLine="0"/>
              <w:jc w:val="left"/>
            </w:pPr>
            <w:r>
              <w:rPr>
                <w:rFonts w:ascii="Calibri" w:eastAsia="Calibri" w:hAnsi="Calibri" w:cs="Calibri"/>
                <w:b/>
                <w:sz w:val="11"/>
              </w:rPr>
              <w:t>smlouvy  v letech</w:t>
            </w:r>
          </w:p>
          <w:p w:rsidR="00986EAA" w:rsidRDefault="00826011">
            <w:pPr>
              <w:spacing w:after="0"/>
              <w:ind w:left="2" w:firstLine="0"/>
              <w:jc w:val="center"/>
            </w:pPr>
            <w:r>
              <w:rPr>
                <w:rFonts w:ascii="Calibri" w:eastAsia="Calibri" w:hAnsi="Calibri" w:cs="Calibri"/>
                <w:b/>
                <w:sz w:val="14"/>
              </w:rPr>
              <w:t>4</w:t>
            </w:r>
          </w:p>
        </w:tc>
        <w:tc>
          <w:tcPr>
            <w:tcW w:w="2789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nil"/>
              <w:right w:val="single" w:sz="12" w:space="0" w:color="0000FF"/>
            </w:tcBorders>
            <w:shd w:val="clear" w:color="auto" w:fill="CCCCCC"/>
            <w:vAlign w:val="bottom"/>
          </w:tcPr>
          <w:p w:rsidR="00986EAA" w:rsidRDefault="00826011">
            <w:pPr>
              <w:spacing w:after="0"/>
              <w:ind w:left="676"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 xml:space="preserve">nabídková cena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1"/>
              </w:rPr>
              <w:t>Sazba DPH %</w:t>
            </w: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single" w:sz="4" w:space="0" w:color="0000FF"/>
              <w:bottom w:val="single" w:sz="7" w:space="0" w:color="0000FF"/>
              <w:right w:val="single" w:sz="4" w:space="0" w:color="0000FF"/>
            </w:tcBorders>
            <w:shd w:val="clear" w:color="auto" w:fill="CCCCCC"/>
          </w:tcPr>
          <w:p w:rsidR="00986EAA" w:rsidRDefault="00826011">
            <w:pPr>
              <w:spacing w:after="0"/>
              <w:ind w:left="698" w:firstLine="0"/>
              <w:jc w:val="left"/>
            </w:pPr>
            <w:r>
              <w:rPr>
                <w:b/>
              </w:rPr>
              <w:t>Cena za jednotku bez DPH v Kč</w:t>
            </w:r>
          </w:p>
        </w:tc>
        <w:tc>
          <w:tcPr>
            <w:tcW w:w="1034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7" w:space="0" w:color="0000FF"/>
              <w:right w:val="single" w:sz="12" w:space="0" w:color="0000FF"/>
            </w:tcBorders>
            <w:shd w:val="clear" w:color="auto" w:fill="CCCCCC"/>
          </w:tcPr>
          <w:p w:rsidR="00986EAA" w:rsidRDefault="00826011">
            <w:pPr>
              <w:spacing w:after="4"/>
              <w:ind w:left="0" w:firstLine="0"/>
              <w:jc w:val="left"/>
            </w:pPr>
            <w:r>
              <w:rPr>
                <w:b/>
              </w:rPr>
              <w:t xml:space="preserve">Cena celkem bez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rPr>
                <w:b/>
              </w:rPr>
              <w:t>DPH v Kč</w:t>
            </w: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7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7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302"/>
        </w:trPr>
        <w:tc>
          <w:tcPr>
            <w:tcW w:w="339" w:type="dxa"/>
            <w:tcBorders>
              <w:top w:val="single" w:sz="7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shd w:val="clear" w:color="auto" w:fill="DCE6F1"/>
          </w:tcPr>
          <w:p w:rsidR="00986EAA" w:rsidRDefault="00826011">
            <w:pPr>
              <w:spacing w:after="0"/>
              <w:ind w:left="67" w:firstLine="0"/>
              <w:jc w:val="left"/>
            </w:pPr>
            <w:r>
              <w:rPr>
                <w:color w:val="DCE6F1"/>
              </w:rPr>
              <w:t>400</w:t>
            </w:r>
          </w:p>
        </w:tc>
        <w:tc>
          <w:tcPr>
            <w:tcW w:w="5487" w:type="dxa"/>
            <w:gridSpan w:val="2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CE6F1"/>
          </w:tcPr>
          <w:p w:rsidR="00986EAA" w:rsidRDefault="00826011">
            <w:pPr>
              <w:spacing w:after="0"/>
              <w:ind w:left="334" w:firstLine="0"/>
              <w:jc w:val="left"/>
            </w:pPr>
            <w:r>
              <w:rPr>
                <w:b/>
                <w:color w:val="E26B0A"/>
                <w:sz w:val="11"/>
              </w:rPr>
              <w:t xml:space="preserve">Část 04 – Infekční sérologie, specifické proteiny </w:t>
            </w:r>
          </w:p>
        </w:tc>
        <w:tc>
          <w:tcPr>
            <w:tcW w:w="2117" w:type="dxa"/>
            <w:gridSpan w:val="2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CE6F1"/>
          </w:tcPr>
          <w:p w:rsidR="00986EAA" w:rsidRDefault="00826011">
            <w:pPr>
              <w:spacing w:after="0"/>
              <w:ind w:left="0" w:right="3" w:firstLine="0"/>
              <w:jc w:val="center"/>
            </w:pPr>
            <w:r>
              <w:rPr>
                <w:color w:val="E26B0A"/>
              </w:rPr>
              <w:t>CELKEM ZA SKUPINU</w:t>
            </w:r>
          </w:p>
        </w:tc>
        <w:tc>
          <w:tcPr>
            <w:tcW w:w="914" w:type="dxa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CE6F1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color w:val="E26B0A"/>
              </w:rPr>
              <w:t>33 560</w:t>
            </w:r>
          </w:p>
        </w:tc>
        <w:tc>
          <w:tcPr>
            <w:tcW w:w="1755" w:type="dxa"/>
            <w:gridSpan w:val="2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CE6F1"/>
          </w:tcPr>
          <w:p w:rsidR="00986EAA" w:rsidRDefault="00826011">
            <w:pPr>
              <w:spacing w:after="0"/>
              <w:ind w:left="0" w:right="3" w:firstLine="0"/>
              <w:jc w:val="center"/>
            </w:pPr>
            <w:r>
              <w:rPr>
                <w:color w:val="E26B0A"/>
              </w:rPr>
              <w:t>4 613 401,58 Kč</w:t>
            </w:r>
          </w:p>
        </w:tc>
        <w:tc>
          <w:tcPr>
            <w:tcW w:w="1034" w:type="dxa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DCE6F1"/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5"/>
        </w:trPr>
        <w:tc>
          <w:tcPr>
            <w:tcW w:w="339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7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0401</w:t>
            </w:r>
          </w:p>
        </w:tc>
        <w:tc>
          <w:tcPr>
            <w:tcW w:w="2743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double" w:sz="4" w:space="0" w:color="0000FF"/>
            </w:tcBorders>
          </w:tcPr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Anti-EBV IgM - automatizované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semikvantitativní/kvantitativní imunochemické stanovení hladin protilátek proti EBV ve třídě IgM v séru a/nebo plasmě metodou chemiluminescenční imunoanalýzy </w:t>
            </w:r>
          </w:p>
        </w:tc>
        <w:tc>
          <w:tcPr>
            <w:tcW w:w="2744" w:type="dxa"/>
            <w:vMerge w:val="restart"/>
            <w:tcBorders>
              <w:top w:val="single" w:sz="4" w:space="0" w:color="0000FF"/>
              <w:left w:val="double" w:sz="4" w:space="0" w:color="0000FF"/>
              <w:bottom w:val="single" w:sz="7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LIAISON EBV IgM (100 test)</w:t>
            </w:r>
          </w:p>
        </w:tc>
        <w:tc>
          <w:tcPr>
            <w:tcW w:w="123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310500</w:t>
            </w:r>
          </w:p>
        </w:tc>
        <w:tc>
          <w:tcPr>
            <w:tcW w:w="87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single" w:sz="4" w:space="0" w:color="0000FF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7" w:firstLine="0"/>
            </w:pPr>
            <w:r>
              <w:rPr>
                <w:b/>
              </w:rPr>
              <w:t>vyšetřený vzorek</w:t>
            </w:r>
          </w:p>
        </w:tc>
        <w:tc>
          <w:tcPr>
            <w:tcW w:w="91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3600</w:t>
            </w:r>
          </w:p>
        </w:tc>
        <w:tc>
          <w:tcPr>
            <w:tcW w:w="69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21,00%</w:t>
            </w:r>
          </w:p>
        </w:tc>
        <w:tc>
          <w:tcPr>
            <w:tcW w:w="1057" w:type="dxa"/>
            <w:vMerge w:val="restart"/>
            <w:tcBorders>
              <w:top w:val="single" w:sz="4" w:space="0" w:color="0000FF"/>
              <w:left w:val="nil"/>
              <w:bottom w:val="single" w:sz="7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986EAA">
            <w:pPr>
              <w:spacing w:after="0"/>
              <w:ind w:left="0" w:right="12" w:firstLine="0"/>
              <w:jc w:val="right"/>
            </w:pPr>
          </w:p>
        </w:tc>
        <w:tc>
          <w:tcPr>
            <w:tcW w:w="10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986EAA">
            <w:pPr>
              <w:spacing w:after="0"/>
              <w:ind w:left="34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4"/>
        </w:trPr>
        <w:tc>
          <w:tcPr>
            <w:tcW w:w="339" w:type="dxa"/>
            <w:vMerge w:val="restart"/>
            <w:tcBorders>
              <w:top w:val="single" w:sz="7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0402</w:t>
            </w:r>
          </w:p>
        </w:tc>
        <w:tc>
          <w:tcPr>
            <w:tcW w:w="2743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Anti-VCA IgG - automatizované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semikvantitativní/kvantitativní imunochemické stanovení hladin protilátek proti VCA EBV ve třídě IgG v séru a/nebo plasmě metodou chemiluminescenční imunoanalýzy </w:t>
            </w:r>
          </w:p>
        </w:tc>
        <w:tc>
          <w:tcPr>
            <w:tcW w:w="2744" w:type="dxa"/>
            <w:vMerge w:val="restart"/>
            <w:tcBorders>
              <w:top w:val="single" w:sz="7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LIAISON VCA IgG (100 test)</w:t>
            </w:r>
          </w:p>
        </w:tc>
        <w:tc>
          <w:tcPr>
            <w:tcW w:w="1239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310510</w:t>
            </w:r>
          </w:p>
        </w:tc>
        <w:tc>
          <w:tcPr>
            <w:tcW w:w="878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7" w:firstLine="0"/>
            </w:pPr>
            <w:r>
              <w:rPr>
                <w:b/>
              </w:rPr>
              <w:t>vyšetřený vzorek</w:t>
            </w:r>
          </w:p>
        </w:tc>
        <w:tc>
          <w:tcPr>
            <w:tcW w:w="914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3600</w:t>
            </w:r>
          </w:p>
        </w:tc>
        <w:tc>
          <w:tcPr>
            <w:tcW w:w="698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21,00%</w:t>
            </w:r>
          </w:p>
        </w:tc>
        <w:tc>
          <w:tcPr>
            <w:tcW w:w="1057" w:type="dxa"/>
            <w:vMerge w:val="restart"/>
            <w:tcBorders>
              <w:top w:val="single" w:sz="7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986EAA">
            <w:pPr>
              <w:spacing w:after="0"/>
              <w:ind w:left="0" w:right="12" w:firstLine="0"/>
              <w:jc w:val="right"/>
            </w:pPr>
          </w:p>
        </w:tc>
        <w:tc>
          <w:tcPr>
            <w:tcW w:w="1034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986EAA">
            <w:pPr>
              <w:spacing w:after="0"/>
              <w:ind w:left="34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4"/>
        </w:trPr>
        <w:tc>
          <w:tcPr>
            <w:tcW w:w="339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7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0403</w:t>
            </w:r>
          </w:p>
        </w:tc>
        <w:tc>
          <w:tcPr>
            <w:tcW w:w="2743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double" w:sz="4" w:space="0" w:color="0000FF"/>
            </w:tcBorders>
          </w:tcPr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Anti-EBNA-1 IgG - automatizované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semikvantitativní/kvantitativní imunochemické stanovení hladin protilátek proti EBNA-1 EBV ve třídě IgG v séru a/nebo plasmě metodou chemiluminescenční imunoanalýzy </w:t>
            </w:r>
          </w:p>
        </w:tc>
        <w:tc>
          <w:tcPr>
            <w:tcW w:w="2744" w:type="dxa"/>
            <w:vMerge w:val="restart"/>
            <w:tcBorders>
              <w:top w:val="single" w:sz="4" w:space="0" w:color="0000FF"/>
              <w:left w:val="double" w:sz="4" w:space="0" w:color="0000FF"/>
              <w:bottom w:val="single" w:sz="7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LIAISON EBNA IgG (100 test)</w:t>
            </w:r>
          </w:p>
        </w:tc>
        <w:tc>
          <w:tcPr>
            <w:tcW w:w="123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310520</w:t>
            </w:r>
          </w:p>
        </w:tc>
        <w:tc>
          <w:tcPr>
            <w:tcW w:w="87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single" w:sz="4" w:space="0" w:color="0000FF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7" w:firstLine="0"/>
            </w:pPr>
            <w:r>
              <w:rPr>
                <w:b/>
              </w:rPr>
              <w:t>vyšetřený vzorek</w:t>
            </w:r>
          </w:p>
        </w:tc>
        <w:tc>
          <w:tcPr>
            <w:tcW w:w="91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3000</w:t>
            </w:r>
          </w:p>
        </w:tc>
        <w:tc>
          <w:tcPr>
            <w:tcW w:w="69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21,00%</w:t>
            </w:r>
          </w:p>
        </w:tc>
        <w:tc>
          <w:tcPr>
            <w:tcW w:w="1057" w:type="dxa"/>
            <w:vMerge w:val="restart"/>
            <w:tcBorders>
              <w:top w:val="single" w:sz="4" w:space="0" w:color="0000FF"/>
              <w:left w:val="nil"/>
              <w:bottom w:val="single" w:sz="7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986EAA">
            <w:pPr>
              <w:spacing w:after="0"/>
              <w:ind w:left="0" w:right="12" w:firstLine="0"/>
              <w:jc w:val="right"/>
            </w:pPr>
          </w:p>
        </w:tc>
        <w:tc>
          <w:tcPr>
            <w:tcW w:w="10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986EAA">
            <w:pPr>
              <w:spacing w:after="0"/>
              <w:ind w:left="34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4"/>
        </w:trPr>
        <w:tc>
          <w:tcPr>
            <w:tcW w:w="339" w:type="dxa"/>
            <w:vMerge w:val="restart"/>
            <w:tcBorders>
              <w:top w:val="single" w:sz="7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0404</w:t>
            </w:r>
          </w:p>
        </w:tc>
        <w:tc>
          <w:tcPr>
            <w:tcW w:w="2743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Anti-EA IgG - automatizované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semikvantitativní/kvantitativní imunochemické stanovení hladinprotilátek proti EA EBV ve třídě IgG v séru a/nebo plasmě metodou chemiluminescenční imunoanalýzy </w:t>
            </w:r>
          </w:p>
        </w:tc>
        <w:tc>
          <w:tcPr>
            <w:tcW w:w="2744" w:type="dxa"/>
            <w:vMerge w:val="restart"/>
            <w:tcBorders>
              <w:top w:val="single" w:sz="7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LIAISON EA IgG (100 test)</w:t>
            </w:r>
          </w:p>
        </w:tc>
        <w:tc>
          <w:tcPr>
            <w:tcW w:w="1239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310540</w:t>
            </w:r>
          </w:p>
        </w:tc>
        <w:tc>
          <w:tcPr>
            <w:tcW w:w="878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7" w:firstLine="0"/>
            </w:pPr>
            <w:r>
              <w:rPr>
                <w:b/>
              </w:rPr>
              <w:t>vyšetřený vzorek</w:t>
            </w:r>
          </w:p>
        </w:tc>
        <w:tc>
          <w:tcPr>
            <w:tcW w:w="914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3200</w:t>
            </w:r>
          </w:p>
        </w:tc>
        <w:tc>
          <w:tcPr>
            <w:tcW w:w="698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21,00%</w:t>
            </w:r>
          </w:p>
        </w:tc>
        <w:tc>
          <w:tcPr>
            <w:tcW w:w="1057" w:type="dxa"/>
            <w:vMerge w:val="restart"/>
            <w:tcBorders>
              <w:top w:val="single" w:sz="7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986EAA">
            <w:pPr>
              <w:spacing w:after="0"/>
              <w:ind w:left="0" w:right="12" w:firstLine="0"/>
              <w:jc w:val="right"/>
            </w:pPr>
          </w:p>
        </w:tc>
        <w:tc>
          <w:tcPr>
            <w:tcW w:w="1034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986EAA">
            <w:pPr>
              <w:spacing w:after="0"/>
              <w:ind w:left="34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4"/>
        </w:trPr>
        <w:tc>
          <w:tcPr>
            <w:tcW w:w="339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7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0405</w:t>
            </w:r>
          </w:p>
        </w:tc>
        <w:tc>
          <w:tcPr>
            <w:tcW w:w="2743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double" w:sz="4" w:space="0" w:color="0000FF"/>
            </w:tcBorders>
          </w:tcPr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Anti-VZV IgG - automatizované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lastRenderedPageBreak/>
              <w:t>semikvantitativní/kvantitativní imunochemické stanovení hladinprotilátek proti VZV ve třídě IgG v séru a/nebo plasmě</w:t>
            </w:r>
          </w:p>
        </w:tc>
        <w:tc>
          <w:tcPr>
            <w:tcW w:w="2744" w:type="dxa"/>
            <w:vMerge w:val="restart"/>
            <w:tcBorders>
              <w:top w:val="single" w:sz="4" w:space="0" w:color="0000FF"/>
              <w:left w:val="double" w:sz="4" w:space="0" w:color="0000FF"/>
              <w:bottom w:val="single" w:sz="7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lastRenderedPageBreak/>
              <w:t>LIAISON VZV IgG</w:t>
            </w:r>
          </w:p>
        </w:tc>
        <w:tc>
          <w:tcPr>
            <w:tcW w:w="123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310850L</w:t>
            </w:r>
          </w:p>
        </w:tc>
        <w:tc>
          <w:tcPr>
            <w:tcW w:w="87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nil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7" w:firstLine="0"/>
            </w:pPr>
            <w:r>
              <w:rPr>
                <w:b/>
              </w:rPr>
              <w:t>vyšetřený vzorek</w:t>
            </w:r>
          </w:p>
        </w:tc>
        <w:tc>
          <w:tcPr>
            <w:tcW w:w="914" w:type="dxa"/>
            <w:vMerge w:val="restart"/>
            <w:tcBorders>
              <w:top w:val="single" w:sz="4" w:space="0" w:color="0000FF"/>
              <w:left w:val="nil"/>
              <w:bottom w:val="single" w:sz="7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1400</w:t>
            </w:r>
          </w:p>
        </w:tc>
        <w:tc>
          <w:tcPr>
            <w:tcW w:w="69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21,00%</w:t>
            </w:r>
          </w:p>
        </w:tc>
        <w:tc>
          <w:tcPr>
            <w:tcW w:w="1057" w:type="dxa"/>
            <w:vMerge w:val="restart"/>
            <w:tcBorders>
              <w:top w:val="single" w:sz="4" w:space="0" w:color="0000FF"/>
              <w:left w:val="nil"/>
              <w:bottom w:val="single" w:sz="7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986EAA">
            <w:pPr>
              <w:spacing w:after="0"/>
              <w:ind w:left="0" w:right="12" w:firstLine="0"/>
              <w:jc w:val="right"/>
            </w:pPr>
          </w:p>
        </w:tc>
        <w:tc>
          <w:tcPr>
            <w:tcW w:w="10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986EAA">
            <w:pPr>
              <w:spacing w:after="0"/>
              <w:ind w:left="34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4"/>
        </w:trPr>
        <w:tc>
          <w:tcPr>
            <w:tcW w:w="339" w:type="dxa"/>
            <w:vMerge w:val="restart"/>
            <w:tcBorders>
              <w:top w:val="single" w:sz="7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0406</w:t>
            </w:r>
          </w:p>
        </w:tc>
        <w:tc>
          <w:tcPr>
            <w:tcW w:w="2743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Anti-VZV IgM - automatizované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>semikvantitativní/kvantitativní imunochemické stanovení hladinprotilátek proti VZV ve třídě IgM v séru a/nebo plasmě</w:t>
            </w:r>
          </w:p>
        </w:tc>
        <w:tc>
          <w:tcPr>
            <w:tcW w:w="2744" w:type="dxa"/>
            <w:vMerge w:val="restart"/>
            <w:tcBorders>
              <w:top w:val="single" w:sz="7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LIAISON VZV IgM</w:t>
            </w:r>
          </w:p>
        </w:tc>
        <w:tc>
          <w:tcPr>
            <w:tcW w:w="1239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310860</w:t>
            </w:r>
          </w:p>
        </w:tc>
        <w:tc>
          <w:tcPr>
            <w:tcW w:w="878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7" w:firstLine="0"/>
            </w:pPr>
            <w:r>
              <w:rPr>
                <w:b/>
              </w:rPr>
              <w:t>vyšetřený vzorek</w:t>
            </w:r>
          </w:p>
        </w:tc>
        <w:tc>
          <w:tcPr>
            <w:tcW w:w="914" w:type="dxa"/>
            <w:vMerge w:val="restart"/>
            <w:tcBorders>
              <w:top w:val="single" w:sz="7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880</w:t>
            </w:r>
          </w:p>
        </w:tc>
        <w:tc>
          <w:tcPr>
            <w:tcW w:w="698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21,00%</w:t>
            </w:r>
          </w:p>
        </w:tc>
        <w:tc>
          <w:tcPr>
            <w:tcW w:w="1057" w:type="dxa"/>
            <w:vMerge w:val="restart"/>
            <w:tcBorders>
              <w:top w:val="single" w:sz="7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986EAA">
            <w:pPr>
              <w:spacing w:after="0"/>
              <w:ind w:left="0" w:right="12" w:firstLine="0"/>
              <w:jc w:val="right"/>
            </w:pPr>
          </w:p>
        </w:tc>
        <w:tc>
          <w:tcPr>
            <w:tcW w:w="1034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986EAA">
            <w:pPr>
              <w:spacing w:after="0"/>
              <w:ind w:left="34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54"/>
        </w:trPr>
        <w:tc>
          <w:tcPr>
            <w:tcW w:w="339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7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0407</w:t>
            </w:r>
          </w:p>
        </w:tc>
        <w:tc>
          <w:tcPr>
            <w:tcW w:w="2743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double" w:sz="4" w:space="0" w:color="0000FF"/>
            </w:tcBorders>
          </w:tcPr>
          <w:p w:rsidR="00986EAA" w:rsidRDefault="00826011">
            <w:pPr>
              <w:spacing w:after="0" w:line="257" w:lineRule="auto"/>
              <w:ind w:left="0" w:firstLine="0"/>
              <w:jc w:val="left"/>
            </w:pPr>
            <w:r>
              <w:t xml:space="preserve">Protilátky proti viru zarděnek IgG - automatizované semikvantitativní/kvantitativní imunochemické stanovení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hladin protilátek proti viru zarděnek ve třídě IgG v séru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a/nebo plasmě metodou chemiluminescenční imunoanalýzy </w:t>
            </w:r>
          </w:p>
        </w:tc>
        <w:tc>
          <w:tcPr>
            <w:tcW w:w="2744" w:type="dxa"/>
            <w:vMerge w:val="restart"/>
            <w:tcBorders>
              <w:top w:val="single" w:sz="4" w:space="0" w:color="0000FF"/>
              <w:left w:val="double" w:sz="4" w:space="0" w:color="0000FF"/>
              <w:bottom w:val="single" w:sz="7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LIAISON Rubella IgG</w:t>
            </w:r>
          </w:p>
        </w:tc>
        <w:tc>
          <w:tcPr>
            <w:tcW w:w="123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310720</w:t>
            </w:r>
          </w:p>
        </w:tc>
        <w:tc>
          <w:tcPr>
            <w:tcW w:w="87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nil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7" w:firstLine="0"/>
            </w:pPr>
            <w:r>
              <w:rPr>
                <w:b/>
              </w:rPr>
              <w:t>vyšetř</w:t>
            </w:r>
            <w:r>
              <w:rPr>
                <w:b/>
              </w:rPr>
              <w:t>ený vzorek</w:t>
            </w:r>
          </w:p>
        </w:tc>
        <w:tc>
          <w:tcPr>
            <w:tcW w:w="914" w:type="dxa"/>
            <w:vMerge w:val="restart"/>
            <w:tcBorders>
              <w:top w:val="single" w:sz="4" w:space="0" w:color="0000FF"/>
              <w:left w:val="nil"/>
              <w:bottom w:val="single" w:sz="7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400</w:t>
            </w:r>
          </w:p>
        </w:tc>
        <w:tc>
          <w:tcPr>
            <w:tcW w:w="69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21,00%</w:t>
            </w:r>
          </w:p>
        </w:tc>
        <w:tc>
          <w:tcPr>
            <w:tcW w:w="1057" w:type="dxa"/>
            <w:vMerge w:val="restart"/>
            <w:tcBorders>
              <w:top w:val="single" w:sz="4" w:space="0" w:color="0000FF"/>
              <w:left w:val="nil"/>
              <w:bottom w:val="single" w:sz="7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986EAA">
            <w:pPr>
              <w:spacing w:after="0"/>
              <w:ind w:left="0" w:right="12" w:firstLine="0"/>
              <w:jc w:val="right"/>
            </w:pPr>
          </w:p>
        </w:tc>
        <w:tc>
          <w:tcPr>
            <w:tcW w:w="10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7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986EAA">
            <w:pPr>
              <w:spacing w:after="0"/>
              <w:ind w:left="34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7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4"/>
        </w:trPr>
        <w:tc>
          <w:tcPr>
            <w:tcW w:w="339" w:type="dxa"/>
            <w:vMerge w:val="restart"/>
            <w:tcBorders>
              <w:top w:val="single" w:sz="7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0408</w:t>
            </w:r>
          </w:p>
        </w:tc>
        <w:tc>
          <w:tcPr>
            <w:tcW w:w="2743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826011">
            <w:pPr>
              <w:spacing w:after="0" w:line="257" w:lineRule="auto"/>
              <w:ind w:left="0" w:firstLine="0"/>
              <w:jc w:val="left"/>
            </w:pPr>
            <w:r>
              <w:t xml:space="preserve">Protilátky proti viru zarděnek IgM - automatizované semikvantitativní/kvantitativní imunochemické stanovení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hladin protilátek proti viru zarděnek ve třídě IgM v séru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a/nebo plasmě metodou chemiluminescenční imunoanalýzy </w:t>
            </w:r>
          </w:p>
        </w:tc>
        <w:tc>
          <w:tcPr>
            <w:tcW w:w="2744" w:type="dxa"/>
            <w:vMerge w:val="restart"/>
            <w:tcBorders>
              <w:top w:val="single" w:sz="7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LIAISON Rubella IgM (100 test)</w:t>
            </w:r>
          </w:p>
        </w:tc>
        <w:tc>
          <w:tcPr>
            <w:tcW w:w="1239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31</w:t>
            </w:r>
            <w:r>
              <w:rPr>
                <w:color w:val="E26B0A"/>
              </w:rPr>
              <w:t>0730</w:t>
            </w:r>
          </w:p>
        </w:tc>
        <w:tc>
          <w:tcPr>
            <w:tcW w:w="878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7" w:firstLine="0"/>
            </w:pPr>
            <w:r>
              <w:rPr>
                <w:b/>
              </w:rPr>
              <w:t>vyšetřený vzorek</w:t>
            </w:r>
          </w:p>
        </w:tc>
        <w:tc>
          <w:tcPr>
            <w:tcW w:w="914" w:type="dxa"/>
            <w:vMerge w:val="restart"/>
            <w:tcBorders>
              <w:top w:val="single" w:sz="7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21,00%</w:t>
            </w:r>
          </w:p>
        </w:tc>
        <w:tc>
          <w:tcPr>
            <w:tcW w:w="1057" w:type="dxa"/>
            <w:vMerge w:val="restart"/>
            <w:tcBorders>
              <w:top w:val="single" w:sz="7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986EAA">
            <w:pPr>
              <w:spacing w:after="0"/>
              <w:ind w:left="0" w:right="12" w:firstLine="0"/>
              <w:jc w:val="right"/>
            </w:pPr>
          </w:p>
        </w:tc>
        <w:tc>
          <w:tcPr>
            <w:tcW w:w="1034" w:type="dxa"/>
            <w:vMerge w:val="restart"/>
            <w:tcBorders>
              <w:top w:val="single" w:sz="7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986EAA">
            <w:pPr>
              <w:spacing w:after="0"/>
              <w:ind w:left="34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4"/>
        </w:trPr>
        <w:tc>
          <w:tcPr>
            <w:tcW w:w="339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0409</w:t>
            </w:r>
          </w:p>
        </w:tc>
        <w:tc>
          <w:tcPr>
            <w:tcW w:w="2743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826011">
            <w:pPr>
              <w:spacing w:after="0" w:line="257" w:lineRule="auto"/>
              <w:ind w:left="0" w:firstLine="0"/>
              <w:jc w:val="left"/>
            </w:pPr>
            <w:r>
              <w:t xml:space="preserve">Protilátky proti viru spalniček IgG - automatizované semikvantitativní/kvantitativní imunochemické stanovení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hladin protilátek proti viru spalniček ve třídě IgG v séru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a/nebo plasmě metodou chemiluminescenční imunoanalýzy </w:t>
            </w:r>
          </w:p>
        </w:tc>
        <w:tc>
          <w:tcPr>
            <w:tcW w:w="2744" w:type="dxa"/>
            <w:vMerge w:val="restart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LIAISON  Measles IgG</w:t>
            </w:r>
          </w:p>
        </w:tc>
        <w:tc>
          <w:tcPr>
            <w:tcW w:w="123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318810</w:t>
            </w:r>
          </w:p>
        </w:tc>
        <w:tc>
          <w:tcPr>
            <w:tcW w:w="87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7" w:firstLine="0"/>
            </w:pPr>
            <w:r>
              <w:rPr>
                <w:b/>
              </w:rPr>
              <w:t>vyš</w:t>
            </w:r>
            <w:r>
              <w:rPr>
                <w:b/>
              </w:rPr>
              <w:t>etřený vzorek</w:t>
            </w:r>
          </w:p>
        </w:tc>
        <w:tc>
          <w:tcPr>
            <w:tcW w:w="914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4800</w:t>
            </w:r>
          </w:p>
        </w:tc>
        <w:tc>
          <w:tcPr>
            <w:tcW w:w="69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21,00%</w:t>
            </w:r>
          </w:p>
        </w:tc>
        <w:tc>
          <w:tcPr>
            <w:tcW w:w="1057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986EAA">
            <w:pPr>
              <w:spacing w:after="0"/>
              <w:ind w:left="0" w:right="12" w:firstLine="0"/>
              <w:jc w:val="right"/>
            </w:pPr>
          </w:p>
        </w:tc>
        <w:tc>
          <w:tcPr>
            <w:tcW w:w="10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986EAA">
            <w:pPr>
              <w:spacing w:after="0"/>
              <w:ind w:left="34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</w:tbl>
    <w:p w:rsidR="00986EAA" w:rsidRDefault="00826011">
      <w:pPr>
        <w:ind w:left="5948" w:right="-1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993648</wp:posOffset>
                </wp:positionH>
                <wp:positionV relativeFrom="page">
                  <wp:posOffset>6358128</wp:posOffset>
                </wp:positionV>
                <wp:extent cx="3685591" cy="356616"/>
                <wp:effectExtent l="0" t="0" r="0" b="0"/>
                <wp:wrapTopAndBottom/>
                <wp:docPr id="32789" name="Group 32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5591" cy="356616"/>
                          <a:chOff x="0" y="0"/>
                          <a:chExt cx="3685591" cy="356616"/>
                        </a:xfrm>
                      </wpg:grpSpPr>
                      <wps:wsp>
                        <wps:cNvPr id="34321" name="Shape 34321"/>
                        <wps:cNvSpPr/>
                        <wps:spPr>
                          <a:xfrm>
                            <a:off x="199949" y="0"/>
                            <a:ext cx="174345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456" h="82296">
                                <a:moveTo>
                                  <a:pt x="0" y="0"/>
                                </a:moveTo>
                                <a:lnTo>
                                  <a:pt x="1743456" y="0"/>
                                </a:lnTo>
                                <a:lnTo>
                                  <a:pt x="1743456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6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22" name="Shape 34322"/>
                        <wps:cNvSpPr/>
                        <wps:spPr>
                          <a:xfrm>
                            <a:off x="199949" y="242316"/>
                            <a:ext cx="348564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5642" h="114300">
                                <a:moveTo>
                                  <a:pt x="0" y="0"/>
                                </a:moveTo>
                                <a:lnTo>
                                  <a:pt x="3485642" y="0"/>
                                </a:lnTo>
                                <a:lnTo>
                                  <a:pt x="3485642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6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1" name="Rectangle 2661"/>
                        <wps:cNvSpPr/>
                        <wps:spPr>
                          <a:xfrm>
                            <a:off x="0" y="4701"/>
                            <a:ext cx="184251" cy="97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EAA" w:rsidRDefault="0082601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Dne: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2" name="Rectangle 2662"/>
                        <wps:cNvSpPr/>
                        <wps:spPr>
                          <a:xfrm>
                            <a:off x="215189" y="16299"/>
                            <a:ext cx="915067" cy="81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EAA" w:rsidRDefault="0082601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úterý 17. prosinec 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3" name="Rectangle 2663"/>
                        <wps:cNvSpPr/>
                        <wps:spPr>
                          <a:xfrm>
                            <a:off x="215189" y="177843"/>
                            <a:ext cx="2597993" cy="81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EAA" w:rsidRDefault="0082601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538DD5"/>
                                </w:rPr>
                                <w:t>Zpracoval / jméno, příjmení, funkce oprávněné osoby za účastníka: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4" name="Rectangle 2664"/>
                        <wps:cNvSpPr/>
                        <wps:spPr>
                          <a:xfrm>
                            <a:off x="320294" y="272331"/>
                            <a:ext cx="2491835" cy="81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EAA" w:rsidRDefault="0082601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RNDr. Milan Šrot, jednatel společnosti DiaSorin Czech s.r.o.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789" o:spid="_x0000_s1029" style="position:absolute;left:0;text-align:left;margin-left:78.25pt;margin-top:500.65pt;width:290.2pt;height:28.1pt;z-index:251659264;mso-position-horizontal-relative:page;mso-position-vertical-relative:page" coordsize="36855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">
                <v:shape id="Shape 34321" o:spid="_x0000_s1030" style="position:absolute;left:1999;width:17435;height:822;visibility:visible;mso-wrap-style:square;v-text-anchor:top" coordsize="1743456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" path="m,l1743456,r,82296l,82296,,e" fillcolor="#dce6f1" stroked="f" strokeweight="0">
                  <v:stroke miterlimit="83231f" joinstyle="miter"/>
                  <v:path arrowok="t" textboxrect="0,0,1743456,82296"/>
                </v:shape>
                <v:shape id="Shape 34322" o:spid="_x0000_s1031" style="position:absolute;left:1999;top:2423;width:34856;height:1143;visibility:visible;mso-wrap-style:square;v-text-anchor:top" coordsize="348564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" path="m,l3485642,r,114300l,114300,,e" fillcolor="#dce6f1" stroked="f" strokeweight="0">
                  <v:stroke miterlimit="83231f" joinstyle="miter"/>
                  <v:path arrowok="t" textboxrect="0,0,3485642,114300"/>
                </v:shape>
                <v:rect id="Rectangle 2661" o:spid="_x0000_s1032" style="position:absolute;top:47;width:1842;height: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Vb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" filled="f" stroked="f">
                  <v:textbox inset="0,0,0,0">
                    <w:txbxContent>
                      <w:p w:rsidR="00986EAA" w:rsidRDefault="0082601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Dne:</w:t>
                        </w:r>
                      </w:p>
                    </w:txbxContent>
                  </v:textbox>
                </v:rect>
                <v:rect id="Rectangle 2662" o:spid="_x0000_s1033" style="position:absolute;left:2151;top:162;width:9151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8ss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" filled="f" stroked="f">
                  <v:textbox inset="0,0,0,0">
                    <w:txbxContent>
                      <w:p w:rsidR="00986EAA" w:rsidRDefault="0082601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úterý 17. prosinec 2019</w:t>
                        </w:r>
                      </w:p>
                    </w:txbxContent>
                  </v:textbox>
                </v:rect>
                <v:rect id="Rectangle 2663" o:spid="_x0000_s1034" style="position:absolute;left:2151;top:1778;width:25980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263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" filled="f" stroked="f">
                  <v:textbox inset="0,0,0,0">
                    <w:txbxContent>
                      <w:p w:rsidR="00986EAA" w:rsidRDefault="0082601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538DD5"/>
                          </w:rPr>
                          <w:t>Zpracoval / jméno, příjmení, funkce oprávněné osoby za účastníka:</w:t>
                        </w:r>
                      </w:p>
                    </w:txbxContent>
                  </v:textbox>
                </v:rect>
                <v:rect id="Rectangle 2664" o:spid="_x0000_s1035" style="position:absolute;left:3202;top:2723;width:24919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vbD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" filled="f" stroked="f">
                  <v:textbox inset="0,0,0,0">
                    <w:txbxContent>
                      <w:p w:rsidR="00986EAA" w:rsidRDefault="0082601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RNDr. Milan Šrot, jednatel společnosti DiaSorin Czech s.r.o.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i/>
          <w:color w:val="2C67AF"/>
          <w:sz w:val="14"/>
        </w:rPr>
        <w:t xml:space="preserve">ZUUL – dodávka látek pro diagnostické metody 2019, </w:t>
      </w:r>
      <w:r>
        <w:t>Příloha A  kupní smlouvy - předpokládaná spotřeba produktů a ceny za dobu t</w:t>
      </w:r>
      <w:r>
        <w:t xml:space="preserve">rvání smlouvy </w:t>
      </w:r>
      <w:r>
        <w:rPr>
          <w:rFonts w:ascii="Calibri" w:eastAsia="Calibri" w:hAnsi="Calibri" w:cs="Calibri"/>
          <w:b/>
          <w:i/>
          <w:color w:val="2C67AF"/>
          <w:sz w:val="14"/>
        </w:rPr>
        <w:t xml:space="preserve"> druhá etapa</w:t>
      </w:r>
    </w:p>
    <w:tbl>
      <w:tblPr>
        <w:tblStyle w:val="TableGrid"/>
        <w:tblW w:w="11647" w:type="dxa"/>
        <w:tblInd w:w="-526" w:type="dxa"/>
        <w:tblCellMar>
          <w:top w:w="0" w:type="dxa"/>
          <w:left w:w="24" w:type="dxa"/>
          <w:bottom w:w="38" w:type="dxa"/>
          <w:right w:w="13" w:type="dxa"/>
        </w:tblCellMar>
        <w:tblLook w:val="04A0" w:firstRow="1" w:lastRow="0" w:firstColumn="1" w:lastColumn="0" w:noHBand="0" w:noVBand="1"/>
      </w:tblPr>
      <w:tblGrid>
        <w:gridCol w:w="340"/>
        <w:gridCol w:w="2743"/>
        <w:gridCol w:w="2744"/>
        <w:gridCol w:w="1239"/>
        <w:gridCol w:w="878"/>
        <w:gridCol w:w="914"/>
        <w:gridCol w:w="698"/>
        <w:gridCol w:w="1057"/>
        <w:gridCol w:w="1034"/>
      </w:tblGrid>
      <w:tr w:rsidR="00986EAA">
        <w:trPr>
          <w:trHeight w:val="137"/>
        </w:trPr>
        <w:tc>
          <w:tcPr>
            <w:tcW w:w="339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0410</w:t>
            </w:r>
          </w:p>
        </w:tc>
        <w:tc>
          <w:tcPr>
            <w:tcW w:w="2743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826011">
            <w:pPr>
              <w:spacing w:after="0" w:line="257" w:lineRule="auto"/>
              <w:ind w:left="0" w:firstLine="0"/>
              <w:jc w:val="left"/>
            </w:pPr>
            <w:r>
              <w:t xml:space="preserve">Protilátky proti viru spalniček IgM - automatizované semikvantitativní/kvantitativní imunochemické stanovení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hladin protilátek proti viru spalniček ve třídě IgM v séru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a/nebo plasmě metodou chemiluminescenční imunoanalýzy </w:t>
            </w:r>
          </w:p>
        </w:tc>
        <w:tc>
          <w:tcPr>
            <w:tcW w:w="2744" w:type="dxa"/>
            <w:vMerge w:val="restart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LIAISON ® Measles IgM</w:t>
            </w:r>
          </w:p>
        </w:tc>
        <w:tc>
          <w:tcPr>
            <w:tcW w:w="123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318820</w:t>
            </w:r>
          </w:p>
        </w:tc>
        <w:tc>
          <w:tcPr>
            <w:tcW w:w="87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7" w:firstLine="0"/>
            </w:pPr>
            <w:r>
              <w:rPr>
                <w:b/>
              </w:rPr>
              <w:t>vyšetřený vzorek</w:t>
            </w:r>
          </w:p>
        </w:tc>
        <w:tc>
          <w:tcPr>
            <w:tcW w:w="914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1400</w:t>
            </w:r>
          </w:p>
        </w:tc>
        <w:tc>
          <w:tcPr>
            <w:tcW w:w="69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C2FEBA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21,00%</w:t>
            </w:r>
          </w:p>
        </w:tc>
        <w:tc>
          <w:tcPr>
            <w:tcW w:w="1057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986EAA">
            <w:pPr>
              <w:spacing w:after="0"/>
              <w:ind w:left="0" w:right="12" w:firstLine="0"/>
              <w:jc w:val="right"/>
            </w:pPr>
          </w:p>
        </w:tc>
        <w:tc>
          <w:tcPr>
            <w:tcW w:w="10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986EAA">
            <w:pPr>
              <w:spacing w:after="0"/>
              <w:ind w:left="34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5"/>
        </w:trPr>
        <w:tc>
          <w:tcPr>
            <w:tcW w:w="339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0411</w:t>
            </w:r>
          </w:p>
        </w:tc>
        <w:tc>
          <w:tcPr>
            <w:tcW w:w="2743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826011">
            <w:pPr>
              <w:spacing w:after="0" w:line="257" w:lineRule="auto"/>
              <w:ind w:left="0" w:firstLine="0"/>
              <w:jc w:val="left"/>
            </w:pPr>
            <w:r>
              <w:t xml:space="preserve">Protilátky proti viru příušnic IgG - automatizované semikvantitativní/kvantitativní imunochemické stanovení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lastRenderedPageBreak/>
              <w:t xml:space="preserve">hladin protilátek proti viru příušnic ve třídě IgG v séru a/nebo plasmě metodou chemiluminescenční imunoanalýzy </w:t>
            </w:r>
          </w:p>
        </w:tc>
        <w:tc>
          <w:tcPr>
            <w:tcW w:w="2744" w:type="dxa"/>
            <w:vMerge w:val="restart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lastRenderedPageBreak/>
              <w:t>LIAISON ® Mumps IgG</w:t>
            </w:r>
          </w:p>
        </w:tc>
        <w:tc>
          <w:tcPr>
            <w:tcW w:w="123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318840</w:t>
            </w:r>
          </w:p>
        </w:tc>
        <w:tc>
          <w:tcPr>
            <w:tcW w:w="87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7" w:firstLine="0"/>
            </w:pPr>
            <w:r>
              <w:rPr>
                <w:b/>
              </w:rPr>
              <w:t>vyšetře</w:t>
            </w:r>
            <w:r>
              <w:rPr>
                <w:b/>
              </w:rPr>
              <w:t>ný vzorek</w:t>
            </w:r>
          </w:p>
        </w:tc>
        <w:tc>
          <w:tcPr>
            <w:tcW w:w="91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600</w:t>
            </w:r>
          </w:p>
        </w:tc>
        <w:tc>
          <w:tcPr>
            <w:tcW w:w="69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21,00%</w:t>
            </w:r>
          </w:p>
        </w:tc>
        <w:tc>
          <w:tcPr>
            <w:tcW w:w="1057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986EAA">
            <w:pPr>
              <w:spacing w:after="0"/>
              <w:ind w:left="0" w:right="12" w:firstLine="0"/>
              <w:jc w:val="right"/>
            </w:pPr>
          </w:p>
        </w:tc>
        <w:tc>
          <w:tcPr>
            <w:tcW w:w="10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986EAA">
            <w:pPr>
              <w:spacing w:after="0"/>
              <w:ind w:left="34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4"/>
        </w:trPr>
        <w:tc>
          <w:tcPr>
            <w:tcW w:w="339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0412</w:t>
            </w:r>
          </w:p>
        </w:tc>
        <w:tc>
          <w:tcPr>
            <w:tcW w:w="2743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826011">
            <w:pPr>
              <w:spacing w:after="0" w:line="257" w:lineRule="auto"/>
              <w:ind w:left="0" w:firstLine="0"/>
              <w:jc w:val="left"/>
            </w:pPr>
            <w:r>
              <w:t xml:space="preserve">Protilátky proti viru příušnic IgM - automatizované semikvantitativní/kvantitativní imunochemické stanovení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hladin protilátek proti viru příušnic ve třídě IgM v séru a/nebo plasmě metodou chemiluminescenční imunoanalýzy </w:t>
            </w:r>
          </w:p>
        </w:tc>
        <w:tc>
          <w:tcPr>
            <w:tcW w:w="2744" w:type="dxa"/>
            <w:vMerge w:val="restart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LIAISON  Mumps IgM</w:t>
            </w:r>
          </w:p>
        </w:tc>
        <w:tc>
          <w:tcPr>
            <w:tcW w:w="123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318830</w:t>
            </w:r>
          </w:p>
        </w:tc>
        <w:tc>
          <w:tcPr>
            <w:tcW w:w="87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7" w:firstLine="0"/>
            </w:pPr>
            <w:r>
              <w:rPr>
                <w:b/>
              </w:rPr>
              <w:t>vyšetřen</w:t>
            </w:r>
            <w:r>
              <w:rPr>
                <w:b/>
              </w:rPr>
              <w:t>ý vzorek</w:t>
            </w:r>
          </w:p>
        </w:tc>
        <w:tc>
          <w:tcPr>
            <w:tcW w:w="91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400</w:t>
            </w:r>
          </w:p>
        </w:tc>
        <w:tc>
          <w:tcPr>
            <w:tcW w:w="69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21,00%</w:t>
            </w:r>
          </w:p>
        </w:tc>
        <w:tc>
          <w:tcPr>
            <w:tcW w:w="1057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986EAA">
            <w:pPr>
              <w:spacing w:after="0"/>
              <w:ind w:left="0" w:right="12" w:firstLine="0"/>
              <w:jc w:val="right"/>
            </w:pPr>
            <w:bookmarkStart w:id="0" w:name="_GoBack"/>
            <w:bookmarkEnd w:id="0"/>
          </w:p>
        </w:tc>
        <w:tc>
          <w:tcPr>
            <w:tcW w:w="10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986EAA">
            <w:pPr>
              <w:spacing w:after="0"/>
              <w:ind w:left="34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4"/>
        </w:trPr>
        <w:tc>
          <w:tcPr>
            <w:tcW w:w="339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0413</w:t>
            </w:r>
          </w:p>
        </w:tc>
        <w:tc>
          <w:tcPr>
            <w:tcW w:w="2743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826011">
            <w:pPr>
              <w:spacing w:after="0" w:line="257" w:lineRule="auto"/>
              <w:ind w:left="0" w:firstLine="0"/>
              <w:jc w:val="left"/>
            </w:pPr>
            <w:r>
              <w:t xml:space="preserve">Protilátky proti parvoviru B19 IgG - automatizované semikvantitativní/kvantitativní imunochemické stanovení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hladin protilátek proti parvoviru B19 ve třídě IgG v séru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a/nebo plasmě metodou chemiluminescenční imunoanalýzy </w:t>
            </w:r>
          </w:p>
        </w:tc>
        <w:tc>
          <w:tcPr>
            <w:tcW w:w="2744" w:type="dxa"/>
            <w:vMerge w:val="restart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LIAISON  Biotrin Parvovirus B19 I</w:t>
            </w:r>
            <w:r>
              <w:rPr>
                <w:color w:val="E26B0A"/>
              </w:rPr>
              <w:t>gG</w:t>
            </w:r>
          </w:p>
        </w:tc>
        <w:tc>
          <w:tcPr>
            <w:tcW w:w="123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317000</w:t>
            </w:r>
          </w:p>
        </w:tc>
        <w:tc>
          <w:tcPr>
            <w:tcW w:w="87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7" w:firstLine="0"/>
            </w:pPr>
            <w:r>
              <w:rPr>
                <w:b/>
              </w:rPr>
              <w:t>vyšetřený vzorek</w:t>
            </w:r>
          </w:p>
        </w:tc>
        <w:tc>
          <w:tcPr>
            <w:tcW w:w="91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240</w:t>
            </w:r>
          </w:p>
        </w:tc>
        <w:tc>
          <w:tcPr>
            <w:tcW w:w="69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21,00%</w:t>
            </w:r>
          </w:p>
        </w:tc>
        <w:tc>
          <w:tcPr>
            <w:tcW w:w="1057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986EAA">
            <w:pPr>
              <w:spacing w:after="0"/>
              <w:ind w:left="0" w:right="12" w:firstLine="0"/>
              <w:jc w:val="right"/>
            </w:pPr>
          </w:p>
        </w:tc>
        <w:tc>
          <w:tcPr>
            <w:tcW w:w="10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986EAA">
            <w:pPr>
              <w:spacing w:after="0"/>
              <w:ind w:left="34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5"/>
        </w:trPr>
        <w:tc>
          <w:tcPr>
            <w:tcW w:w="339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0414</w:t>
            </w:r>
          </w:p>
        </w:tc>
        <w:tc>
          <w:tcPr>
            <w:tcW w:w="2743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826011">
            <w:pPr>
              <w:spacing w:after="0" w:line="257" w:lineRule="auto"/>
              <w:ind w:left="0" w:firstLine="0"/>
              <w:jc w:val="left"/>
            </w:pPr>
            <w:r>
              <w:t xml:space="preserve">Protilátky proti parvoviru B19 IgM - automatizované semikvantitativní/kvantitativní imunochemické stanovení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hladin protilátek proti parvoviru B19 ve třídě IgM v séru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a/nebo plasmě metodou chemiluminescenční imunoanalýzy </w:t>
            </w:r>
          </w:p>
        </w:tc>
        <w:tc>
          <w:tcPr>
            <w:tcW w:w="2744" w:type="dxa"/>
            <w:vMerge w:val="restart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LIAISON  Biotrin Parvovirus B19 I</w:t>
            </w:r>
            <w:r>
              <w:rPr>
                <w:color w:val="E26B0A"/>
              </w:rPr>
              <w:t>gM</w:t>
            </w:r>
          </w:p>
        </w:tc>
        <w:tc>
          <w:tcPr>
            <w:tcW w:w="123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317010</w:t>
            </w:r>
          </w:p>
        </w:tc>
        <w:tc>
          <w:tcPr>
            <w:tcW w:w="87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7" w:firstLine="0"/>
            </w:pPr>
            <w:r>
              <w:rPr>
                <w:b/>
              </w:rPr>
              <w:t>vyšetřený vzorek</w:t>
            </w:r>
          </w:p>
        </w:tc>
        <w:tc>
          <w:tcPr>
            <w:tcW w:w="91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240</w:t>
            </w:r>
          </w:p>
        </w:tc>
        <w:tc>
          <w:tcPr>
            <w:tcW w:w="69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21,00%</w:t>
            </w:r>
          </w:p>
        </w:tc>
        <w:tc>
          <w:tcPr>
            <w:tcW w:w="1057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986EAA">
            <w:pPr>
              <w:spacing w:after="0"/>
              <w:ind w:left="0" w:right="12" w:firstLine="0"/>
              <w:jc w:val="right"/>
            </w:pPr>
          </w:p>
        </w:tc>
        <w:tc>
          <w:tcPr>
            <w:tcW w:w="10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986EAA">
            <w:pPr>
              <w:spacing w:after="0"/>
              <w:ind w:left="34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4"/>
        </w:trPr>
        <w:tc>
          <w:tcPr>
            <w:tcW w:w="339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0415</w:t>
            </w:r>
          </w:p>
        </w:tc>
        <w:tc>
          <w:tcPr>
            <w:tcW w:w="2743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25OH vitamin D - automatizované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>semikvantitativní/kvantitativní imunochemické stanovení hladin 25OH vitaminu D v séru a/nebo plasmě metodou chemiluminescenční imunoanalýzy</w:t>
            </w:r>
          </w:p>
        </w:tc>
        <w:tc>
          <w:tcPr>
            <w:tcW w:w="2744" w:type="dxa"/>
            <w:vMerge w:val="restart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LIAISON 25OH VITAMIN D TOTAL ASSAY</w:t>
            </w:r>
          </w:p>
        </w:tc>
        <w:tc>
          <w:tcPr>
            <w:tcW w:w="123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310600</w:t>
            </w:r>
          </w:p>
        </w:tc>
        <w:tc>
          <w:tcPr>
            <w:tcW w:w="87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7" w:firstLine="0"/>
            </w:pPr>
            <w:r>
              <w:rPr>
                <w:b/>
              </w:rPr>
              <w:t>vyšetřený vzorek</w:t>
            </w:r>
          </w:p>
        </w:tc>
        <w:tc>
          <w:tcPr>
            <w:tcW w:w="91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6400</w:t>
            </w:r>
          </w:p>
        </w:tc>
        <w:tc>
          <w:tcPr>
            <w:tcW w:w="69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21,00%</w:t>
            </w:r>
          </w:p>
        </w:tc>
        <w:tc>
          <w:tcPr>
            <w:tcW w:w="1057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986EAA">
            <w:pPr>
              <w:spacing w:after="0"/>
              <w:ind w:left="0" w:right="12" w:firstLine="0"/>
              <w:jc w:val="right"/>
            </w:pPr>
          </w:p>
        </w:tc>
        <w:tc>
          <w:tcPr>
            <w:tcW w:w="10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986EAA">
            <w:pPr>
              <w:spacing w:after="0"/>
              <w:ind w:left="34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4"/>
        </w:trPr>
        <w:tc>
          <w:tcPr>
            <w:tcW w:w="339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0416</w:t>
            </w:r>
          </w:p>
        </w:tc>
        <w:tc>
          <w:tcPr>
            <w:tcW w:w="2743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TPA - automatizované semikvantitativní/kvantitativní </w:t>
            </w:r>
          </w:p>
          <w:p w:rsidR="00986EAA" w:rsidRDefault="00826011">
            <w:pPr>
              <w:spacing w:after="0" w:line="257" w:lineRule="auto"/>
              <w:ind w:left="0" w:firstLine="0"/>
              <w:jc w:val="left"/>
            </w:pPr>
            <w:r>
              <w:t xml:space="preserve">imunochemické stanovení hladin tkáňového polypeptidového antigenu (TPA) v séru a/nebo plasmě </w:t>
            </w:r>
          </w:p>
          <w:p w:rsidR="00986EAA" w:rsidRDefault="00826011">
            <w:pPr>
              <w:spacing w:after="0"/>
              <w:ind w:left="0" w:firstLine="0"/>
              <w:jc w:val="left"/>
            </w:pPr>
            <w:r>
              <w:t>metodou chemiluminescenční imunoanalýzy</w:t>
            </w:r>
          </w:p>
        </w:tc>
        <w:tc>
          <w:tcPr>
            <w:tcW w:w="2744" w:type="dxa"/>
            <w:vMerge w:val="restart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LIAISON TPA-M</w:t>
            </w:r>
          </w:p>
        </w:tc>
        <w:tc>
          <w:tcPr>
            <w:tcW w:w="123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314121</w:t>
            </w:r>
          </w:p>
        </w:tc>
        <w:tc>
          <w:tcPr>
            <w:tcW w:w="87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7" w:firstLine="0"/>
            </w:pPr>
            <w:r>
              <w:rPr>
                <w:b/>
              </w:rPr>
              <w:t>vyšetřený vzorek</w:t>
            </w:r>
          </w:p>
        </w:tc>
        <w:tc>
          <w:tcPr>
            <w:tcW w:w="914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2200</w:t>
            </w:r>
          </w:p>
        </w:tc>
        <w:tc>
          <w:tcPr>
            <w:tcW w:w="69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21,00%</w:t>
            </w:r>
          </w:p>
        </w:tc>
        <w:tc>
          <w:tcPr>
            <w:tcW w:w="1057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986EAA">
            <w:pPr>
              <w:spacing w:after="0"/>
              <w:ind w:left="0" w:right="12" w:firstLine="0"/>
              <w:jc w:val="right"/>
            </w:pPr>
          </w:p>
        </w:tc>
        <w:tc>
          <w:tcPr>
            <w:tcW w:w="10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986EAA">
            <w:pPr>
              <w:spacing w:after="0"/>
              <w:ind w:left="34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5"/>
        </w:trPr>
        <w:tc>
          <w:tcPr>
            <w:tcW w:w="339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0417</w:t>
            </w:r>
          </w:p>
        </w:tc>
        <w:tc>
          <w:tcPr>
            <w:tcW w:w="2743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S100 - automatizované semikvantitativní/kvantitativní imunochemické stanovení hladin proteinu S100 B v </w:t>
            </w:r>
            <w:r>
              <w:lastRenderedPageBreak/>
              <w:t>mozkomíšním moku a v séru a/nebo plasmě metodou chemiluminescenční imunoanalýzy</w:t>
            </w:r>
          </w:p>
        </w:tc>
        <w:tc>
          <w:tcPr>
            <w:tcW w:w="2744" w:type="dxa"/>
            <w:vMerge w:val="restart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lastRenderedPageBreak/>
              <w:t>LIAISON S100</w:t>
            </w:r>
          </w:p>
        </w:tc>
        <w:tc>
          <w:tcPr>
            <w:tcW w:w="123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  <w:vAlign w:val="center"/>
          </w:tcPr>
          <w:p w:rsidR="00986EAA" w:rsidRDefault="00826011">
            <w:pPr>
              <w:spacing w:after="0"/>
              <w:ind w:left="166" w:firstLine="0"/>
              <w:jc w:val="left"/>
            </w:pPr>
            <w:r>
              <w:rPr>
                <w:color w:val="E26B0A"/>
              </w:rPr>
              <w:t>314701</w:t>
            </w:r>
          </w:p>
        </w:tc>
        <w:tc>
          <w:tcPr>
            <w:tcW w:w="87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7" w:firstLine="0"/>
            </w:pPr>
            <w:r>
              <w:rPr>
                <w:b/>
              </w:rPr>
              <w:t>vyšetřený vzorek</w:t>
            </w:r>
          </w:p>
        </w:tc>
        <w:tc>
          <w:tcPr>
            <w:tcW w:w="914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1000</w:t>
            </w:r>
          </w:p>
        </w:tc>
        <w:tc>
          <w:tcPr>
            <w:tcW w:w="69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21,00%</w:t>
            </w:r>
          </w:p>
        </w:tc>
        <w:tc>
          <w:tcPr>
            <w:tcW w:w="1057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2" w:firstLine="0"/>
              <w:jc w:val="right"/>
            </w:pPr>
            <w:r>
              <w:rPr>
                <w:rFonts w:ascii="Calibri" w:eastAsia="Calibri" w:hAnsi="Calibri" w:cs="Calibri"/>
                <w:sz w:val="11"/>
              </w:rPr>
              <w:t>442,20</w:t>
            </w:r>
          </w:p>
        </w:tc>
        <w:tc>
          <w:tcPr>
            <w:tcW w:w="10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826011">
            <w:pPr>
              <w:spacing w:after="0"/>
              <w:ind w:left="34" w:firstLine="0"/>
              <w:jc w:val="left"/>
            </w:pPr>
            <w:r>
              <w:rPr>
                <w:rFonts w:ascii="Calibri" w:eastAsia="Calibri" w:hAnsi="Calibri" w:cs="Calibri"/>
                <w:sz w:val="11"/>
              </w:rPr>
              <w:t xml:space="preserve">           442 203,00 Kč</w:t>
            </w: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4"/>
        </w:trPr>
        <w:tc>
          <w:tcPr>
            <w:tcW w:w="339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0418</w:t>
            </w:r>
          </w:p>
        </w:tc>
        <w:tc>
          <w:tcPr>
            <w:tcW w:w="2743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:rsidR="00986EAA" w:rsidRDefault="00826011">
            <w:pPr>
              <w:spacing w:after="0"/>
              <w:ind w:left="0" w:firstLine="0"/>
              <w:jc w:val="left"/>
            </w:pPr>
            <w:r>
              <w:t xml:space="preserve">Výpůjčka plně automatizovaného imunochemického analyzátoru využívajícího principu chemiluminescenční imunoanalýzy </w:t>
            </w:r>
          </w:p>
        </w:tc>
        <w:tc>
          <w:tcPr>
            <w:tcW w:w="2744" w:type="dxa"/>
            <w:vMerge w:val="restart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123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87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9" w:firstLine="0"/>
              <w:jc w:val="center"/>
            </w:pPr>
            <w:r>
              <w:rPr>
                <w:b/>
              </w:rPr>
              <w:t>komplet</w:t>
            </w:r>
          </w:p>
        </w:tc>
        <w:tc>
          <w:tcPr>
            <w:tcW w:w="914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0,00%</w:t>
            </w:r>
          </w:p>
        </w:tc>
        <w:tc>
          <w:tcPr>
            <w:tcW w:w="1057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2" w:firstLine="0"/>
              <w:jc w:val="right"/>
            </w:pPr>
            <w:r>
              <w:rPr>
                <w:rFonts w:ascii="Calibri" w:eastAsia="Calibri" w:hAnsi="Calibri" w:cs="Calibri"/>
                <w:sz w:val="11"/>
              </w:rPr>
              <w:t>0,00</w:t>
            </w:r>
          </w:p>
        </w:tc>
        <w:tc>
          <w:tcPr>
            <w:tcW w:w="10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FFFF66"/>
            <w:vAlign w:val="center"/>
          </w:tcPr>
          <w:p w:rsidR="00986EAA" w:rsidRDefault="00826011">
            <w:pPr>
              <w:tabs>
                <w:tab w:val="right" w:pos="997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1"/>
              </w:rPr>
              <w:t xml:space="preserve">                         -</w:t>
            </w:r>
            <w:r>
              <w:rPr>
                <w:rFonts w:ascii="Calibri" w:eastAsia="Calibri" w:hAnsi="Calibri" w:cs="Calibri"/>
                <w:sz w:val="11"/>
              </w:rPr>
              <w:tab/>
              <w:t xml:space="preserve"> Kč</w:t>
            </w: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134"/>
        </w:trPr>
        <w:tc>
          <w:tcPr>
            <w:tcW w:w="339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86EAA" w:rsidRDefault="00826011">
            <w:pPr>
              <w:spacing w:after="0"/>
              <w:ind w:left="38" w:firstLine="0"/>
              <w:jc w:val="left"/>
            </w:pPr>
            <w:r>
              <w:t>0419</w:t>
            </w:r>
          </w:p>
        </w:tc>
        <w:tc>
          <w:tcPr>
            <w:tcW w:w="2743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bottom"/>
          </w:tcPr>
          <w:p w:rsidR="00986EAA" w:rsidRDefault="00826011">
            <w:pPr>
              <w:spacing w:after="0"/>
              <w:ind w:left="0" w:firstLine="0"/>
              <w:jc w:val="left"/>
            </w:pPr>
            <w:r>
              <w:t>Součástí plnění je úhrada nákladů na zavedení metody do provozu, vstupní verifikaci a posouzení metody národním akreditačním orgánem na náklady dodavatele.</w:t>
            </w:r>
          </w:p>
        </w:tc>
        <w:tc>
          <w:tcPr>
            <w:tcW w:w="2744" w:type="dxa"/>
            <w:vMerge w:val="restart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123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BF1DE"/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87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BDFFFF"/>
            <w:vAlign w:val="center"/>
          </w:tcPr>
          <w:p w:rsidR="00986EAA" w:rsidRDefault="00826011">
            <w:pPr>
              <w:spacing w:after="0"/>
              <w:ind w:left="9" w:firstLine="0"/>
              <w:jc w:val="center"/>
            </w:pPr>
            <w:r>
              <w:rPr>
                <w:b/>
              </w:rPr>
              <w:t>komplet</w:t>
            </w:r>
          </w:p>
        </w:tc>
        <w:tc>
          <w:tcPr>
            <w:tcW w:w="914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bottom"/>
          </w:tcPr>
          <w:p w:rsidR="00986EAA" w:rsidRDefault="00826011">
            <w:pPr>
              <w:spacing w:after="0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sz w:val="11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C2FEBA"/>
            <w:vAlign w:val="center"/>
          </w:tcPr>
          <w:p w:rsidR="00986EAA" w:rsidRDefault="00826011">
            <w:pPr>
              <w:spacing w:after="0"/>
              <w:ind w:left="0" w:right="10" w:firstLine="0"/>
              <w:jc w:val="right"/>
            </w:pPr>
            <w:r>
              <w:t>0,00%</w:t>
            </w:r>
          </w:p>
        </w:tc>
        <w:tc>
          <w:tcPr>
            <w:tcW w:w="1057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C2FEBA"/>
            <w:vAlign w:val="bottom"/>
          </w:tcPr>
          <w:p w:rsidR="00986EAA" w:rsidRDefault="00826011">
            <w:pPr>
              <w:spacing w:after="0"/>
              <w:ind w:left="0" w:right="12" w:firstLine="0"/>
              <w:jc w:val="right"/>
            </w:pPr>
            <w:r>
              <w:rPr>
                <w:rFonts w:ascii="Calibri" w:eastAsia="Calibri" w:hAnsi="Calibri" w:cs="Calibri"/>
                <w:sz w:val="11"/>
              </w:rPr>
              <w:t>0,00</w:t>
            </w:r>
          </w:p>
        </w:tc>
        <w:tc>
          <w:tcPr>
            <w:tcW w:w="10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shd w:val="clear" w:color="auto" w:fill="FFFF66"/>
            <w:vAlign w:val="bottom"/>
          </w:tcPr>
          <w:p w:rsidR="00986EAA" w:rsidRDefault="00826011">
            <w:pPr>
              <w:tabs>
                <w:tab w:val="right" w:pos="997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1"/>
              </w:rPr>
              <w:t xml:space="preserve">                         -</w:t>
            </w:r>
            <w:r>
              <w:rPr>
                <w:rFonts w:ascii="Calibri" w:eastAsia="Calibri" w:hAnsi="Calibri" w:cs="Calibri"/>
                <w:sz w:val="11"/>
              </w:rPr>
              <w:tab/>
              <w:t xml:space="preserve"> Kč</w:t>
            </w: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339" w:type="dxa"/>
            <w:vMerge w:val="restart"/>
            <w:tcBorders>
              <w:top w:val="single" w:sz="4" w:space="0" w:color="0000FF"/>
              <w:left w:val="single" w:sz="12" w:space="0" w:color="0000FF"/>
              <w:bottom w:val="single" w:sz="12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2743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2744" w:type="dxa"/>
            <w:vMerge w:val="restart"/>
            <w:tcBorders>
              <w:top w:val="single" w:sz="4" w:space="0" w:color="0000FF"/>
              <w:left w:val="doub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EBF1DE"/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123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shd w:val="clear" w:color="auto" w:fill="EBF1DE"/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87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nil"/>
            </w:tcBorders>
            <w:shd w:val="clear" w:color="auto" w:fill="BDFFFF"/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914" w:type="dxa"/>
            <w:vMerge w:val="restart"/>
            <w:tcBorders>
              <w:top w:val="single" w:sz="4" w:space="0" w:color="0000FF"/>
              <w:left w:val="nil"/>
              <w:bottom w:val="single" w:sz="12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69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nil"/>
            </w:tcBorders>
            <w:shd w:val="clear" w:color="auto" w:fill="C2FEBA"/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1057" w:type="dxa"/>
            <w:vMerge w:val="restart"/>
            <w:tcBorders>
              <w:top w:val="single" w:sz="4" w:space="0" w:color="0000FF"/>
              <w:left w:val="nil"/>
              <w:bottom w:val="single" w:sz="12" w:space="0" w:color="0000FF"/>
              <w:right w:val="single" w:sz="4" w:space="0" w:color="0000FF"/>
            </w:tcBorders>
            <w:shd w:val="clear" w:color="auto" w:fill="C2FEBA"/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10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12" w:space="0" w:color="0000FF"/>
            </w:tcBorders>
            <w:shd w:val="clear" w:color="auto" w:fill="FFFF66"/>
          </w:tcPr>
          <w:p w:rsidR="00986EAA" w:rsidRDefault="00826011">
            <w:pPr>
              <w:tabs>
                <w:tab w:val="right" w:pos="997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1"/>
              </w:rPr>
              <w:t xml:space="preserve">                         -</w:t>
            </w:r>
            <w:r>
              <w:rPr>
                <w:rFonts w:ascii="Calibri" w:eastAsia="Calibri" w:hAnsi="Calibri" w:cs="Calibri"/>
                <w:sz w:val="11"/>
              </w:rPr>
              <w:tab/>
              <w:t xml:space="preserve"> Kč</w:t>
            </w: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nil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  <w:tr w:rsidR="00986E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12" w:space="0" w:color="0000FF"/>
              <w:right w:val="doub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FF"/>
              <w:bottom w:val="single" w:sz="12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12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12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12" w:space="0" w:color="0000FF"/>
              <w:right w:val="nil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FF"/>
              <w:right w:val="single" w:sz="4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12" w:space="0" w:color="0000FF"/>
              <w:right w:val="single" w:sz="12" w:space="0" w:color="0000FF"/>
            </w:tcBorders>
          </w:tcPr>
          <w:p w:rsidR="00986EAA" w:rsidRDefault="00986EAA">
            <w:pPr>
              <w:spacing w:after="160"/>
              <w:ind w:left="0" w:firstLine="0"/>
              <w:jc w:val="left"/>
            </w:pPr>
          </w:p>
        </w:tc>
      </w:tr>
    </w:tbl>
    <w:p w:rsidR="00986EAA" w:rsidRDefault="00826011">
      <w:pPr>
        <w:spacing w:after="288"/>
        <w:ind w:left="-209" w:firstLine="0"/>
        <w:jc w:val="left"/>
      </w:pPr>
      <w:r>
        <w:rPr>
          <w:noProof/>
        </w:rPr>
        <w:drawing>
          <wp:inline distT="0" distB="0" distL="0" distR="0">
            <wp:extent cx="7202424" cy="509016"/>
            <wp:effectExtent l="0" t="0" r="0" b="0"/>
            <wp:docPr id="32865" name="Picture 32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5" name="Picture 328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2424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EAA" w:rsidRDefault="00826011">
      <w:pPr>
        <w:pBdr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pBdr>
        <w:shd w:val="clear" w:color="auto" w:fill="CCFFCC"/>
        <w:spacing w:after="0"/>
        <w:ind w:left="0" w:firstLine="0"/>
        <w:jc w:val="left"/>
      </w:pPr>
      <w:r>
        <w:rPr>
          <w:i/>
          <w:sz w:val="8"/>
        </w:rPr>
        <w:t>Poznámka:</w:t>
      </w:r>
    </w:p>
    <w:sectPr w:rsidR="00986EAA">
      <w:pgSz w:w="16838" w:h="11906" w:orient="landscape"/>
      <w:pgMar w:top="476" w:right="1018" w:bottom="2306" w:left="20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AA"/>
    <w:rsid w:val="00826011"/>
    <w:rsid w:val="00985BD0"/>
    <w:rsid w:val="0098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5F6B0-E50D-4E5C-9754-A4498B73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1"/>
      <w:ind w:left="5963" w:hanging="1220"/>
      <w:jc w:val="both"/>
    </w:pPr>
    <w:rPr>
      <w:rFonts w:ascii="Arial" w:eastAsia="Arial" w:hAnsi="Arial" w:cs="Arial"/>
      <w:color w:val="000000"/>
      <w:sz w:val="1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Josef</dc:creator>
  <cp:keywords/>
  <cp:lastModifiedBy>Kurzweilová Dana</cp:lastModifiedBy>
  <cp:revision>3</cp:revision>
  <dcterms:created xsi:type="dcterms:W3CDTF">2019-12-18T05:40:00Z</dcterms:created>
  <dcterms:modified xsi:type="dcterms:W3CDTF">2019-12-18T05:41:00Z</dcterms:modified>
</cp:coreProperties>
</file>