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FC9" w:rsidRDefault="00890072">
      <w:pPr>
        <w:tabs>
          <w:tab w:val="center" w:pos="3262"/>
          <w:tab w:val="right" w:pos="11235"/>
        </w:tabs>
        <w:spacing w:after="449"/>
      </w:pPr>
      <w:r>
        <w:tab/>
      </w:r>
      <w:r>
        <w:rPr>
          <w:b/>
          <w:i/>
          <w:color w:val="4F81BD"/>
          <w:sz w:val="16"/>
        </w:rPr>
        <w:t>ZUUL – dodávka látek pro diagnostické metody 2019, druhá etapa</w:t>
      </w:r>
      <w:r>
        <w:rPr>
          <w:b/>
          <w:i/>
          <w:color w:val="4F81BD"/>
          <w:sz w:val="16"/>
        </w:rPr>
        <w:tab/>
      </w:r>
      <w:r>
        <w:rPr>
          <w:rFonts w:ascii="Arial" w:eastAsia="Arial" w:hAnsi="Arial" w:cs="Arial"/>
          <w:sz w:val="16"/>
          <w:vertAlign w:val="superscript"/>
        </w:rPr>
        <w:t>Příloha 5.04a ZD</w:t>
      </w:r>
    </w:p>
    <w:p w:rsidR="00E33FC9" w:rsidRDefault="00E33FC9">
      <w:pPr>
        <w:spacing w:after="0"/>
        <w:ind w:left="-4462"/>
      </w:pPr>
    </w:p>
    <w:p w:rsidR="00E33FC9" w:rsidRDefault="00890072">
      <w:pPr>
        <w:tabs>
          <w:tab w:val="center" w:pos="3262"/>
          <w:tab w:val="right" w:pos="11235"/>
        </w:tabs>
        <w:spacing w:after="382"/>
      </w:pPr>
      <w:r>
        <w:tab/>
      </w:r>
      <w:r>
        <w:rPr>
          <w:b/>
          <w:i/>
          <w:color w:val="4F81BD"/>
          <w:sz w:val="16"/>
        </w:rPr>
        <w:t>ZUUL – dodávka látek pro diagnostické metody 2019, druhá etapa</w:t>
      </w:r>
      <w:r>
        <w:rPr>
          <w:b/>
          <w:i/>
          <w:color w:val="4F81BD"/>
          <w:sz w:val="16"/>
        </w:rPr>
        <w:tab/>
      </w:r>
      <w:r>
        <w:rPr>
          <w:rFonts w:ascii="Arial" w:eastAsia="Arial" w:hAnsi="Arial" w:cs="Arial"/>
          <w:sz w:val="16"/>
          <w:vertAlign w:val="superscript"/>
        </w:rPr>
        <w:t>Příloha 5.04a ZD</w:t>
      </w:r>
    </w:p>
    <w:tbl>
      <w:tblPr>
        <w:tblStyle w:val="TableGrid"/>
        <w:tblW w:w="15646" w:type="dxa"/>
        <w:tblInd w:w="-4438" w:type="dxa"/>
        <w:tblCellMar>
          <w:top w:w="0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4036"/>
        <w:gridCol w:w="3155"/>
        <w:gridCol w:w="1368"/>
        <w:gridCol w:w="802"/>
        <w:gridCol w:w="1022"/>
        <w:gridCol w:w="795"/>
        <w:gridCol w:w="1178"/>
        <w:gridCol w:w="1156"/>
        <w:gridCol w:w="1755"/>
      </w:tblGrid>
      <w:tr w:rsidR="00E33FC9">
        <w:trPr>
          <w:trHeight w:val="290"/>
        </w:trPr>
        <w:tc>
          <w:tcPr>
            <w:tcW w:w="378" w:type="dxa"/>
            <w:vMerge w:val="restart"/>
            <w:tcBorders>
              <w:top w:val="single" w:sz="5" w:space="0" w:color="0000FF"/>
              <w:left w:val="single" w:sz="13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E33FC9" w:rsidRDefault="00890072">
            <w:pPr>
              <w:spacing w:after="0"/>
              <w:ind w:left="42"/>
            </w:pPr>
            <w:r>
              <w:rPr>
                <w:rFonts w:ascii="Arial" w:eastAsia="Arial" w:hAnsi="Arial" w:cs="Arial"/>
                <w:sz w:val="12"/>
              </w:rPr>
              <w:t>0414</w:t>
            </w:r>
          </w:p>
        </w:tc>
        <w:tc>
          <w:tcPr>
            <w:tcW w:w="4036" w:type="dxa"/>
            <w:vMerge w:val="restart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double" w:sz="5" w:space="0" w:color="0000FF"/>
            </w:tcBorders>
          </w:tcPr>
          <w:p w:rsidR="00E33FC9" w:rsidRDefault="00890072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Protilátky proti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parvoviru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B19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IgM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- automatizované </w:t>
            </w:r>
          </w:p>
          <w:p w:rsidR="00E33FC9" w:rsidRDefault="00890072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semikvantitativní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/kvantitativní imunochemické stanovení hladin protilátek proti </w:t>
            </w:r>
          </w:p>
          <w:p w:rsidR="00E33FC9" w:rsidRDefault="00890072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parvoviru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B19 ve třídě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IgM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 séru a/nebo plasmě metodou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chemiluminescenční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imunoanalýzy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3155" w:type="dxa"/>
            <w:vMerge w:val="restart"/>
            <w:tcBorders>
              <w:top w:val="single" w:sz="5" w:space="0" w:color="0000FF"/>
              <w:left w:val="double" w:sz="5" w:space="0" w:color="0000FF"/>
              <w:bottom w:val="single" w:sz="5" w:space="0" w:color="0000FF"/>
              <w:right w:val="single" w:sz="5" w:space="0" w:color="0000FF"/>
            </w:tcBorders>
            <w:shd w:val="clear" w:color="auto" w:fill="EBF1DE"/>
            <w:vAlign w:val="center"/>
          </w:tcPr>
          <w:p w:rsidR="00E33FC9" w:rsidRDefault="00890072">
            <w:pPr>
              <w:spacing w:after="0"/>
              <w:ind w:left="167"/>
            </w:pPr>
            <w:r>
              <w:rPr>
                <w:rFonts w:ascii="Arial" w:eastAsia="Arial" w:hAnsi="Arial" w:cs="Arial"/>
                <w:color w:val="E26B0A"/>
                <w:sz w:val="12"/>
              </w:rPr>
              <w:t xml:space="preserve">LIAISON  </w:t>
            </w:r>
            <w:proofErr w:type="spellStart"/>
            <w:r>
              <w:rPr>
                <w:rFonts w:ascii="Arial" w:eastAsia="Arial" w:hAnsi="Arial" w:cs="Arial"/>
                <w:color w:val="E26B0A"/>
                <w:sz w:val="12"/>
              </w:rPr>
              <w:t>Biotrin</w:t>
            </w:r>
            <w:proofErr w:type="spellEnd"/>
            <w:r>
              <w:rPr>
                <w:rFonts w:ascii="Arial" w:eastAsia="Arial" w:hAnsi="Arial" w:cs="Arial"/>
                <w:color w:val="E26B0A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E26B0A"/>
                <w:sz w:val="12"/>
              </w:rPr>
              <w:t>Parvovirus</w:t>
            </w:r>
            <w:proofErr w:type="spellEnd"/>
            <w:r>
              <w:rPr>
                <w:rFonts w:ascii="Arial" w:eastAsia="Arial" w:hAnsi="Arial" w:cs="Arial"/>
                <w:color w:val="E26B0A"/>
                <w:sz w:val="12"/>
              </w:rPr>
              <w:t xml:space="preserve"> B19 </w:t>
            </w:r>
            <w:proofErr w:type="spellStart"/>
            <w:r>
              <w:rPr>
                <w:rFonts w:ascii="Arial" w:eastAsia="Arial" w:hAnsi="Arial" w:cs="Arial"/>
                <w:color w:val="E26B0A"/>
                <w:sz w:val="12"/>
              </w:rPr>
              <w:t>I</w:t>
            </w:r>
            <w:r>
              <w:rPr>
                <w:rFonts w:ascii="Arial" w:eastAsia="Arial" w:hAnsi="Arial" w:cs="Arial"/>
                <w:color w:val="E26B0A"/>
                <w:sz w:val="12"/>
              </w:rPr>
              <w:t>gM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nil"/>
            </w:tcBorders>
            <w:shd w:val="clear" w:color="auto" w:fill="EBF1DE"/>
            <w:vAlign w:val="center"/>
          </w:tcPr>
          <w:p w:rsidR="00E33FC9" w:rsidRDefault="00890072">
            <w:pPr>
              <w:spacing w:after="0"/>
              <w:ind w:left="166"/>
            </w:pPr>
            <w:r>
              <w:rPr>
                <w:rFonts w:ascii="Arial" w:eastAsia="Arial" w:hAnsi="Arial" w:cs="Arial"/>
                <w:color w:val="E26B0A"/>
                <w:sz w:val="12"/>
              </w:rPr>
              <w:t>317010</w:t>
            </w:r>
          </w:p>
        </w:tc>
        <w:tc>
          <w:tcPr>
            <w:tcW w:w="802" w:type="dxa"/>
            <w:vMerge w:val="restart"/>
            <w:tcBorders>
              <w:top w:val="single" w:sz="5" w:space="0" w:color="0000FF"/>
              <w:left w:val="nil"/>
              <w:bottom w:val="single" w:sz="5" w:space="0" w:color="0000FF"/>
              <w:right w:val="nil"/>
            </w:tcBorders>
            <w:shd w:val="clear" w:color="auto" w:fill="BDFFFF"/>
            <w:vAlign w:val="center"/>
          </w:tcPr>
          <w:p w:rsidR="00E33FC9" w:rsidRDefault="00890072">
            <w:pPr>
              <w:spacing w:after="3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vyšetřený </w:t>
            </w:r>
          </w:p>
          <w:p w:rsidR="00E33FC9" w:rsidRDefault="00890072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vzorek</w:t>
            </w:r>
          </w:p>
        </w:tc>
        <w:tc>
          <w:tcPr>
            <w:tcW w:w="1022" w:type="dxa"/>
            <w:vMerge w:val="restart"/>
            <w:tcBorders>
              <w:top w:val="single" w:sz="5" w:space="0" w:color="0000FF"/>
              <w:left w:val="nil"/>
              <w:bottom w:val="single" w:sz="5" w:space="0" w:color="0000FF"/>
              <w:right w:val="nil"/>
            </w:tcBorders>
            <w:vAlign w:val="center"/>
          </w:tcPr>
          <w:p w:rsidR="00E33FC9" w:rsidRDefault="00890072">
            <w:pPr>
              <w:spacing w:after="0"/>
              <w:ind w:right="17"/>
              <w:jc w:val="center"/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795" w:type="dxa"/>
            <w:vMerge w:val="restart"/>
            <w:tcBorders>
              <w:top w:val="single" w:sz="5" w:space="0" w:color="0000FF"/>
              <w:left w:val="nil"/>
              <w:bottom w:val="single" w:sz="5" w:space="0" w:color="0000FF"/>
              <w:right w:val="nil"/>
            </w:tcBorders>
            <w:shd w:val="clear" w:color="auto" w:fill="C2FEBA"/>
            <w:vAlign w:val="center"/>
          </w:tcPr>
          <w:p w:rsidR="00E33FC9" w:rsidRDefault="0089007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2"/>
              </w:rPr>
              <w:t>21,00%</w:t>
            </w:r>
          </w:p>
        </w:tc>
        <w:tc>
          <w:tcPr>
            <w:tcW w:w="1178" w:type="dxa"/>
            <w:vMerge w:val="restart"/>
            <w:tcBorders>
              <w:top w:val="single" w:sz="5" w:space="0" w:color="0000FF"/>
              <w:left w:val="nil"/>
              <w:bottom w:val="single" w:sz="5" w:space="0" w:color="0000FF"/>
              <w:right w:val="nil"/>
            </w:tcBorders>
            <w:shd w:val="clear" w:color="auto" w:fill="C2FEBA"/>
            <w:vAlign w:val="center"/>
          </w:tcPr>
          <w:p w:rsidR="00E33FC9" w:rsidRDefault="00890072">
            <w:pPr>
              <w:spacing w:after="0"/>
              <w:ind w:right="27"/>
              <w:jc w:val="right"/>
            </w:pPr>
            <w:r>
              <w:rPr>
                <w:sz w:val="12"/>
              </w:rPr>
              <w:t>413,41</w:t>
            </w:r>
          </w:p>
        </w:tc>
        <w:tc>
          <w:tcPr>
            <w:tcW w:w="1156" w:type="dxa"/>
            <w:vMerge w:val="restart"/>
            <w:tcBorders>
              <w:top w:val="single" w:sz="5" w:space="0" w:color="0000FF"/>
              <w:left w:val="nil"/>
              <w:bottom w:val="single" w:sz="5" w:space="0" w:color="0000FF"/>
              <w:right w:val="double" w:sz="5" w:space="0" w:color="0000FF"/>
            </w:tcBorders>
            <w:shd w:val="clear" w:color="auto" w:fill="FFFF66"/>
            <w:vAlign w:val="center"/>
          </w:tcPr>
          <w:p w:rsidR="00E33FC9" w:rsidRDefault="00E33FC9">
            <w:pPr>
              <w:spacing w:after="0"/>
              <w:ind w:left="38"/>
            </w:pPr>
            <w:bookmarkStart w:id="0" w:name="_GoBack"/>
            <w:bookmarkEnd w:id="0"/>
          </w:p>
        </w:tc>
        <w:tc>
          <w:tcPr>
            <w:tcW w:w="1755" w:type="dxa"/>
            <w:vMerge w:val="restart"/>
            <w:tcBorders>
              <w:top w:val="single" w:sz="5" w:space="0" w:color="0000FF"/>
              <w:left w:val="double" w:sz="5" w:space="0" w:color="0000FF"/>
              <w:bottom w:val="single" w:sz="5" w:space="0" w:color="0000FF"/>
              <w:right w:val="single" w:sz="13" w:space="0" w:color="0000FF"/>
            </w:tcBorders>
            <w:vAlign w:val="center"/>
          </w:tcPr>
          <w:p w:rsidR="00E33FC9" w:rsidRDefault="00890072">
            <w:pPr>
              <w:spacing w:after="0"/>
              <w:ind w:left="167" w:right="375"/>
            </w:pPr>
            <w:r>
              <w:rPr>
                <w:color w:val="E26B0A"/>
                <w:sz w:val="12"/>
              </w:rPr>
              <w:t xml:space="preserve"> předpokládaná série: 2 vzorky (cca 1x týdně) </w:t>
            </w:r>
          </w:p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single" w:sz="5" w:space="0" w:color="0000FF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single" w:sz="5" w:space="0" w:color="0000FF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single" w:sz="5" w:space="0" w:color="0000FF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single" w:sz="5" w:space="0" w:color="0000FF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290"/>
        </w:trPr>
        <w:tc>
          <w:tcPr>
            <w:tcW w:w="378" w:type="dxa"/>
            <w:vMerge w:val="restart"/>
            <w:tcBorders>
              <w:top w:val="single" w:sz="5" w:space="0" w:color="0000FF"/>
              <w:left w:val="single" w:sz="13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E33FC9" w:rsidRDefault="00890072">
            <w:pPr>
              <w:spacing w:after="0"/>
              <w:ind w:left="42"/>
            </w:pPr>
            <w:r>
              <w:rPr>
                <w:rFonts w:ascii="Arial" w:eastAsia="Arial" w:hAnsi="Arial" w:cs="Arial"/>
                <w:sz w:val="12"/>
              </w:rPr>
              <w:t>0415</w:t>
            </w:r>
          </w:p>
        </w:tc>
        <w:tc>
          <w:tcPr>
            <w:tcW w:w="4036" w:type="dxa"/>
            <w:vMerge w:val="restart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double" w:sz="5" w:space="0" w:color="0000FF"/>
            </w:tcBorders>
            <w:vAlign w:val="center"/>
          </w:tcPr>
          <w:p w:rsidR="00E33FC9" w:rsidRDefault="00890072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25OH vitamin D - automatizované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semikvantitativní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/kvantitativní imunochemické stanovení hladin 25OH vitaminu D v séru a/nebo plasmě metodou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chemiluminescenční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imunoanalýzy</w:t>
            </w:r>
            <w:proofErr w:type="spellEnd"/>
          </w:p>
        </w:tc>
        <w:tc>
          <w:tcPr>
            <w:tcW w:w="3155" w:type="dxa"/>
            <w:vMerge w:val="restart"/>
            <w:tcBorders>
              <w:top w:val="single" w:sz="5" w:space="0" w:color="0000FF"/>
              <w:left w:val="double" w:sz="5" w:space="0" w:color="0000FF"/>
              <w:bottom w:val="single" w:sz="5" w:space="0" w:color="0000FF"/>
              <w:right w:val="single" w:sz="5" w:space="0" w:color="0000FF"/>
            </w:tcBorders>
            <w:shd w:val="clear" w:color="auto" w:fill="EBF1DE"/>
            <w:vAlign w:val="center"/>
          </w:tcPr>
          <w:p w:rsidR="00E33FC9" w:rsidRDefault="00890072">
            <w:pPr>
              <w:spacing w:after="0"/>
              <w:ind w:left="167"/>
            </w:pPr>
            <w:r>
              <w:rPr>
                <w:rFonts w:ascii="Arial" w:eastAsia="Arial" w:hAnsi="Arial" w:cs="Arial"/>
                <w:color w:val="E26B0A"/>
                <w:sz w:val="12"/>
              </w:rPr>
              <w:t>LIAISON 25OH VITAMIN D TOTAL ASSAY</w:t>
            </w:r>
          </w:p>
        </w:tc>
        <w:tc>
          <w:tcPr>
            <w:tcW w:w="1368" w:type="dxa"/>
            <w:vMerge w:val="restart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  <w:shd w:val="clear" w:color="auto" w:fill="EBF1DE"/>
            <w:vAlign w:val="center"/>
          </w:tcPr>
          <w:p w:rsidR="00E33FC9" w:rsidRDefault="00890072">
            <w:pPr>
              <w:spacing w:after="0"/>
              <w:ind w:left="166"/>
            </w:pPr>
            <w:r>
              <w:rPr>
                <w:rFonts w:ascii="Arial" w:eastAsia="Arial" w:hAnsi="Arial" w:cs="Arial"/>
                <w:color w:val="E26B0A"/>
                <w:sz w:val="12"/>
              </w:rPr>
              <w:t>310600</w:t>
            </w:r>
          </w:p>
        </w:tc>
        <w:tc>
          <w:tcPr>
            <w:tcW w:w="802" w:type="dxa"/>
            <w:vMerge w:val="restart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nil"/>
            </w:tcBorders>
            <w:shd w:val="clear" w:color="auto" w:fill="BDFFFF"/>
            <w:vAlign w:val="center"/>
          </w:tcPr>
          <w:p w:rsidR="00E33FC9" w:rsidRDefault="00890072">
            <w:pPr>
              <w:spacing w:after="3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vyšetřený </w:t>
            </w:r>
          </w:p>
          <w:p w:rsidR="00E33FC9" w:rsidRDefault="00890072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vzorek</w:t>
            </w:r>
          </w:p>
        </w:tc>
        <w:tc>
          <w:tcPr>
            <w:tcW w:w="1022" w:type="dxa"/>
            <w:vMerge w:val="restart"/>
            <w:tcBorders>
              <w:top w:val="single" w:sz="5" w:space="0" w:color="0000FF"/>
              <w:left w:val="nil"/>
              <w:bottom w:val="single" w:sz="5" w:space="0" w:color="0000FF"/>
              <w:right w:val="nil"/>
            </w:tcBorders>
            <w:vAlign w:val="center"/>
          </w:tcPr>
          <w:p w:rsidR="00E33FC9" w:rsidRDefault="00890072">
            <w:pPr>
              <w:spacing w:after="0"/>
              <w:ind w:right="17"/>
              <w:jc w:val="center"/>
            </w:pPr>
            <w:r>
              <w:rPr>
                <w:b/>
                <w:sz w:val="12"/>
              </w:rPr>
              <w:t>1 600</w:t>
            </w:r>
          </w:p>
        </w:tc>
        <w:tc>
          <w:tcPr>
            <w:tcW w:w="795" w:type="dxa"/>
            <w:vMerge w:val="restart"/>
            <w:tcBorders>
              <w:top w:val="single" w:sz="5" w:space="0" w:color="0000FF"/>
              <w:left w:val="nil"/>
              <w:bottom w:val="single" w:sz="5" w:space="0" w:color="0000FF"/>
              <w:right w:val="nil"/>
            </w:tcBorders>
            <w:shd w:val="clear" w:color="auto" w:fill="C2FEBA"/>
            <w:vAlign w:val="center"/>
          </w:tcPr>
          <w:p w:rsidR="00E33FC9" w:rsidRDefault="0089007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2"/>
              </w:rPr>
              <w:t>21,00%</w:t>
            </w:r>
          </w:p>
        </w:tc>
        <w:tc>
          <w:tcPr>
            <w:tcW w:w="1178" w:type="dxa"/>
            <w:vMerge w:val="restart"/>
            <w:tcBorders>
              <w:top w:val="single" w:sz="5" w:space="0" w:color="0000FF"/>
              <w:left w:val="nil"/>
              <w:bottom w:val="single" w:sz="5" w:space="0" w:color="0000FF"/>
              <w:right w:val="nil"/>
            </w:tcBorders>
            <w:shd w:val="clear" w:color="auto" w:fill="C2FEBA"/>
            <w:vAlign w:val="center"/>
          </w:tcPr>
          <w:p w:rsidR="00E33FC9" w:rsidRDefault="00890072">
            <w:pPr>
              <w:spacing w:after="0"/>
              <w:ind w:right="27"/>
              <w:jc w:val="right"/>
            </w:pPr>
            <w:r>
              <w:rPr>
                <w:sz w:val="12"/>
              </w:rPr>
              <w:t>145,10</w:t>
            </w:r>
          </w:p>
        </w:tc>
        <w:tc>
          <w:tcPr>
            <w:tcW w:w="1156" w:type="dxa"/>
            <w:vMerge w:val="restart"/>
            <w:tcBorders>
              <w:top w:val="single" w:sz="5" w:space="0" w:color="0000FF"/>
              <w:left w:val="nil"/>
              <w:bottom w:val="single" w:sz="5" w:space="0" w:color="0000FF"/>
              <w:right w:val="double" w:sz="5" w:space="0" w:color="0000FF"/>
            </w:tcBorders>
            <w:shd w:val="clear" w:color="auto" w:fill="FFFF66"/>
            <w:vAlign w:val="center"/>
          </w:tcPr>
          <w:p w:rsidR="00E33FC9" w:rsidRDefault="00E33FC9">
            <w:pPr>
              <w:spacing w:after="0"/>
              <w:ind w:left="38"/>
            </w:pPr>
          </w:p>
        </w:tc>
        <w:tc>
          <w:tcPr>
            <w:tcW w:w="1755" w:type="dxa"/>
            <w:vMerge w:val="restart"/>
            <w:tcBorders>
              <w:top w:val="single" w:sz="5" w:space="0" w:color="0000FF"/>
              <w:left w:val="double" w:sz="5" w:space="0" w:color="0000FF"/>
              <w:bottom w:val="single" w:sz="5" w:space="0" w:color="0000FF"/>
              <w:right w:val="single" w:sz="13" w:space="0" w:color="0000FF"/>
            </w:tcBorders>
            <w:vAlign w:val="center"/>
          </w:tcPr>
          <w:p w:rsidR="00E33FC9" w:rsidRDefault="00890072">
            <w:pPr>
              <w:spacing w:after="0"/>
              <w:ind w:left="167" w:right="375"/>
            </w:pPr>
            <w:r>
              <w:rPr>
                <w:color w:val="E26B0A"/>
                <w:sz w:val="12"/>
              </w:rPr>
              <w:t xml:space="preserve"> předpokládaná série: 5 vzorků (cca 2x týdně) </w:t>
            </w:r>
          </w:p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single" w:sz="5" w:space="0" w:color="0000FF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single" w:sz="5" w:space="0" w:color="0000FF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single" w:sz="5" w:space="0" w:color="0000FF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single" w:sz="5" w:space="0" w:color="0000FF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290"/>
        </w:trPr>
        <w:tc>
          <w:tcPr>
            <w:tcW w:w="378" w:type="dxa"/>
            <w:vMerge w:val="restart"/>
            <w:tcBorders>
              <w:top w:val="single" w:sz="5" w:space="0" w:color="0000FF"/>
              <w:left w:val="single" w:sz="13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E33FC9" w:rsidRDefault="00890072">
            <w:pPr>
              <w:spacing w:after="0"/>
              <w:ind w:left="42"/>
            </w:pPr>
            <w:r>
              <w:rPr>
                <w:rFonts w:ascii="Arial" w:eastAsia="Arial" w:hAnsi="Arial" w:cs="Arial"/>
                <w:sz w:val="12"/>
              </w:rPr>
              <w:t>0416</w:t>
            </w:r>
          </w:p>
        </w:tc>
        <w:tc>
          <w:tcPr>
            <w:tcW w:w="4036" w:type="dxa"/>
            <w:vMerge w:val="restart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double" w:sz="5" w:space="0" w:color="0000FF"/>
            </w:tcBorders>
          </w:tcPr>
          <w:p w:rsidR="00E33FC9" w:rsidRDefault="00890072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TPA - automatizované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semikvantitativní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/kvantitativní imunochemické stanovení hladin tkáňového polypeptidového antigenu (TPA) v séru a/nebo plasmě metodou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chemiluminescenční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imunoanalýzy</w:t>
            </w:r>
            <w:proofErr w:type="spellEnd"/>
          </w:p>
        </w:tc>
        <w:tc>
          <w:tcPr>
            <w:tcW w:w="3155" w:type="dxa"/>
            <w:vMerge w:val="restart"/>
            <w:tcBorders>
              <w:top w:val="single" w:sz="5" w:space="0" w:color="0000FF"/>
              <w:left w:val="double" w:sz="5" w:space="0" w:color="0000FF"/>
              <w:bottom w:val="single" w:sz="9" w:space="0" w:color="0000FF"/>
              <w:right w:val="single" w:sz="5" w:space="0" w:color="0000FF"/>
            </w:tcBorders>
            <w:shd w:val="clear" w:color="auto" w:fill="EBF1DE"/>
            <w:vAlign w:val="center"/>
          </w:tcPr>
          <w:p w:rsidR="00E33FC9" w:rsidRDefault="00890072">
            <w:pPr>
              <w:spacing w:after="0"/>
              <w:ind w:left="167"/>
            </w:pPr>
            <w:r>
              <w:rPr>
                <w:rFonts w:ascii="Arial" w:eastAsia="Arial" w:hAnsi="Arial" w:cs="Arial"/>
                <w:color w:val="E26B0A"/>
                <w:sz w:val="12"/>
              </w:rPr>
              <w:t>LIAISON TPA-M</w:t>
            </w:r>
          </w:p>
        </w:tc>
        <w:tc>
          <w:tcPr>
            <w:tcW w:w="1368" w:type="dxa"/>
            <w:vMerge w:val="restart"/>
            <w:tcBorders>
              <w:top w:val="single" w:sz="5" w:space="0" w:color="0000FF"/>
              <w:left w:val="single" w:sz="5" w:space="0" w:color="0000FF"/>
              <w:bottom w:val="single" w:sz="9" w:space="0" w:color="0000FF"/>
              <w:right w:val="nil"/>
            </w:tcBorders>
            <w:shd w:val="clear" w:color="auto" w:fill="EBF1DE"/>
            <w:vAlign w:val="center"/>
          </w:tcPr>
          <w:p w:rsidR="00E33FC9" w:rsidRDefault="00890072">
            <w:pPr>
              <w:spacing w:after="0"/>
              <w:ind w:left="166"/>
            </w:pPr>
            <w:r>
              <w:rPr>
                <w:rFonts w:ascii="Arial" w:eastAsia="Arial" w:hAnsi="Arial" w:cs="Arial"/>
                <w:color w:val="E26B0A"/>
                <w:sz w:val="12"/>
              </w:rPr>
              <w:t>314121</w:t>
            </w:r>
          </w:p>
        </w:tc>
        <w:tc>
          <w:tcPr>
            <w:tcW w:w="802" w:type="dxa"/>
            <w:vMerge w:val="restart"/>
            <w:tcBorders>
              <w:top w:val="single" w:sz="5" w:space="0" w:color="0000FF"/>
              <w:left w:val="nil"/>
              <w:bottom w:val="single" w:sz="9" w:space="0" w:color="0000FF"/>
              <w:right w:val="nil"/>
            </w:tcBorders>
            <w:shd w:val="clear" w:color="auto" w:fill="BDFFFF"/>
            <w:vAlign w:val="center"/>
          </w:tcPr>
          <w:p w:rsidR="00E33FC9" w:rsidRDefault="00890072">
            <w:pPr>
              <w:spacing w:after="3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vyšetřený </w:t>
            </w:r>
          </w:p>
          <w:p w:rsidR="00E33FC9" w:rsidRDefault="00890072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vzorek</w:t>
            </w:r>
          </w:p>
        </w:tc>
        <w:tc>
          <w:tcPr>
            <w:tcW w:w="1022" w:type="dxa"/>
            <w:vMerge w:val="restart"/>
            <w:tcBorders>
              <w:top w:val="single" w:sz="5" w:space="0" w:color="0000FF"/>
              <w:left w:val="nil"/>
              <w:bottom w:val="single" w:sz="9" w:space="0" w:color="0000FF"/>
              <w:right w:val="nil"/>
            </w:tcBorders>
            <w:vAlign w:val="center"/>
          </w:tcPr>
          <w:p w:rsidR="00E33FC9" w:rsidRDefault="00890072">
            <w:pPr>
              <w:spacing w:after="0"/>
              <w:ind w:right="17"/>
              <w:jc w:val="center"/>
            </w:pPr>
            <w:r>
              <w:rPr>
                <w:b/>
                <w:sz w:val="12"/>
              </w:rPr>
              <w:t>550</w:t>
            </w:r>
          </w:p>
        </w:tc>
        <w:tc>
          <w:tcPr>
            <w:tcW w:w="795" w:type="dxa"/>
            <w:vMerge w:val="restart"/>
            <w:tcBorders>
              <w:top w:val="single" w:sz="5" w:space="0" w:color="0000FF"/>
              <w:left w:val="nil"/>
              <w:bottom w:val="single" w:sz="9" w:space="0" w:color="0000FF"/>
              <w:right w:val="nil"/>
            </w:tcBorders>
            <w:shd w:val="clear" w:color="auto" w:fill="C2FEBA"/>
            <w:vAlign w:val="center"/>
          </w:tcPr>
          <w:p w:rsidR="00E33FC9" w:rsidRDefault="0089007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2"/>
              </w:rPr>
              <w:t>21,00%</w:t>
            </w:r>
          </w:p>
        </w:tc>
        <w:tc>
          <w:tcPr>
            <w:tcW w:w="1178" w:type="dxa"/>
            <w:vMerge w:val="restart"/>
            <w:tcBorders>
              <w:top w:val="single" w:sz="5" w:space="0" w:color="0000FF"/>
              <w:left w:val="nil"/>
              <w:bottom w:val="single" w:sz="9" w:space="0" w:color="0000FF"/>
              <w:right w:val="nil"/>
            </w:tcBorders>
            <w:shd w:val="clear" w:color="auto" w:fill="C2FEBA"/>
            <w:vAlign w:val="center"/>
          </w:tcPr>
          <w:p w:rsidR="00E33FC9" w:rsidRDefault="00890072">
            <w:pPr>
              <w:spacing w:after="0"/>
              <w:ind w:right="27"/>
              <w:jc w:val="right"/>
            </w:pPr>
            <w:r>
              <w:rPr>
                <w:sz w:val="12"/>
              </w:rPr>
              <w:t>140,88</w:t>
            </w:r>
          </w:p>
        </w:tc>
        <w:tc>
          <w:tcPr>
            <w:tcW w:w="1156" w:type="dxa"/>
            <w:vMerge w:val="restart"/>
            <w:tcBorders>
              <w:top w:val="single" w:sz="5" w:space="0" w:color="0000FF"/>
              <w:left w:val="nil"/>
              <w:bottom w:val="single" w:sz="9" w:space="0" w:color="0000FF"/>
              <w:right w:val="double" w:sz="5" w:space="0" w:color="0000FF"/>
            </w:tcBorders>
            <w:shd w:val="clear" w:color="auto" w:fill="FFFF66"/>
            <w:vAlign w:val="center"/>
          </w:tcPr>
          <w:p w:rsidR="00E33FC9" w:rsidRDefault="00E33FC9">
            <w:pPr>
              <w:spacing w:after="0"/>
              <w:ind w:left="38"/>
            </w:pPr>
          </w:p>
        </w:tc>
        <w:tc>
          <w:tcPr>
            <w:tcW w:w="1755" w:type="dxa"/>
            <w:vMerge w:val="restart"/>
            <w:tcBorders>
              <w:top w:val="single" w:sz="5" w:space="0" w:color="0000FF"/>
              <w:left w:val="double" w:sz="5" w:space="0" w:color="0000FF"/>
              <w:bottom w:val="single" w:sz="5" w:space="0" w:color="0000FF"/>
              <w:right w:val="single" w:sz="13" w:space="0" w:color="0000FF"/>
            </w:tcBorders>
            <w:vAlign w:val="center"/>
          </w:tcPr>
          <w:p w:rsidR="00E33FC9" w:rsidRDefault="00890072">
            <w:pPr>
              <w:spacing w:after="0"/>
              <w:ind w:left="167" w:right="375"/>
            </w:pPr>
            <w:r>
              <w:rPr>
                <w:color w:val="E26B0A"/>
                <w:sz w:val="12"/>
              </w:rPr>
              <w:t xml:space="preserve"> předpokládaná série: 5 vzorků (cca 2x týdně) </w:t>
            </w:r>
          </w:p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single" w:sz="5" w:space="0" w:color="0000FF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single" w:sz="5" w:space="0" w:color="0000FF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single" w:sz="9" w:space="0" w:color="0000FF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single" w:sz="9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FF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single" w:sz="5" w:space="0" w:color="0000FF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290"/>
        </w:trPr>
        <w:tc>
          <w:tcPr>
            <w:tcW w:w="378" w:type="dxa"/>
            <w:vMerge w:val="restart"/>
            <w:tcBorders>
              <w:top w:val="single" w:sz="5" w:space="0" w:color="0000FF"/>
              <w:left w:val="single" w:sz="13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E33FC9" w:rsidRDefault="00890072">
            <w:pPr>
              <w:spacing w:after="0"/>
              <w:ind w:left="42"/>
            </w:pPr>
            <w:r>
              <w:rPr>
                <w:rFonts w:ascii="Arial" w:eastAsia="Arial" w:hAnsi="Arial" w:cs="Arial"/>
                <w:sz w:val="12"/>
              </w:rPr>
              <w:t>0417</w:t>
            </w:r>
          </w:p>
        </w:tc>
        <w:tc>
          <w:tcPr>
            <w:tcW w:w="4036" w:type="dxa"/>
            <w:vMerge w:val="restart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double" w:sz="5" w:space="0" w:color="0000FF"/>
            </w:tcBorders>
            <w:vAlign w:val="center"/>
          </w:tcPr>
          <w:p w:rsidR="00E33FC9" w:rsidRDefault="00890072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S100 - automatizované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semikvantitativní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/kvantitativní imunochemické stanovení hladin proteinu S100 B v mozkomíšním moku a v séru a/nebo plasmě metodou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chemiluminescenční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imunoanalýzy</w:t>
            </w:r>
            <w:proofErr w:type="spellEnd"/>
          </w:p>
        </w:tc>
        <w:tc>
          <w:tcPr>
            <w:tcW w:w="3155" w:type="dxa"/>
            <w:vMerge w:val="restart"/>
            <w:tcBorders>
              <w:top w:val="single" w:sz="9" w:space="0" w:color="0000FF"/>
              <w:left w:val="double" w:sz="5" w:space="0" w:color="0000FF"/>
              <w:bottom w:val="single" w:sz="9" w:space="0" w:color="0000FF"/>
              <w:right w:val="single" w:sz="5" w:space="0" w:color="0000FF"/>
            </w:tcBorders>
            <w:shd w:val="clear" w:color="auto" w:fill="EBF1DE"/>
            <w:vAlign w:val="center"/>
          </w:tcPr>
          <w:p w:rsidR="00E33FC9" w:rsidRDefault="00890072">
            <w:pPr>
              <w:spacing w:after="0"/>
              <w:ind w:left="167"/>
            </w:pPr>
            <w:r>
              <w:rPr>
                <w:rFonts w:ascii="Arial" w:eastAsia="Arial" w:hAnsi="Arial" w:cs="Arial"/>
                <w:color w:val="E26B0A"/>
                <w:sz w:val="12"/>
              </w:rPr>
              <w:t>LIAISON S100</w:t>
            </w:r>
          </w:p>
        </w:tc>
        <w:tc>
          <w:tcPr>
            <w:tcW w:w="1368" w:type="dxa"/>
            <w:vMerge w:val="restart"/>
            <w:tcBorders>
              <w:top w:val="single" w:sz="9" w:space="0" w:color="0000FF"/>
              <w:left w:val="single" w:sz="5" w:space="0" w:color="0000FF"/>
              <w:bottom w:val="single" w:sz="9" w:space="0" w:color="0000FF"/>
              <w:right w:val="nil"/>
            </w:tcBorders>
            <w:shd w:val="clear" w:color="auto" w:fill="EBF1DE"/>
            <w:vAlign w:val="center"/>
          </w:tcPr>
          <w:p w:rsidR="00E33FC9" w:rsidRDefault="00890072">
            <w:pPr>
              <w:spacing w:after="0"/>
              <w:ind w:left="166"/>
            </w:pPr>
            <w:r>
              <w:rPr>
                <w:rFonts w:ascii="Arial" w:eastAsia="Arial" w:hAnsi="Arial" w:cs="Arial"/>
                <w:color w:val="E26B0A"/>
                <w:sz w:val="12"/>
              </w:rPr>
              <w:t>314701</w:t>
            </w:r>
          </w:p>
        </w:tc>
        <w:tc>
          <w:tcPr>
            <w:tcW w:w="802" w:type="dxa"/>
            <w:vMerge w:val="restart"/>
            <w:tcBorders>
              <w:top w:val="single" w:sz="9" w:space="0" w:color="0000FF"/>
              <w:left w:val="nil"/>
              <w:bottom w:val="single" w:sz="9" w:space="0" w:color="0000FF"/>
              <w:right w:val="nil"/>
            </w:tcBorders>
            <w:shd w:val="clear" w:color="auto" w:fill="BDFFFF"/>
            <w:vAlign w:val="center"/>
          </w:tcPr>
          <w:p w:rsidR="00E33FC9" w:rsidRDefault="00890072">
            <w:pPr>
              <w:spacing w:after="3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vyšetřený </w:t>
            </w:r>
          </w:p>
          <w:p w:rsidR="00E33FC9" w:rsidRDefault="00890072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vzorek</w:t>
            </w:r>
          </w:p>
        </w:tc>
        <w:tc>
          <w:tcPr>
            <w:tcW w:w="1022" w:type="dxa"/>
            <w:vMerge w:val="restart"/>
            <w:tcBorders>
              <w:top w:val="single" w:sz="9" w:space="0" w:color="0000FF"/>
              <w:left w:val="nil"/>
              <w:bottom w:val="single" w:sz="9" w:space="0" w:color="0000FF"/>
              <w:right w:val="nil"/>
            </w:tcBorders>
            <w:vAlign w:val="center"/>
          </w:tcPr>
          <w:p w:rsidR="00E33FC9" w:rsidRDefault="00890072">
            <w:pPr>
              <w:spacing w:after="0"/>
              <w:ind w:right="17"/>
              <w:jc w:val="center"/>
            </w:pPr>
            <w:r>
              <w:rPr>
                <w:b/>
                <w:sz w:val="12"/>
              </w:rPr>
              <w:t>250</w:t>
            </w:r>
          </w:p>
        </w:tc>
        <w:tc>
          <w:tcPr>
            <w:tcW w:w="795" w:type="dxa"/>
            <w:vMerge w:val="restart"/>
            <w:tcBorders>
              <w:top w:val="single" w:sz="9" w:space="0" w:color="0000FF"/>
              <w:left w:val="nil"/>
              <w:bottom w:val="single" w:sz="9" w:space="0" w:color="0000FF"/>
              <w:right w:val="nil"/>
            </w:tcBorders>
            <w:shd w:val="clear" w:color="auto" w:fill="C2FEBA"/>
            <w:vAlign w:val="center"/>
          </w:tcPr>
          <w:p w:rsidR="00E33FC9" w:rsidRDefault="0089007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2"/>
              </w:rPr>
              <w:t>21,00%</w:t>
            </w:r>
          </w:p>
        </w:tc>
        <w:tc>
          <w:tcPr>
            <w:tcW w:w="1178" w:type="dxa"/>
            <w:vMerge w:val="restart"/>
            <w:tcBorders>
              <w:top w:val="single" w:sz="9" w:space="0" w:color="0000FF"/>
              <w:left w:val="nil"/>
              <w:bottom w:val="single" w:sz="9" w:space="0" w:color="0000FF"/>
              <w:right w:val="nil"/>
            </w:tcBorders>
            <w:shd w:val="clear" w:color="auto" w:fill="C2FEBA"/>
            <w:vAlign w:val="center"/>
          </w:tcPr>
          <w:p w:rsidR="00E33FC9" w:rsidRDefault="00890072">
            <w:pPr>
              <w:spacing w:after="0"/>
              <w:ind w:right="27"/>
              <w:jc w:val="right"/>
            </w:pPr>
            <w:r>
              <w:rPr>
                <w:sz w:val="12"/>
              </w:rPr>
              <w:t>442,20</w:t>
            </w:r>
          </w:p>
        </w:tc>
        <w:tc>
          <w:tcPr>
            <w:tcW w:w="1156" w:type="dxa"/>
            <w:vMerge w:val="restart"/>
            <w:tcBorders>
              <w:top w:val="single" w:sz="9" w:space="0" w:color="0000FF"/>
              <w:left w:val="nil"/>
              <w:bottom w:val="single" w:sz="9" w:space="0" w:color="0000FF"/>
              <w:right w:val="double" w:sz="5" w:space="0" w:color="0000FF"/>
            </w:tcBorders>
            <w:shd w:val="clear" w:color="auto" w:fill="FFFF66"/>
            <w:vAlign w:val="center"/>
          </w:tcPr>
          <w:p w:rsidR="00E33FC9" w:rsidRDefault="00E33FC9">
            <w:pPr>
              <w:spacing w:after="0"/>
              <w:ind w:left="38"/>
            </w:pPr>
          </w:p>
        </w:tc>
        <w:tc>
          <w:tcPr>
            <w:tcW w:w="1755" w:type="dxa"/>
            <w:vMerge w:val="restart"/>
            <w:tcBorders>
              <w:top w:val="single" w:sz="5" w:space="0" w:color="0000FF"/>
              <w:left w:val="double" w:sz="5" w:space="0" w:color="0000FF"/>
              <w:bottom w:val="single" w:sz="5" w:space="0" w:color="0000FF"/>
              <w:right w:val="single" w:sz="13" w:space="0" w:color="0000FF"/>
            </w:tcBorders>
            <w:vAlign w:val="center"/>
          </w:tcPr>
          <w:p w:rsidR="00E33FC9" w:rsidRDefault="00890072">
            <w:pPr>
              <w:spacing w:after="0"/>
              <w:ind w:left="167" w:right="375"/>
            </w:pPr>
            <w:r>
              <w:rPr>
                <w:color w:val="E26B0A"/>
                <w:sz w:val="12"/>
              </w:rPr>
              <w:t xml:space="preserve"> předpokládaná série: 5 vzorků (cca 1x týdně) </w:t>
            </w:r>
          </w:p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single" w:sz="5" w:space="0" w:color="0000FF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single" w:sz="5" w:space="0" w:color="0000FF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single" w:sz="9" w:space="0" w:color="0000FF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single" w:sz="9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FF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single" w:sz="5" w:space="0" w:color="0000FF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290"/>
        </w:trPr>
        <w:tc>
          <w:tcPr>
            <w:tcW w:w="378" w:type="dxa"/>
            <w:vMerge w:val="restart"/>
            <w:tcBorders>
              <w:top w:val="single" w:sz="5" w:space="0" w:color="0000FF"/>
              <w:left w:val="single" w:sz="13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E33FC9" w:rsidRDefault="00890072">
            <w:pPr>
              <w:spacing w:after="0"/>
              <w:ind w:left="42"/>
            </w:pPr>
            <w:r>
              <w:rPr>
                <w:rFonts w:ascii="Arial" w:eastAsia="Arial" w:hAnsi="Arial" w:cs="Arial"/>
                <w:sz w:val="12"/>
              </w:rPr>
              <w:t>0418</w:t>
            </w:r>
          </w:p>
        </w:tc>
        <w:tc>
          <w:tcPr>
            <w:tcW w:w="4036" w:type="dxa"/>
            <w:vMerge w:val="restart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double" w:sz="5" w:space="0" w:color="0000FF"/>
            </w:tcBorders>
            <w:vAlign w:val="center"/>
          </w:tcPr>
          <w:p w:rsidR="00E33FC9" w:rsidRDefault="00890072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Výpůjčka plně automatizovaného imunochemického analyzátoru využívajícího principu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chemiluminescenční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imunoanalýzy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3155" w:type="dxa"/>
            <w:vMerge w:val="restart"/>
            <w:tcBorders>
              <w:top w:val="single" w:sz="9" w:space="0" w:color="0000FF"/>
              <w:left w:val="double" w:sz="5" w:space="0" w:color="0000FF"/>
              <w:bottom w:val="single" w:sz="5" w:space="0" w:color="0000FF"/>
              <w:right w:val="single" w:sz="5" w:space="0" w:color="0000FF"/>
            </w:tcBorders>
            <w:shd w:val="clear" w:color="auto" w:fill="EBF1DE"/>
          </w:tcPr>
          <w:p w:rsidR="00E33FC9" w:rsidRDefault="00E33FC9"/>
        </w:tc>
        <w:tc>
          <w:tcPr>
            <w:tcW w:w="1368" w:type="dxa"/>
            <w:vMerge w:val="restart"/>
            <w:tcBorders>
              <w:top w:val="single" w:sz="9" w:space="0" w:color="0000FF"/>
              <w:left w:val="single" w:sz="5" w:space="0" w:color="0000FF"/>
              <w:bottom w:val="single" w:sz="5" w:space="0" w:color="0000FF"/>
              <w:right w:val="nil"/>
            </w:tcBorders>
            <w:shd w:val="clear" w:color="auto" w:fill="EBF1DE"/>
          </w:tcPr>
          <w:p w:rsidR="00E33FC9" w:rsidRDefault="00E33FC9"/>
        </w:tc>
        <w:tc>
          <w:tcPr>
            <w:tcW w:w="802" w:type="dxa"/>
            <w:vMerge w:val="restart"/>
            <w:tcBorders>
              <w:top w:val="single" w:sz="9" w:space="0" w:color="0000FF"/>
              <w:left w:val="nil"/>
              <w:bottom w:val="single" w:sz="5" w:space="0" w:color="0000FF"/>
              <w:right w:val="nil"/>
            </w:tcBorders>
            <w:shd w:val="clear" w:color="auto" w:fill="BDFFFF"/>
            <w:vAlign w:val="center"/>
          </w:tcPr>
          <w:p w:rsidR="00E33FC9" w:rsidRDefault="00890072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komplet</w:t>
            </w:r>
          </w:p>
        </w:tc>
        <w:tc>
          <w:tcPr>
            <w:tcW w:w="1022" w:type="dxa"/>
            <w:vMerge w:val="restart"/>
            <w:tcBorders>
              <w:top w:val="single" w:sz="9" w:space="0" w:color="0000FF"/>
              <w:left w:val="nil"/>
              <w:bottom w:val="single" w:sz="5" w:space="0" w:color="0000FF"/>
              <w:right w:val="nil"/>
            </w:tcBorders>
            <w:vAlign w:val="center"/>
          </w:tcPr>
          <w:p w:rsidR="00E33FC9" w:rsidRDefault="00890072">
            <w:pPr>
              <w:spacing w:after="0"/>
              <w:ind w:right="17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95" w:type="dxa"/>
            <w:vMerge w:val="restart"/>
            <w:tcBorders>
              <w:top w:val="single" w:sz="9" w:space="0" w:color="0000FF"/>
              <w:left w:val="nil"/>
              <w:bottom w:val="single" w:sz="5" w:space="0" w:color="0000FF"/>
              <w:right w:val="nil"/>
            </w:tcBorders>
            <w:shd w:val="clear" w:color="auto" w:fill="C2FEBA"/>
            <w:vAlign w:val="center"/>
          </w:tcPr>
          <w:p w:rsidR="00E33FC9" w:rsidRDefault="0089007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2"/>
              </w:rPr>
              <w:t>0,00%</w:t>
            </w:r>
          </w:p>
        </w:tc>
        <w:tc>
          <w:tcPr>
            <w:tcW w:w="1178" w:type="dxa"/>
            <w:vMerge w:val="restart"/>
            <w:tcBorders>
              <w:top w:val="single" w:sz="9" w:space="0" w:color="0000FF"/>
              <w:left w:val="nil"/>
              <w:bottom w:val="single" w:sz="5" w:space="0" w:color="0000FF"/>
              <w:right w:val="nil"/>
            </w:tcBorders>
            <w:shd w:val="clear" w:color="auto" w:fill="C2FEBA"/>
            <w:vAlign w:val="center"/>
          </w:tcPr>
          <w:p w:rsidR="00E33FC9" w:rsidRDefault="00890072">
            <w:pPr>
              <w:spacing w:after="0"/>
              <w:ind w:right="27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156" w:type="dxa"/>
            <w:vMerge w:val="restart"/>
            <w:tcBorders>
              <w:top w:val="single" w:sz="9" w:space="0" w:color="0000FF"/>
              <w:left w:val="nil"/>
              <w:bottom w:val="single" w:sz="5" w:space="0" w:color="0000FF"/>
              <w:right w:val="double" w:sz="5" w:space="0" w:color="0000FF"/>
            </w:tcBorders>
            <w:shd w:val="clear" w:color="auto" w:fill="FFFF66"/>
            <w:vAlign w:val="center"/>
          </w:tcPr>
          <w:p w:rsidR="00E33FC9" w:rsidRDefault="00890072">
            <w:pPr>
              <w:tabs>
                <w:tab w:val="right" w:pos="1130"/>
              </w:tabs>
              <w:spacing w:after="0"/>
            </w:pPr>
            <w:r>
              <w:rPr>
                <w:sz w:val="12"/>
              </w:rPr>
              <w:t xml:space="preserve">                         - </w:t>
            </w:r>
            <w:r>
              <w:rPr>
                <w:sz w:val="12"/>
              </w:rPr>
              <w:tab/>
              <w:t xml:space="preserve"> Kč</w:t>
            </w:r>
          </w:p>
        </w:tc>
        <w:tc>
          <w:tcPr>
            <w:tcW w:w="1755" w:type="dxa"/>
            <w:vMerge w:val="restart"/>
            <w:tcBorders>
              <w:top w:val="single" w:sz="5" w:space="0" w:color="0000FF"/>
              <w:left w:val="double" w:sz="5" w:space="0" w:color="0000FF"/>
              <w:bottom w:val="single" w:sz="5" w:space="0" w:color="0000FF"/>
              <w:right w:val="single" w:sz="13" w:space="0" w:color="0000FF"/>
            </w:tcBorders>
            <w:vAlign w:val="center"/>
          </w:tcPr>
          <w:p w:rsidR="00E33FC9" w:rsidRDefault="00890072">
            <w:pPr>
              <w:spacing w:after="0"/>
              <w:ind w:left="167"/>
            </w:pPr>
            <w:r>
              <w:rPr>
                <w:color w:val="E26B0A"/>
                <w:sz w:val="12"/>
              </w:rPr>
              <w:t xml:space="preserve">  </w:t>
            </w:r>
          </w:p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single" w:sz="5" w:space="0" w:color="0000FF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single" w:sz="5" w:space="0" w:color="0000FF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single" w:sz="5" w:space="0" w:color="0000FF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single" w:sz="5" w:space="0" w:color="0000FF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290"/>
        </w:trPr>
        <w:tc>
          <w:tcPr>
            <w:tcW w:w="378" w:type="dxa"/>
            <w:vMerge w:val="restart"/>
            <w:tcBorders>
              <w:top w:val="single" w:sz="5" w:space="0" w:color="0000FF"/>
              <w:left w:val="single" w:sz="13" w:space="0" w:color="0000FF"/>
              <w:bottom w:val="single" w:sz="5" w:space="0" w:color="0000FF"/>
              <w:right w:val="single" w:sz="5" w:space="0" w:color="0000FF"/>
            </w:tcBorders>
            <w:vAlign w:val="center"/>
          </w:tcPr>
          <w:p w:rsidR="00E33FC9" w:rsidRDefault="00890072">
            <w:pPr>
              <w:spacing w:after="0"/>
              <w:ind w:left="42"/>
            </w:pPr>
            <w:r>
              <w:rPr>
                <w:rFonts w:ascii="Arial" w:eastAsia="Arial" w:hAnsi="Arial" w:cs="Arial"/>
                <w:sz w:val="12"/>
              </w:rPr>
              <w:t>0419</w:t>
            </w:r>
          </w:p>
        </w:tc>
        <w:tc>
          <w:tcPr>
            <w:tcW w:w="4036" w:type="dxa"/>
            <w:vMerge w:val="restart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double" w:sz="5" w:space="0" w:color="0000FF"/>
            </w:tcBorders>
          </w:tcPr>
          <w:p w:rsidR="00E33FC9" w:rsidRDefault="00890072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Součástí plnění je úhrada nákladů na zavedení metody do provozu, vstupní verifikaci a posouzení metody národním akreditačním orgánem na náklady dodavatele.</w:t>
            </w:r>
          </w:p>
        </w:tc>
        <w:tc>
          <w:tcPr>
            <w:tcW w:w="3155" w:type="dxa"/>
            <w:vMerge w:val="restart"/>
            <w:tcBorders>
              <w:top w:val="single" w:sz="5" w:space="0" w:color="0000FF"/>
              <w:left w:val="double" w:sz="5" w:space="0" w:color="0000FF"/>
              <w:bottom w:val="single" w:sz="5" w:space="0" w:color="0000FF"/>
              <w:right w:val="single" w:sz="5" w:space="0" w:color="0000FF"/>
            </w:tcBorders>
            <w:shd w:val="clear" w:color="auto" w:fill="EBF1DE"/>
          </w:tcPr>
          <w:p w:rsidR="00E33FC9" w:rsidRDefault="00E33FC9"/>
        </w:tc>
        <w:tc>
          <w:tcPr>
            <w:tcW w:w="1368" w:type="dxa"/>
            <w:vMerge w:val="restart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nil"/>
            </w:tcBorders>
            <w:shd w:val="clear" w:color="auto" w:fill="EBF1DE"/>
          </w:tcPr>
          <w:p w:rsidR="00E33FC9" w:rsidRDefault="00E33FC9"/>
        </w:tc>
        <w:tc>
          <w:tcPr>
            <w:tcW w:w="802" w:type="dxa"/>
            <w:vMerge w:val="restart"/>
            <w:tcBorders>
              <w:top w:val="single" w:sz="5" w:space="0" w:color="0000FF"/>
              <w:left w:val="nil"/>
              <w:bottom w:val="single" w:sz="5" w:space="0" w:color="0000FF"/>
              <w:right w:val="nil"/>
            </w:tcBorders>
            <w:shd w:val="clear" w:color="auto" w:fill="BDFFFF"/>
            <w:vAlign w:val="center"/>
          </w:tcPr>
          <w:p w:rsidR="00E33FC9" w:rsidRDefault="00890072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komplet</w:t>
            </w:r>
          </w:p>
        </w:tc>
        <w:tc>
          <w:tcPr>
            <w:tcW w:w="1022" w:type="dxa"/>
            <w:vMerge w:val="restart"/>
            <w:tcBorders>
              <w:top w:val="single" w:sz="5" w:space="0" w:color="0000FF"/>
              <w:left w:val="nil"/>
              <w:bottom w:val="single" w:sz="5" w:space="0" w:color="0000FF"/>
              <w:right w:val="nil"/>
            </w:tcBorders>
            <w:vAlign w:val="center"/>
          </w:tcPr>
          <w:p w:rsidR="00E33FC9" w:rsidRDefault="00890072">
            <w:pPr>
              <w:spacing w:after="0"/>
              <w:ind w:right="17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95" w:type="dxa"/>
            <w:vMerge w:val="restart"/>
            <w:tcBorders>
              <w:top w:val="single" w:sz="5" w:space="0" w:color="0000FF"/>
              <w:left w:val="nil"/>
              <w:bottom w:val="single" w:sz="5" w:space="0" w:color="0000FF"/>
              <w:right w:val="nil"/>
            </w:tcBorders>
            <w:shd w:val="clear" w:color="auto" w:fill="C2FEBA"/>
            <w:vAlign w:val="center"/>
          </w:tcPr>
          <w:p w:rsidR="00E33FC9" w:rsidRDefault="0089007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2"/>
              </w:rPr>
              <w:t>0,00%</w:t>
            </w:r>
          </w:p>
        </w:tc>
        <w:tc>
          <w:tcPr>
            <w:tcW w:w="1178" w:type="dxa"/>
            <w:vMerge w:val="restart"/>
            <w:tcBorders>
              <w:top w:val="single" w:sz="5" w:space="0" w:color="0000FF"/>
              <w:left w:val="nil"/>
              <w:bottom w:val="single" w:sz="5" w:space="0" w:color="0000FF"/>
              <w:right w:val="nil"/>
            </w:tcBorders>
            <w:shd w:val="clear" w:color="auto" w:fill="C2FEBA"/>
            <w:vAlign w:val="center"/>
          </w:tcPr>
          <w:p w:rsidR="00E33FC9" w:rsidRDefault="00890072">
            <w:pPr>
              <w:spacing w:after="0"/>
              <w:ind w:right="27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156" w:type="dxa"/>
            <w:vMerge w:val="restart"/>
            <w:tcBorders>
              <w:top w:val="single" w:sz="5" w:space="0" w:color="0000FF"/>
              <w:left w:val="nil"/>
              <w:bottom w:val="single" w:sz="5" w:space="0" w:color="0000FF"/>
              <w:right w:val="double" w:sz="5" w:space="0" w:color="0000FF"/>
            </w:tcBorders>
            <w:shd w:val="clear" w:color="auto" w:fill="FFFF66"/>
            <w:vAlign w:val="center"/>
          </w:tcPr>
          <w:p w:rsidR="00E33FC9" w:rsidRDefault="00890072">
            <w:pPr>
              <w:tabs>
                <w:tab w:val="right" w:pos="1130"/>
              </w:tabs>
              <w:spacing w:after="0"/>
            </w:pPr>
            <w:r>
              <w:rPr>
                <w:sz w:val="12"/>
              </w:rPr>
              <w:t xml:space="preserve">                         - </w:t>
            </w:r>
            <w:r>
              <w:rPr>
                <w:sz w:val="12"/>
              </w:rPr>
              <w:tab/>
              <w:t xml:space="preserve"> Kč</w:t>
            </w:r>
          </w:p>
        </w:tc>
        <w:tc>
          <w:tcPr>
            <w:tcW w:w="1755" w:type="dxa"/>
            <w:vMerge w:val="restart"/>
            <w:tcBorders>
              <w:top w:val="single" w:sz="5" w:space="0" w:color="0000FF"/>
              <w:left w:val="double" w:sz="5" w:space="0" w:color="0000FF"/>
              <w:bottom w:val="single" w:sz="5" w:space="0" w:color="0000FF"/>
              <w:right w:val="single" w:sz="13" w:space="0" w:color="0000FF"/>
            </w:tcBorders>
            <w:vAlign w:val="center"/>
          </w:tcPr>
          <w:p w:rsidR="00E33FC9" w:rsidRDefault="00890072">
            <w:pPr>
              <w:spacing w:after="0"/>
              <w:ind w:left="167"/>
            </w:pPr>
            <w:r>
              <w:rPr>
                <w:color w:val="E26B0A"/>
                <w:sz w:val="12"/>
              </w:rPr>
              <w:t xml:space="preserve">  </w:t>
            </w:r>
          </w:p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single" w:sz="5" w:space="0" w:color="0000FF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single" w:sz="5" w:space="0" w:color="0000FF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single" w:sz="5" w:space="0" w:color="0000FF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FF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single" w:sz="5" w:space="0" w:color="0000FF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378" w:type="dxa"/>
            <w:vMerge w:val="restart"/>
            <w:tcBorders>
              <w:top w:val="single" w:sz="5" w:space="0" w:color="0000FF"/>
              <w:left w:val="single" w:sz="13" w:space="0" w:color="0000FF"/>
              <w:bottom w:val="single" w:sz="13" w:space="0" w:color="0000FF"/>
              <w:right w:val="single" w:sz="5" w:space="0" w:color="0000FF"/>
            </w:tcBorders>
          </w:tcPr>
          <w:p w:rsidR="00E33FC9" w:rsidRDefault="00E33FC9"/>
        </w:tc>
        <w:tc>
          <w:tcPr>
            <w:tcW w:w="4036" w:type="dxa"/>
            <w:vMerge w:val="restart"/>
            <w:tcBorders>
              <w:top w:val="single" w:sz="5" w:space="0" w:color="0000FF"/>
              <w:left w:val="single" w:sz="5" w:space="0" w:color="0000FF"/>
              <w:bottom w:val="single" w:sz="13" w:space="0" w:color="0000FF"/>
              <w:right w:val="double" w:sz="5" w:space="0" w:color="0000FF"/>
            </w:tcBorders>
          </w:tcPr>
          <w:p w:rsidR="00E33FC9" w:rsidRDefault="00E33FC9"/>
        </w:tc>
        <w:tc>
          <w:tcPr>
            <w:tcW w:w="3155" w:type="dxa"/>
            <w:vMerge w:val="restart"/>
            <w:tcBorders>
              <w:top w:val="single" w:sz="5" w:space="0" w:color="0000FF"/>
              <w:left w:val="double" w:sz="5" w:space="0" w:color="0000FF"/>
              <w:bottom w:val="single" w:sz="13" w:space="0" w:color="0000FF"/>
              <w:right w:val="single" w:sz="5" w:space="0" w:color="0000FF"/>
            </w:tcBorders>
            <w:shd w:val="clear" w:color="auto" w:fill="EBF1DE"/>
          </w:tcPr>
          <w:p w:rsidR="00E33FC9" w:rsidRDefault="00E33FC9"/>
        </w:tc>
        <w:tc>
          <w:tcPr>
            <w:tcW w:w="1368" w:type="dxa"/>
            <w:vMerge w:val="restart"/>
            <w:tcBorders>
              <w:top w:val="single" w:sz="5" w:space="0" w:color="0000FF"/>
              <w:left w:val="single" w:sz="5" w:space="0" w:color="0000FF"/>
              <w:bottom w:val="single" w:sz="13" w:space="0" w:color="0000FF"/>
              <w:right w:val="nil"/>
            </w:tcBorders>
            <w:shd w:val="clear" w:color="auto" w:fill="EBF1DE"/>
          </w:tcPr>
          <w:p w:rsidR="00E33FC9" w:rsidRDefault="00E33FC9"/>
        </w:tc>
        <w:tc>
          <w:tcPr>
            <w:tcW w:w="802" w:type="dxa"/>
            <w:vMerge w:val="restart"/>
            <w:tcBorders>
              <w:top w:val="single" w:sz="5" w:space="0" w:color="0000FF"/>
              <w:left w:val="nil"/>
              <w:bottom w:val="single" w:sz="13" w:space="0" w:color="0000FF"/>
              <w:right w:val="nil"/>
            </w:tcBorders>
            <w:shd w:val="clear" w:color="auto" w:fill="BDFFFF"/>
          </w:tcPr>
          <w:p w:rsidR="00E33FC9" w:rsidRDefault="00E33FC9"/>
        </w:tc>
        <w:tc>
          <w:tcPr>
            <w:tcW w:w="1022" w:type="dxa"/>
            <w:vMerge w:val="restart"/>
            <w:tcBorders>
              <w:top w:val="single" w:sz="5" w:space="0" w:color="0000FF"/>
              <w:left w:val="nil"/>
              <w:bottom w:val="single" w:sz="13" w:space="0" w:color="0000FF"/>
              <w:right w:val="nil"/>
            </w:tcBorders>
          </w:tcPr>
          <w:p w:rsidR="00E33FC9" w:rsidRDefault="00E33FC9"/>
        </w:tc>
        <w:tc>
          <w:tcPr>
            <w:tcW w:w="795" w:type="dxa"/>
            <w:vMerge w:val="restart"/>
            <w:tcBorders>
              <w:top w:val="single" w:sz="5" w:space="0" w:color="0000FF"/>
              <w:left w:val="nil"/>
              <w:bottom w:val="single" w:sz="13" w:space="0" w:color="0000FF"/>
              <w:right w:val="nil"/>
            </w:tcBorders>
            <w:shd w:val="clear" w:color="auto" w:fill="C2FEBA"/>
          </w:tcPr>
          <w:p w:rsidR="00E33FC9" w:rsidRDefault="00E33FC9"/>
        </w:tc>
        <w:tc>
          <w:tcPr>
            <w:tcW w:w="1178" w:type="dxa"/>
            <w:vMerge w:val="restart"/>
            <w:tcBorders>
              <w:top w:val="single" w:sz="5" w:space="0" w:color="0000FF"/>
              <w:left w:val="nil"/>
              <w:bottom w:val="single" w:sz="13" w:space="0" w:color="0000FF"/>
              <w:right w:val="nil"/>
            </w:tcBorders>
            <w:shd w:val="clear" w:color="auto" w:fill="C2FEBA"/>
          </w:tcPr>
          <w:p w:rsidR="00E33FC9" w:rsidRDefault="00E33FC9"/>
        </w:tc>
        <w:tc>
          <w:tcPr>
            <w:tcW w:w="1156" w:type="dxa"/>
            <w:vMerge w:val="restart"/>
            <w:tcBorders>
              <w:top w:val="single" w:sz="5" w:space="0" w:color="0000FF"/>
              <w:left w:val="nil"/>
              <w:bottom w:val="single" w:sz="13" w:space="0" w:color="0000FF"/>
              <w:right w:val="double" w:sz="5" w:space="0" w:color="0000FF"/>
            </w:tcBorders>
            <w:shd w:val="clear" w:color="auto" w:fill="FFFF66"/>
          </w:tcPr>
          <w:p w:rsidR="00E33FC9" w:rsidRDefault="00890072">
            <w:pPr>
              <w:tabs>
                <w:tab w:val="right" w:pos="1130"/>
              </w:tabs>
              <w:spacing w:after="0"/>
            </w:pPr>
            <w:r>
              <w:rPr>
                <w:sz w:val="12"/>
              </w:rPr>
              <w:t xml:space="preserve">                         - </w:t>
            </w:r>
            <w:r>
              <w:rPr>
                <w:sz w:val="12"/>
              </w:rPr>
              <w:tab/>
              <w:t xml:space="preserve"> Kč</w:t>
            </w:r>
          </w:p>
        </w:tc>
        <w:tc>
          <w:tcPr>
            <w:tcW w:w="1755" w:type="dxa"/>
            <w:vMerge w:val="restart"/>
            <w:tcBorders>
              <w:top w:val="single" w:sz="5" w:space="0" w:color="0000FF"/>
              <w:left w:val="double" w:sz="5" w:space="0" w:color="0000FF"/>
              <w:bottom w:val="single" w:sz="13" w:space="0" w:color="0000FF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nil"/>
              <w:right w:val="single" w:sz="13" w:space="0" w:color="0000FF"/>
            </w:tcBorders>
          </w:tcPr>
          <w:p w:rsidR="00E33FC9" w:rsidRDefault="00E33FC9"/>
        </w:tc>
      </w:tr>
      <w:tr w:rsidR="00E33FC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3" w:space="0" w:color="0000FF"/>
              <w:bottom w:val="single" w:sz="13" w:space="0" w:color="0000FF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single" w:sz="13" w:space="0" w:color="0000FF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single" w:sz="13" w:space="0" w:color="0000FF"/>
              <w:right w:val="sing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single" w:sz="5" w:space="0" w:color="0000FF"/>
              <w:bottom w:val="single" w:sz="13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13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13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13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13" w:space="0" w:color="0000FF"/>
              <w:right w:val="nil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nil"/>
              <w:bottom w:val="single" w:sz="13" w:space="0" w:color="0000FF"/>
              <w:right w:val="double" w:sz="5" w:space="0" w:color="0000FF"/>
            </w:tcBorders>
          </w:tcPr>
          <w:p w:rsidR="00E33FC9" w:rsidRDefault="00E33FC9"/>
        </w:tc>
        <w:tc>
          <w:tcPr>
            <w:tcW w:w="0" w:type="auto"/>
            <w:vMerge/>
            <w:tcBorders>
              <w:top w:val="nil"/>
              <w:left w:val="double" w:sz="5" w:space="0" w:color="0000FF"/>
              <w:bottom w:val="single" w:sz="13" w:space="0" w:color="0000FF"/>
              <w:right w:val="single" w:sz="13" w:space="0" w:color="0000FF"/>
            </w:tcBorders>
          </w:tcPr>
          <w:p w:rsidR="00E33FC9" w:rsidRDefault="00E33FC9"/>
        </w:tc>
      </w:tr>
    </w:tbl>
    <w:p w:rsidR="00E33FC9" w:rsidRDefault="00890072">
      <w:pPr>
        <w:spacing w:after="211"/>
        <w:ind w:left="-46"/>
      </w:pPr>
      <w:r>
        <w:rPr>
          <w:noProof/>
        </w:rPr>
        <w:drawing>
          <wp:inline distT="0" distB="0" distL="0" distR="0">
            <wp:extent cx="6163057" cy="914400"/>
            <wp:effectExtent l="0" t="0" r="0" b="0"/>
            <wp:docPr id="32141" name="Picture 32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41" name="Picture 321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305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320" w:type="dxa"/>
        <w:tblInd w:w="-24" w:type="dxa"/>
        <w:tblCellMar>
          <w:top w:w="31" w:type="dxa"/>
          <w:left w:w="26" w:type="dxa"/>
          <w:bottom w:w="0" w:type="dxa"/>
          <w:right w:w="250" w:type="dxa"/>
        </w:tblCellMar>
        <w:tblLook w:val="04A0" w:firstRow="1" w:lastRow="0" w:firstColumn="1" w:lastColumn="0" w:noHBand="0" w:noVBand="1"/>
      </w:tblPr>
      <w:tblGrid>
        <w:gridCol w:w="8320"/>
      </w:tblGrid>
      <w:tr w:rsidR="00E33FC9">
        <w:trPr>
          <w:trHeight w:val="2465"/>
        </w:trPr>
        <w:tc>
          <w:tcPr>
            <w:tcW w:w="8320" w:type="dxa"/>
            <w:tcBorders>
              <w:top w:val="single" w:sz="13" w:space="0" w:color="0000FF"/>
              <w:left w:val="single" w:sz="13" w:space="0" w:color="0000FF"/>
              <w:bottom w:val="single" w:sz="13" w:space="0" w:color="0000FF"/>
              <w:right w:val="single" w:sz="13" w:space="0" w:color="0000FF"/>
            </w:tcBorders>
            <w:shd w:val="clear" w:color="auto" w:fill="F2F2F2"/>
          </w:tcPr>
          <w:p w:rsidR="00E33FC9" w:rsidRDefault="00890072">
            <w:pPr>
              <w:spacing w:after="32"/>
            </w:pPr>
            <w:r>
              <w:rPr>
                <w:rFonts w:ascii="Arial" w:eastAsia="Arial" w:hAnsi="Arial" w:cs="Arial"/>
                <w:color w:val="76933C"/>
                <w:sz w:val="12"/>
              </w:rPr>
              <w:t xml:space="preserve">Poznámka:    </w:t>
            </w:r>
          </w:p>
          <w:p w:rsidR="00E33FC9" w:rsidRDefault="00890072">
            <w:pPr>
              <w:numPr>
                <w:ilvl w:val="0"/>
                <w:numId w:val="1"/>
              </w:numPr>
              <w:spacing w:after="83"/>
              <w:ind w:left="300" w:hanging="134"/>
            </w:pPr>
            <w:r>
              <w:rPr>
                <w:rFonts w:ascii="Arial" w:eastAsia="Arial" w:hAnsi="Arial" w:cs="Arial"/>
                <w:color w:val="31869B"/>
                <w:sz w:val="12"/>
              </w:rPr>
              <w:t xml:space="preserve">u číselných hodnot specifikace je </w:t>
            </w:r>
            <w:proofErr w:type="spellStart"/>
            <w:r>
              <w:rPr>
                <w:rFonts w:ascii="Arial" w:eastAsia="Arial" w:hAnsi="Arial" w:cs="Arial"/>
                <w:color w:val="31869B"/>
                <w:sz w:val="12"/>
              </w:rPr>
              <w:t>přípuštěna</w:t>
            </w:r>
            <w:proofErr w:type="spellEnd"/>
            <w:r>
              <w:rPr>
                <w:rFonts w:ascii="Arial" w:eastAsia="Arial" w:hAnsi="Arial" w:cs="Arial"/>
                <w:color w:val="31869B"/>
                <w:sz w:val="12"/>
              </w:rPr>
              <w:t xml:space="preserve"> tolerance </w:t>
            </w:r>
            <w:r>
              <w:rPr>
                <w:color w:val="31869B"/>
                <w:sz w:val="12"/>
              </w:rPr>
              <w:t>±</w:t>
            </w:r>
            <w:r>
              <w:rPr>
                <w:rFonts w:ascii="Arial" w:eastAsia="Arial" w:hAnsi="Arial" w:cs="Arial"/>
                <w:color w:val="31869B"/>
                <w:sz w:val="12"/>
              </w:rPr>
              <w:t xml:space="preserve"> 10%, není-li uvedeno jinak </w:t>
            </w:r>
          </w:p>
          <w:p w:rsidR="00E33FC9" w:rsidRDefault="00890072">
            <w:pPr>
              <w:numPr>
                <w:ilvl w:val="0"/>
                <w:numId w:val="1"/>
              </w:numPr>
              <w:spacing w:after="98"/>
              <w:ind w:left="300" w:hanging="134"/>
            </w:pPr>
            <w:r>
              <w:rPr>
                <w:rFonts w:ascii="Arial" w:eastAsia="Arial" w:hAnsi="Arial" w:cs="Arial"/>
                <w:b/>
                <w:color w:val="31869B"/>
                <w:sz w:val="12"/>
              </w:rPr>
              <w:t>pro části, pro které podává dodavatel nabídku</w:t>
            </w:r>
          </w:p>
          <w:p w:rsidR="00E33FC9" w:rsidRDefault="00890072">
            <w:pPr>
              <w:numPr>
                <w:ilvl w:val="0"/>
                <w:numId w:val="2"/>
              </w:numPr>
              <w:spacing w:after="80"/>
              <w:ind w:right="393"/>
            </w:pPr>
            <w:r>
              <w:rPr>
                <w:rFonts w:ascii="Arial" w:eastAsia="Arial" w:hAnsi="Arial" w:cs="Arial"/>
                <w:color w:val="31869B"/>
                <w:sz w:val="12"/>
              </w:rPr>
              <w:t xml:space="preserve">doplní sloupce "D" a "E" podle uvážení,  </w:t>
            </w:r>
            <w:r>
              <w:rPr>
                <w:rFonts w:ascii="Arial" w:eastAsia="Arial" w:hAnsi="Arial" w:cs="Arial"/>
                <w:b/>
                <w:i/>
                <w:color w:val="31869B"/>
                <w:sz w:val="12"/>
              </w:rPr>
              <w:t>povinně</w:t>
            </w:r>
            <w:r>
              <w:rPr>
                <w:rFonts w:ascii="Arial" w:eastAsia="Arial" w:hAnsi="Arial" w:cs="Arial"/>
                <w:color w:val="31869B"/>
                <w:sz w:val="12"/>
              </w:rPr>
              <w:t xml:space="preserve"> vyplní tyto údaje do přílohy</w:t>
            </w:r>
            <w:r>
              <w:rPr>
                <w:rFonts w:ascii="Arial" w:eastAsia="Arial" w:hAnsi="Arial" w:cs="Arial"/>
                <w:b/>
                <w:i/>
                <w:color w:val="31869B"/>
                <w:sz w:val="1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31869B"/>
                <w:sz w:val="12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31869B"/>
                <w:sz w:val="12"/>
              </w:rPr>
              <w:t xml:space="preserve"> přílohy</w:t>
            </w:r>
            <w:r>
              <w:rPr>
                <w:rFonts w:ascii="Arial" w:eastAsia="Arial" w:hAnsi="Arial" w:cs="Arial"/>
                <w:b/>
                <w:i/>
                <w:color w:val="31869B"/>
                <w:sz w:val="12"/>
              </w:rPr>
              <w:t xml:space="preserve"> C kupní smlouvy </w:t>
            </w:r>
          </w:p>
          <w:p w:rsidR="00E33FC9" w:rsidRDefault="00890072">
            <w:pPr>
              <w:numPr>
                <w:ilvl w:val="0"/>
                <w:numId w:val="2"/>
              </w:numPr>
              <w:spacing w:after="11" w:line="405" w:lineRule="auto"/>
              <w:ind w:right="393"/>
            </w:pPr>
            <w:r>
              <w:rPr>
                <w:rFonts w:ascii="Arial" w:eastAsia="Arial" w:hAnsi="Arial" w:cs="Arial"/>
                <w:color w:val="31869B"/>
                <w:sz w:val="12"/>
              </w:rPr>
              <w:t>povinně vyplní sloupce "H" (sazba DPH v % - výběrem z rozbalovací nabídky) a "I" (jednotková cena bez DPH) pro jednotlivé položky  c) uvede do sloupc</w:t>
            </w:r>
            <w:r>
              <w:rPr>
                <w:rFonts w:ascii="Arial" w:eastAsia="Arial" w:hAnsi="Arial" w:cs="Arial"/>
                <w:color w:val="31869B"/>
                <w:sz w:val="12"/>
              </w:rPr>
              <w:t>e "K" případnou vysvětlující poznámku (s možností upravit výšku řádku)</w:t>
            </w:r>
          </w:p>
          <w:p w:rsidR="00E33FC9" w:rsidRDefault="00890072">
            <w:pPr>
              <w:numPr>
                <w:ilvl w:val="0"/>
                <w:numId w:val="3"/>
              </w:numPr>
              <w:spacing w:after="106" w:line="257" w:lineRule="auto"/>
            </w:pPr>
            <w:r>
              <w:rPr>
                <w:rFonts w:ascii="Arial" w:eastAsia="Arial" w:hAnsi="Arial" w:cs="Arial"/>
                <w:color w:val="31869B"/>
                <w:sz w:val="12"/>
              </w:rPr>
              <w:t>údaje do dalších záložek přílohy se přenesou automaticky, dodavatel je povinen provést kontrolu správnosti; v případě nejasností a problémů - požádat zadavatele o vysvětlení či doplnění</w:t>
            </w:r>
          </w:p>
          <w:p w:rsidR="00E33FC9" w:rsidRDefault="00890072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Arial" w:eastAsia="Arial" w:hAnsi="Arial" w:cs="Arial"/>
                <w:color w:val="31869B"/>
                <w:sz w:val="12"/>
              </w:rPr>
              <w:t xml:space="preserve">pokud součástí diagnostické soupravy nejsou všechny potřebné reagencie, kalibrátory, vzorky interní kontroly kvality a spotřební materiál, požadujeme uvedení jednotkové ceny za test </w:t>
            </w:r>
            <w:proofErr w:type="spellStart"/>
            <w:r>
              <w:rPr>
                <w:rFonts w:ascii="Arial" w:eastAsia="Arial" w:hAnsi="Arial" w:cs="Arial"/>
                <w:color w:val="31869B"/>
                <w:sz w:val="12"/>
              </w:rPr>
              <w:t>rozpočítnou</w:t>
            </w:r>
            <w:proofErr w:type="spellEnd"/>
            <w:r>
              <w:rPr>
                <w:rFonts w:ascii="Arial" w:eastAsia="Arial" w:hAnsi="Arial" w:cs="Arial"/>
                <w:color w:val="31869B"/>
                <w:sz w:val="12"/>
              </w:rPr>
              <w:t xml:space="preserve"> z celkové ceny pro uvedenou sérii, zahrnující veškeré náklady</w:t>
            </w:r>
            <w:r>
              <w:rPr>
                <w:rFonts w:ascii="Arial" w:eastAsia="Arial" w:hAnsi="Arial" w:cs="Arial"/>
                <w:color w:val="31869B"/>
                <w:sz w:val="12"/>
              </w:rPr>
              <w:t>.</w:t>
            </w:r>
          </w:p>
        </w:tc>
      </w:tr>
    </w:tbl>
    <w:p w:rsidR="00E33FC9" w:rsidRDefault="00890072">
      <w:pPr>
        <w:tabs>
          <w:tab w:val="center" w:pos="3759"/>
        </w:tabs>
        <w:spacing w:after="89"/>
      </w:pPr>
      <w:r>
        <w:rPr>
          <w:rFonts w:ascii="Arial" w:eastAsia="Arial" w:hAnsi="Arial" w:cs="Arial"/>
          <w:sz w:val="12"/>
        </w:rPr>
        <w:t>Dne:</w:t>
      </w:r>
      <w:r>
        <w:rPr>
          <w:rFonts w:ascii="Arial" w:eastAsia="Arial" w:hAnsi="Arial" w:cs="Arial"/>
          <w:sz w:val="12"/>
        </w:rPr>
        <w:tab/>
        <w:t>úterý 17. prosinec 2019</w:t>
      </w:r>
    </w:p>
    <w:p w:rsidR="00E33FC9" w:rsidRDefault="00890072">
      <w:pPr>
        <w:spacing w:after="112"/>
      </w:pPr>
      <w:r>
        <w:rPr>
          <w:rFonts w:ascii="Arial" w:eastAsia="Arial" w:hAnsi="Arial" w:cs="Arial"/>
          <w:i/>
          <w:color w:val="538DD5"/>
          <w:sz w:val="10"/>
        </w:rPr>
        <w:t>Zpracoval / jméno, příjmení, funkce oprávněné osoby za účastníka:</w:t>
      </w:r>
    </w:p>
    <w:p w:rsidR="00E33FC9" w:rsidRDefault="00890072">
      <w:pPr>
        <w:shd w:val="clear" w:color="auto" w:fill="C2FEBA"/>
        <w:spacing w:after="0"/>
        <w:ind w:left="2"/>
      </w:pPr>
      <w:r>
        <w:rPr>
          <w:rFonts w:ascii="Arial" w:eastAsia="Arial" w:hAnsi="Arial" w:cs="Arial"/>
          <w:sz w:val="12"/>
        </w:rPr>
        <w:t xml:space="preserve">RNDr. Milan Šrot, jednatel společnosti </w:t>
      </w:r>
      <w:proofErr w:type="spellStart"/>
      <w:r>
        <w:rPr>
          <w:rFonts w:ascii="Arial" w:eastAsia="Arial" w:hAnsi="Arial" w:cs="Arial"/>
          <w:sz w:val="12"/>
        </w:rPr>
        <w:t>DiaSorin</w:t>
      </w:r>
      <w:proofErr w:type="spellEnd"/>
      <w:r>
        <w:rPr>
          <w:rFonts w:ascii="Arial" w:eastAsia="Arial" w:hAnsi="Arial" w:cs="Arial"/>
          <w:sz w:val="12"/>
        </w:rPr>
        <w:t xml:space="preserve"> Czech s.r.o. </w:t>
      </w:r>
    </w:p>
    <w:sectPr w:rsidR="00E33FC9">
      <w:pgSz w:w="16838" w:h="11906" w:orient="landscape"/>
      <w:pgMar w:top="503" w:right="469" w:bottom="993" w:left="5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07CB4"/>
    <w:multiLevelType w:val="hybridMultilevel"/>
    <w:tmpl w:val="946801E6"/>
    <w:lvl w:ilvl="0" w:tplc="489268E6">
      <w:start w:val="1"/>
      <w:numFmt w:val="lowerLetter"/>
      <w:lvlText w:val="%1)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8468AFC">
      <w:start w:val="1"/>
      <w:numFmt w:val="lowerLetter"/>
      <w:lvlText w:val="%2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822050E">
      <w:start w:val="1"/>
      <w:numFmt w:val="lowerRoman"/>
      <w:lvlText w:val="%3"/>
      <w:lvlJc w:val="left"/>
      <w:pPr>
        <w:ind w:left="2055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0B02420">
      <w:start w:val="1"/>
      <w:numFmt w:val="decimal"/>
      <w:lvlText w:val="%4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646D864">
      <w:start w:val="1"/>
      <w:numFmt w:val="lowerLetter"/>
      <w:lvlText w:val="%5"/>
      <w:lvlJc w:val="left"/>
      <w:pPr>
        <w:ind w:left="3495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D9C21BE">
      <w:start w:val="1"/>
      <w:numFmt w:val="lowerRoman"/>
      <w:lvlText w:val="%6"/>
      <w:lvlJc w:val="left"/>
      <w:pPr>
        <w:ind w:left="4215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CA07992">
      <w:start w:val="1"/>
      <w:numFmt w:val="decimal"/>
      <w:lvlText w:val="%7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B64C558">
      <w:start w:val="1"/>
      <w:numFmt w:val="lowerLetter"/>
      <w:lvlText w:val="%8"/>
      <w:lvlJc w:val="left"/>
      <w:pPr>
        <w:ind w:left="5655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902E338">
      <w:start w:val="1"/>
      <w:numFmt w:val="lowerRoman"/>
      <w:lvlText w:val="%9"/>
      <w:lvlJc w:val="left"/>
      <w:pPr>
        <w:ind w:left="6375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8511E1"/>
    <w:multiLevelType w:val="hybridMultilevel"/>
    <w:tmpl w:val="0CF69468"/>
    <w:lvl w:ilvl="0" w:tplc="F1D62D54">
      <w:start w:val="3"/>
      <w:numFmt w:val="decimal"/>
      <w:lvlText w:val="%1)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FE07FB6">
      <w:start w:val="1"/>
      <w:numFmt w:val="lowerLetter"/>
      <w:lvlText w:val="%2"/>
      <w:lvlJc w:val="left"/>
      <w:pPr>
        <w:ind w:left="1273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F1C6238">
      <w:start w:val="1"/>
      <w:numFmt w:val="lowerRoman"/>
      <w:lvlText w:val="%3"/>
      <w:lvlJc w:val="left"/>
      <w:pPr>
        <w:ind w:left="1993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44261BC">
      <w:start w:val="1"/>
      <w:numFmt w:val="decimal"/>
      <w:lvlText w:val="%4"/>
      <w:lvlJc w:val="left"/>
      <w:pPr>
        <w:ind w:left="2713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940EE84">
      <w:start w:val="1"/>
      <w:numFmt w:val="lowerLetter"/>
      <w:lvlText w:val="%5"/>
      <w:lvlJc w:val="left"/>
      <w:pPr>
        <w:ind w:left="3433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9389596">
      <w:start w:val="1"/>
      <w:numFmt w:val="lowerRoman"/>
      <w:lvlText w:val="%6"/>
      <w:lvlJc w:val="left"/>
      <w:pPr>
        <w:ind w:left="4153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5147A32">
      <w:start w:val="1"/>
      <w:numFmt w:val="decimal"/>
      <w:lvlText w:val="%7"/>
      <w:lvlJc w:val="left"/>
      <w:pPr>
        <w:ind w:left="4873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8C60B60">
      <w:start w:val="1"/>
      <w:numFmt w:val="lowerLetter"/>
      <w:lvlText w:val="%8"/>
      <w:lvlJc w:val="left"/>
      <w:pPr>
        <w:ind w:left="5593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5DAE984">
      <w:start w:val="1"/>
      <w:numFmt w:val="lowerRoman"/>
      <w:lvlText w:val="%9"/>
      <w:lvlJc w:val="left"/>
      <w:pPr>
        <w:ind w:left="6313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365E8C"/>
    <w:multiLevelType w:val="hybridMultilevel"/>
    <w:tmpl w:val="F50A280E"/>
    <w:lvl w:ilvl="0" w:tplc="0234DE22">
      <w:start w:val="1"/>
      <w:numFmt w:val="decimal"/>
      <w:lvlText w:val="%1)"/>
      <w:lvlJc w:val="left"/>
      <w:pPr>
        <w:ind w:left="301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09030AE">
      <w:start w:val="1"/>
      <w:numFmt w:val="lowerLetter"/>
      <w:lvlText w:val="%2"/>
      <w:lvlJc w:val="left"/>
      <w:pPr>
        <w:ind w:left="1273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812D364">
      <w:start w:val="1"/>
      <w:numFmt w:val="lowerRoman"/>
      <w:lvlText w:val="%3"/>
      <w:lvlJc w:val="left"/>
      <w:pPr>
        <w:ind w:left="1993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F766A98">
      <w:start w:val="1"/>
      <w:numFmt w:val="decimal"/>
      <w:lvlText w:val="%4"/>
      <w:lvlJc w:val="left"/>
      <w:pPr>
        <w:ind w:left="2713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F42923C">
      <w:start w:val="1"/>
      <w:numFmt w:val="lowerLetter"/>
      <w:lvlText w:val="%5"/>
      <w:lvlJc w:val="left"/>
      <w:pPr>
        <w:ind w:left="3433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7E24B7E">
      <w:start w:val="1"/>
      <w:numFmt w:val="lowerRoman"/>
      <w:lvlText w:val="%6"/>
      <w:lvlJc w:val="left"/>
      <w:pPr>
        <w:ind w:left="4153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2263C74">
      <w:start w:val="1"/>
      <w:numFmt w:val="decimal"/>
      <w:lvlText w:val="%7"/>
      <w:lvlJc w:val="left"/>
      <w:pPr>
        <w:ind w:left="4873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254118C">
      <w:start w:val="1"/>
      <w:numFmt w:val="lowerLetter"/>
      <w:lvlText w:val="%8"/>
      <w:lvlJc w:val="left"/>
      <w:pPr>
        <w:ind w:left="5593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236F8D2">
      <w:start w:val="1"/>
      <w:numFmt w:val="lowerRoman"/>
      <w:lvlText w:val="%9"/>
      <w:lvlJc w:val="left"/>
      <w:pPr>
        <w:ind w:left="6313"/>
      </w:pPr>
      <w:rPr>
        <w:rFonts w:ascii="Arial" w:eastAsia="Arial" w:hAnsi="Arial" w:cs="Arial"/>
        <w:b w:val="0"/>
        <w:i w:val="0"/>
        <w:strike w:val="0"/>
        <w:dstrike w:val="0"/>
        <w:color w:val="31869B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C9"/>
    <w:rsid w:val="00890072"/>
    <w:rsid w:val="00E33FC9"/>
    <w:rsid w:val="00F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62764-C984-4BBE-AE26-E6731E6F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Staněk Josef</dc:creator>
  <cp:keywords/>
  <cp:lastModifiedBy>Kurzweilová Dana</cp:lastModifiedBy>
  <cp:revision>3</cp:revision>
  <dcterms:created xsi:type="dcterms:W3CDTF">2019-12-18T05:38:00Z</dcterms:created>
  <dcterms:modified xsi:type="dcterms:W3CDTF">2019-12-18T05:38:00Z</dcterms:modified>
</cp:coreProperties>
</file>