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4C" w:rsidRDefault="008670FD">
      <w:pPr>
        <w:spacing w:after="5" w:line="216" w:lineRule="auto"/>
        <w:ind w:left="2763" w:right="417" w:hanging="2763"/>
        <w:jc w:val="left"/>
      </w:pPr>
      <w:r>
        <w:rPr>
          <w:sz w:val="38"/>
        </w:rPr>
        <w:t xml:space="preserve">       </w:t>
      </w:r>
      <w:r w:rsidR="00315030">
        <w:rPr>
          <w:sz w:val="38"/>
        </w:rPr>
        <w:t>SMLOUVA O PODMÍNKÁCH POSKYTOVÁNÍ PODLICENCÍ K ŠÍŘENÍ AUDIOVIZUÁLNÍCH DĚL</w:t>
      </w:r>
    </w:p>
    <w:p w:rsidR="00DC094C" w:rsidRDefault="00315030">
      <w:pPr>
        <w:spacing w:after="55" w:line="216" w:lineRule="auto"/>
        <w:ind w:left="604" w:firstLine="7"/>
        <w:jc w:val="left"/>
      </w:pPr>
      <w:r>
        <w:t xml:space="preserve">Distributor: AQS, a.s. divize BIOSCOP se sídlem Kunětická 2534/2, 120 OO Praha 2 korespondenční adresa: Na Klikovce 7, 140 OO Praha 4 </w:t>
      </w:r>
      <w:r>
        <w:t>IC: 25655922</w:t>
      </w:r>
    </w:p>
    <w:p w:rsidR="00DC094C" w:rsidRDefault="00315030">
      <w:pPr>
        <w:spacing w:after="5" w:line="250" w:lineRule="auto"/>
        <w:ind w:left="621" w:right="0" w:hanging="10"/>
        <w:jc w:val="left"/>
      </w:pPr>
      <w:r>
        <w:rPr>
          <w:sz w:val="24"/>
        </w:rPr>
        <w:t>DIČ: CZ25655922</w:t>
      </w:r>
    </w:p>
    <w:p w:rsidR="00DC094C" w:rsidRDefault="00315030">
      <w:pPr>
        <w:ind w:left="611" w:right="4173" w:firstLine="7"/>
      </w:pPr>
      <w:r>
        <w:t>Bankovní spojení: ČSOB, č.ú. 300326053/0300 Zapsaná v OR MS Praha, SP. značka B, 5285 zastoupená Magdou Pospíšilovou, na základě plné moci</w:t>
      </w:r>
    </w:p>
    <w:p w:rsidR="00DC094C" w:rsidRDefault="00315030">
      <w:pPr>
        <w:spacing w:after="448"/>
        <w:ind w:left="611" w:right="28" w:firstLine="0"/>
      </w:pPr>
      <w:r>
        <w:t>(dále jen „distributor”)</w:t>
      </w:r>
    </w:p>
    <w:p w:rsidR="00DC094C" w:rsidRDefault="00315030">
      <w:pPr>
        <w:spacing w:after="77" w:line="259" w:lineRule="auto"/>
        <w:ind w:left="612" w:right="0" w:firstLine="0"/>
        <w:jc w:val="left"/>
      </w:pPr>
      <w:r>
        <w:rPr>
          <w:sz w:val="28"/>
        </w:rPr>
        <w:t>a</w:t>
      </w:r>
    </w:p>
    <w:p w:rsidR="00DC094C" w:rsidRDefault="00315030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Provozovatel:</w:t>
      </w:r>
    </w:p>
    <w:p w:rsidR="008670FD" w:rsidRDefault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Společnost: VYSOKOMÝTSKÁ KULTURNÍ, o.p.s.</w:t>
      </w:r>
    </w:p>
    <w:p w:rsidR="008670FD" w:rsidRDefault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IČ: 28852150, DIČ: CZ28852150</w:t>
      </w:r>
    </w:p>
    <w:p w:rsidR="008670FD" w:rsidRDefault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Zapsána v obchodním rejstříku vedeném Krajský soudem v Hradci Králové, oddíl O, vložka 274</w:t>
      </w:r>
    </w:p>
    <w:p w:rsidR="008670FD" w:rsidRDefault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Se sídlem: Litomyšlská 72, Vysoké Mýto, PSČ 566 01</w:t>
      </w:r>
    </w:p>
    <w:p w:rsidR="008670FD" w:rsidRDefault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Bankovní spojení: 107-2997920237/0100</w:t>
      </w:r>
    </w:p>
    <w:p w:rsidR="008670FD" w:rsidRDefault="008670FD" w:rsidP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Zastoupena: Ing. Dagmar Sabolčikovou</w:t>
      </w:r>
    </w:p>
    <w:p w:rsidR="008670FD" w:rsidRDefault="008670FD" w:rsidP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Plátce DPH (ano/ne)  ANO                 Plátce OSA (ano/ne):  ANO</w:t>
      </w:r>
    </w:p>
    <w:p w:rsidR="008670FD" w:rsidRDefault="008670FD" w:rsidP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*Provozující kino – Název: Šemberovo divadlo. Číslo kina: 526 500</w:t>
      </w:r>
    </w:p>
    <w:p w:rsidR="008670FD" w:rsidRDefault="008670FD" w:rsidP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Vedoucí: Petr Mikulecký                    Programový pracovník: Petr Mikulecký</w:t>
      </w:r>
    </w:p>
    <w:p w:rsidR="008670FD" w:rsidRDefault="008670FD" w:rsidP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 xml:space="preserve">Tel. + fax + e-mail + mobil: 739 062 915, 465 420 420, </w:t>
      </w:r>
      <w:hyperlink r:id="rId7" w:history="1">
        <w:r w:rsidRPr="00AC44CE">
          <w:rPr>
            <w:rStyle w:val="Hypertextovodkaz"/>
            <w:sz w:val="24"/>
          </w:rPr>
          <w:t>petr.mikulecky@mklub.cz</w:t>
        </w:r>
      </w:hyperlink>
    </w:p>
    <w:p w:rsidR="008670FD" w:rsidRDefault="008670FD" w:rsidP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>Adresa pro zasílání pošty: Litomyšlská 72, Vysoké Mýto, PSČ 566 01</w:t>
      </w:r>
    </w:p>
    <w:p w:rsidR="008670FD" w:rsidRDefault="008670FD" w:rsidP="008670FD">
      <w:pPr>
        <w:spacing w:after="5" w:line="250" w:lineRule="auto"/>
        <w:ind w:left="621" w:right="0" w:hanging="10"/>
        <w:jc w:val="left"/>
        <w:rPr>
          <w:sz w:val="24"/>
        </w:rPr>
      </w:pPr>
      <w:r>
        <w:rPr>
          <w:sz w:val="24"/>
        </w:rPr>
        <w:t xml:space="preserve">e-mail pro zasílání faktur: </w:t>
      </w:r>
      <w:hyperlink r:id="rId8" w:history="1">
        <w:r w:rsidRPr="00AC44CE">
          <w:rPr>
            <w:rStyle w:val="Hypertextovodkaz"/>
            <w:sz w:val="24"/>
          </w:rPr>
          <w:t>petr.mikulecky@mklub.cz</w:t>
        </w:r>
      </w:hyperlink>
      <w:r>
        <w:rPr>
          <w:sz w:val="24"/>
        </w:rPr>
        <w:t xml:space="preserve">, </w:t>
      </w:r>
      <w:hyperlink r:id="rId9" w:history="1">
        <w:r w:rsidRPr="00AC44CE">
          <w:rPr>
            <w:rStyle w:val="Hypertextovodkaz"/>
            <w:sz w:val="24"/>
          </w:rPr>
          <w:t>pavel.stransky@mklub.cz</w:t>
        </w:r>
      </w:hyperlink>
    </w:p>
    <w:p w:rsidR="00DC094C" w:rsidRDefault="008670FD">
      <w:pPr>
        <w:spacing w:after="34"/>
        <w:ind w:left="611" w:right="28" w:firstLine="0"/>
      </w:pPr>
      <w:r>
        <w:t xml:space="preserve">Hlášení </w:t>
      </w:r>
      <w:r w:rsidR="00315030">
        <w:t xml:space="preserve">výsledků (čl. Il této smlouvy): elektronicky (internet) </w:t>
      </w:r>
    </w:p>
    <w:p w:rsidR="00DC094C" w:rsidRDefault="00315030">
      <w:pPr>
        <w:spacing w:after="345"/>
        <w:ind w:left="618" w:right="2943" w:hanging="7"/>
      </w:pPr>
      <w:r>
        <w:t>*v případě většího počtu provozovaných kin použijte zadní stranu (dále jen „provozovatel”)</w:t>
      </w:r>
    </w:p>
    <w:p w:rsidR="00DC094C" w:rsidRDefault="00315030">
      <w:pPr>
        <w:spacing w:after="43"/>
        <w:ind w:left="611" w:right="28" w:firstLine="0"/>
      </w:pPr>
      <w:r>
        <w:t>(distributor a provozovatel dále společně také jako „smluvní strany”)</w:t>
      </w:r>
    </w:p>
    <w:p w:rsidR="00DC094C" w:rsidRDefault="00315030">
      <w:pPr>
        <w:spacing w:after="155"/>
        <w:ind w:left="676" w:right="28" w:firstLine="0"/>
      </w:pPr>
      <w:r>
        <w:t>níže uvedeného dne, měsíce a roku smluvní strany uzavřely tuto smlouvu o podmínkách poskytování</w:t>
      </w:r>
      <w:r>
        <w:t xml:space="preserve"> podlicencí k šíření audiovizuálních děl:</w:t>
      </w:r>
    </w:p>
    <w:p w:rsidR="00DC094C" w:rsidRDefault="00315030">
      <w:pPr>
        <w:pStyle w:val="Nadpis1"/>
        <w:ind w:left="679" w:right="22"/>
      </w:pPr>
      <w:r>
        <w:t>čl. I</w:t>
      </w:r>
    </w:p>
    <w:p w:rsidR="00DC094C" w:rsidRDefault="00315030">
      <w:pPr>
        <w:pStyle w:val="Nadpis2"/>
        <w:spacing w:after="41"/>
        <w:ind w:left="679" w:right="14"/>
      </w:pPr>
      <w:r>
        <w:t>Předmět smlouvy, úvodní ustanovení</w:t>
      </w:r>
    </w:p>
    <w:p w:rsidR="00DC094C" w:rsidRDefault="00315030">
      <w:pPr>
        <w:numPr>
          <w:ilvl w:val="0"/>
          <w:numId w:val="1"/>
        </w:numPr>
        <w:ind w:right="2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662450</wp:posOffset>
            </wp:positionH>
            <wp:positionV relativeFrom="paragraph">
              <wp:posOffset>547846</wp:posOffset>
            </wp:positionV>
            <wp:extent cx="9137" cy="31978"/>
            <wp:effectExtent l="0" t="0" r="0" b="0"/>
            <wp:wrapSquare wrapText="bothSides"/>
            <wp:docPr id="1662" name="Picture 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rámcová smlouva upravuje vzájemná práva a povinnosti smluvních stran vyplývající z pronájmu rozmnoženin (typu filmových kopií nebo dle dohody smluvních stran rozmnožen</w:t>
      </w:r>
      <w:r>
        <w:t>in na jiném typu nosiče záznamu, zejména typu DCP, DVD či BD) audiovizuálních děl — filmů (dále jen filmy”) za účelem jejich sdělování veřejnosti provozováním ze záznamu, tj. promítáním filmů v kinech a obdobných zařízeních včetně vícesálových kin, tzv. mu</w:t>
      </w:r>
      <w:r>
        <w:t>ltiplexů (dále jen „promítání” nebo „filmová projekce”) provozovatelem a z poskytování podlicencí provozovateli k filmovým projekcím.</w:t>
      </w:r>
    </w:p>
    <w:p w:rsidR="00DC094C" w:rsidRDefault="00315030">
      <w:pPr>
        <w:numPr>
          <w:ilvl w:val="0"/>
          <w:numId w:val="1"/>
        </w:numPr>
        <w:ind w:right="28"/>
      </w:pPr>
      <w:r>
        <w:t>Smluvní strany prohlašují, že nedílnou součástí této smlouvy se stávají Všeobecné obchodní podmínky poskytování podlicencí</w:t>
      </w:r>
      <w:r>
        <w:t xml:space="preserve"> k šíření audiovizuálních děl v kinech a obdobných zařízeních schválené Unií distributorů a Asociací provozovatelů kin ve znění aktuálním ke dni uzavření této smlouvy, resp. budou-li následně změněny či nahrazeny, budou pro obé strany závazné ve znění aktu</w:t>
      </w:r>
      <w:r>
        <w:t xml:space="preserve">álním ke dni vyplnění programového zařazení, a to vždy v podobě zveřejněné na </w:t>
      </w:r>
      <w:r>
        <w:rPr>
          <w:u w:val="single" w:color="000000"/>
        </w:rPr>
        <w:t xml:space="preserve">www.ufd.cz </w:t>
      </w:r>
      <w:r>
        <w:lastRenderedPageBreak/>
        <w:t>(dále jen „Všeobecné obchodní podmínky” nebo „VOP"). Z technických důvodů se VOP nepřipojují ke smlouvě jako příloha. V případě</w:t>
      </w:r>
      <w:r w:rsidR="008670FD">
        <w:t xml:space="preserve"> rozporu úpravy má přednost usta</w:t>
      </w:r>
      <w:r>
        <w:t>novení t</w:t>
      </w:r>
      <w:r>
        <w:t>éto smlouvy před ustanovením VOP.</w:t>
      </w:r>
    </w:p>
    <w:p w:rsidR="00DC094C" w:rsidRDefault="00315030">
      <w:pPr>
        <w:numPr>
          <w:ilvl w:val="0"/>
          <w:numId w:val="1"/>
        </w:numPr>
        <w:ind w:right="28"/>
      </w:pPr>
      <w:r>
        <w:t xml:space="preserve">Na základě podmínek stanovených v této smlouvě a Všeobecných obchodních podmínkách poskytuje distributor provozovateli oprávnění (sublicenci) k promítání filmů, jejichž rozmnoženiny mu budou pronajaty (s výjimkou práv, na </w:t>
      </w:r>
      <w:r>
        <w:t>něž se nevztahuje záruka distributora dle následujícího odstavce) a na druhé straně provozovatel je povinen za poskytnutí tohoto oprávnění zaplatit distributorovi sjednanou cenu (viz dále v této smlouvě).</w:t>
      </w:r>
    </w:p>
    <w:p w:rsidR="00DC094C" w:rsidRDefault="00315030">
      <w:pPr>
        <w:numPr>
          <w:ilvl w:val="0"/>
          <w:numId w:val="1"/>
        </w:numPr>
        <w:ind w:right="28"/>
      </w:pPr>
      <w:r>
        <w:t>Distributor prohlašuje, že je oprávněn poskytnout p</w:t>
      </w:r>
      <w:r>
        <w:t>rovozovateli oprávnění k promítání filmů, jejichž rozmnoženiny mu pronajme a provozovatel bere na vědomí, že při filmové projekci je povinen dodržovat tuto smlouvou a příslušné právní předpisy, zejm. příslušná ustanovení zákona č. 121/2000 Sb., autorský zá</w:t>
      </w:r>
      <w:r>
        <w:t>kon, ve znění pozdějších předpisů. Záruka distributora se nevztahuje na práva povinně kolektivně spravovaná a práva autorů hudebních děl s textem nebo bez textu, která jsou spravována na základě smluv uzavřených příslušnými autory s Ochranným svazem autors</w:t>
      </w:r>
      <w:r>
        <w:t>kým k dílům hudebním (OSA), kterážto práva jsou spravována prostřednictvím kolektivních správců a jejich prostřednictvím musí být provozovatelem rovněž vypořádána.</w:t>
      </w:r>
    </w:p>
    <w:p w:rsidR="00DC094C" w:rsidRDefault="00315030">
      <w:pPr>
        <w:numPr>
          <w:ilvl w:val="0"/>
          <w:numId w:val="1"/>
        </w:numPr>
        <w:spacing w:after="127"/>
        <w:ind w:right="28"/>
      </w:pPr>
      <w:r>
        <w:t>Podmínky specifikující pronájem a promítání konkrétního filmu včetně závazných dopravních di</w:t>
      </w:r>
      <w:r>
        <w:t>spozic distributora k danému filmu budou uvedeny v programovém zařazení, které provozovatel bud' v listinné podobě obdrží od distributora nebo je obsaženo v programu Disfilm (jak je upraveno dále viz níže čl. Il smlouvy).</w:t>
      </w:r>
    </w:p>
    <w:p w:rsidR="00DC094C" w:rsidRDefault="00315030">
      <w:pPr>
        <w:pStyle w:val="Nadpis1"/>
        <w:ind w:left="679" w:right="7"/>
      </w:pPr>
      <w:r>
        <w:t>čl. Il</w:t>
      </w:r>
    </w:p>
    <w:p w:rsidR="00DC094C" w:rsidRDefault="00315030">
      <w:pPr>
        <w:pStyle w:val="Nadpis2"/>
        <w:ind w:left="679"/>
      </w:pPr>
      <w:r>
        <w:t>Programové zařazení</w:t>
      </w:r>
    </w:p>
    <w:p w:rsidR="00DC094C" w:rsidRDefault="00315030">
      <w:pPr>
        <w:numPr>
          <w:ilvl w:val="0"/>
          <w:numId w:val="2"/>
        </w:numPr>
        <w:spacing w:after="193"/>
        <w:ind w:right="28" w:hanging="353"/>
      </w:pPr>
      <w:r>
        <w:t>Provozo</w:t>
      </w:r>
      <w:r>
        <w:t>vatel se zavazuje podávat distributorovi hlášení o promítání filmů, jejichž rozmnoženiny mu byly pronajaty, a to vyplněním programových zařazení dvěma možnými způsoby (volba způsobu záleží na provozovateli a je uvedena v záhlaví této smlouvy, případně násl</w:t>
      </w:r>
      <w:r>
        <w:t>edně změněna písemným oznámením provozovatele zaslaným distributorovi):</w:t>
      </w:r>
    </w:p>
    <w:p w:rsidR="00DC094C" w:rsidRDefault="00315030">
      <w:pPr>
        <w:spacing w:after="0" w:line="259" w:lineRule="auto"/>
        <w:ind w:left="679" w:right="0" w:hanging="10"/>
        <w:jc w:val="center"/>
      </w:pPr>
      <w:r>
        <w:rPr>
          <w:sz w:val="24"/>
        </w:rPr>
        <w:t>(i) přes internetové rozhra</w:t>
      </w:r>
      <w:r>
        <w:rPr>
          <w:sz w:val="24"/>
        </w:rPr>
        <w:t xml:space="preserve">ní </w:t>
      </w:r>
      <w:r>
        <w:rPr>
          <w:sz w:val="24"/>
          <w:u w:val="single" w:color="000000"/>
        </w:rPr>
        <w:t>https://www.disfilm.cz/login</w:t>
      </w:r>
      <w:r>
        <w:rPr>
          <w:sz w:val="24"/>
        </w:rPr>
        <w:t xml:space="preserve"> (dále jen „program Disfilm”):</w:t>
      </w:r>
    </w:p>
    <w:p w:rsidR="00DC094C" w:rsidRDefault="00315030">
      <w:pPr>
        <w:numPr>
          <w:ilvl w:val="1"/>
          <w:numId w:val="2"/>
        </w:numPr>
        <w:spacing w:after="226"/>
        <w:ind w:left="1398" w:right="28"/>
      </w:pPr>
      <w:r>
        <w:t>provozovatel zašle v programu Disfilm e-mailem potvrzení o programovém nasazení (zahájení promítání) filmu nejpozději dva měsíce před zahájením promítání filmu.</w:t>
      </w:r>
    </w:p>
    <w:p w:rsidR="00DC094C" w:rsidRDefault="00315030">
      <w:pPr>
        <w:numPr>
          <w:ilvl w:val="1"/>
          <w:numId w:val="2"/>
        </w:numPr>
        <w:spacing w:after="224"/>
        <w:ind w:left="1398" w:right="28"/>
      </w:pPr>
      <w:r>
        <w:t>provozovatel nejpozději do 3 dnů, nebude-li ve výjimečných případech dohodnuta jiná lhůta, po s</w:t>
      </w:r>
      <w:r>
        <w:t>končení sjednané doby nasazení filmu vyplní v programu Disfilm úplné a pravdivě programové zařazení.</w:t>
      </w:r>
    </w:p>
    <w:p w:rsidR="00DC094C" w:rsidRDefault="00315030">
      <w:pPr>
        <w:numPr>
          <w:ilvl w:val="1"/>
          <w:numId w:val="2"/>
        </w:numPr>
        <w:spacing w:after="173"/>
        <w:ind w:left="1398" w:right="28"/>
      </w:pPr>
      <w:r>
        <w:t>programové zařazení je po jeho doplnění provozovatelem dle předchozího bodu vygenerováno distributorem prostřednictvím programu Disfilm do daňového dokladu</w:t>
      </w:r>
      <w:r>
        <w:t xml:space="preserve"> a tento daňový doklad je poté distributorem zaslán provozovateli k úhradě.</w:t>
      </w:r>
    </w:p>
    <w:p w:rsidR="00DC094C" w:rsidRDefault="00315030">
      <w:pPr>
        <w:spacing w:after="203"/>
        <w:ind w:left="1396" w:right="28" w:firstLine="0"/>
      </w:pPr>
      <w:r>
        <w:t>(ii) vyplněním programového zařazení, které v listinné podobě obdržel od distributora zpravidla jeden měsíc před zahájením promítání, a nejpozději do 3 kalendářních dnů po skončení</w:t>
      </w:r>
      <w:r>
        <w:t xml:space="preserve"> sjednané doby promítání (nasazení) filmu jej podepsané odpovědnou osobou (včetně razítka) odešle na adresu distributora uvedenou v programovém zařazení;</w:t>
      </w:r>
    </w:p>
    <w:p w:rsidR="00DC094C" w:rsidRDefault="00315030">
      <w:pPr>
        <w:numPr>
          <w:ilvl w:val="0"/>
          <w:numId w:val="2"/>
        </w:numPr>
        <w:spacing w:after="698"/>
        <w:ind w:right="28" w:hanging="353"/>
      </w:pPr>
      <w:r>
        <w:t>Vyplněná programová zařazení jsou nedílnou součástí této smlouvy a současně daňovým dokladem.</w:t>
      </w:r>
    </w:p>
    <w:p w:rsidR="00DC094C" w:rsidRDefault="00315030">
      <w:pPr>
        <w:pStyle w:val="Nadpis1"/>
        <w:ind w:left="679"/>
      </w:pPr>
      <w:r>
        <w:t>čl. Ill</w:t>
      </w:r>
    </w:p>
    <w:p w:rsidR="00DC094C" w:rsidRDefault="00315030">
      <w:pPr>
        <w:spacing w:after="5" w:line="250" w:lineRule="auto"/>
        <w:ind w:left="691" w:right="2612" w:firstLine="2748"/>
        <w:jc w:val="left"/>
      </w:pPr>
      <w:r>
        <w:rPr>
          <w:sz w:val="24"/>
        </w:rPr>
        <w:t>Podmínky pronájmu a promítání filmu 1) Provozovatel je zejména povinen:</w:t>
      </w:r>
    </w:p>
    <w:p w:rsidR="00DC094C" w:rsidRDefault="00315030">
      <w:pPr>
        <w:numPr>
          <w:ilvl w:val="0"/>
          <w:numId w:val="3"/>
        </w:numPr>
        <w:ind w:right="28" w:hanging="360"/>
      </w:pPr>
      <w:r>
        <w:lastRenderedPageBreak/>
        <w:t>dodržet sjednané nasazení filmu (zejména čas, datum, sjednaný počet promítání denně) ve sjednaném kině,</w:t>
      </w:r>
    </w:p>
    <w:p w:rsidR="00DC094C" w:rsidRDefault="00315030">
      <w:pPr>
        <w:numPr>
          <w:ilvl w:val="0"/>
          <w:numId w:val="3"/>
        </w:numPr>
        <w:ind w:right="28" w:hanging="360"/>
      </w:pPr>
      <w:r>
        <w:t>dodržet vzájemně dohodnuté vstupné uvedené v programovém zařazení a v případě je</w:t>
      </w:r>
      <w:r>
        <w:t>ho zvýšení uvést tuto skutečnost v programovém zařazení po ukončení nasazení filmu,</w:t>
      </w:r>
    </w:p>
    <w:p w:rsidR="00DC094C" w:rsidRDefault="00315030">
      <w:pPr>
        <w:numPr>
          <w:ilvl w:val="0"/>
          <w:numId w:val="3"/>
        </w:numPr>
        <w:spacing w:after="34"/>
        <w:ind w:right="28" w:hanging="360"/>
      </w:pPr>
      <w:r>
        <w:t>v případě poskytnutí slev, které byly předem s distributorem dohodnuty, uvést jejich druh a výši,</w:t>
      </w:r>
    </w:p>
    <w:p w:rsidR="00DC094C" w:rsidRDefault="00315030">
      <w:pPr>
        <w:numPr>
          <w:ilvl w:val="0"/>
          <w:numId w:val="3"/>
        </w:numPr>
        <w:ind w:right="28" w:hanging="360"/>
      </w:pPr>
      <w:r>
        <w:t>promítat film v plném rozsahu tak, jak je distributorem dodán, v nezkrácené verzi, se všemi filmovými titulky, včetně uvedení jmen všech osob, které se na výrobě filmu podílely a všech výkonných umělců včetně uvedení ochranných značek producenta či koprodu</w:t>
      </w:r>
      <w:r>
        <w:t>centů filmu a dodržovat zásady ochrany autorských práv,</w:t>
      </w:r>
    </w:p>
    <w:p w:rsidR="00DC094C" w:rsidRDefault="00315030">
      <w:pPr>
        <w:numPr>
          <w:ilvl w:val="0"/>
          <w:numId w:val="3"/>
        </w:numPr>
        <w:ind w:right="28" w:hanging="360"/>
      </w:pPr>
      <w:r>
        <w:t>manipulovat s filmovými kopiemi v souladu s VOP a užívat rozmnoženinu filmu pouze k účelu, ke kterému je určena a v souladu s touto smlouvou a VOP,</w:t>
      </w:r>
    </w:p>
    <w:p w:rsidR="00DC094C" w:rsidRDefault="00315030">
      <w:pPr>
        <w:numPr>
          <w:ilvl w:val="0"/>
          <w:numId w:val="3"/>
        </w:numPr>
        <w:spacing w:after="34"/>
        <w:ind w:right="28" w:hanging="360"/>
      </w:pPr>
      <w:r>
        <w:t>vést účetnictví a evidenci o vstupném, jak stanovují</w:t>
      </w:r>
      <w:r>
        <w:t xml:space="preserve"> Všeobecné obchodní podmínky,</w:t>
      </w:r>
    </w:p>
    <w:p w:rsidR="00DC094C" w:rsidRDefault="00315030">
      <w:pPr>
        <w:numPr>
          <w:ilvl w:val="0"/>
          <w:numId w:val="3"/>
        </w:numPr>
        <w:ind w:right="28" w:hanging="360"/>
      </w:pPr>
      <w:r>
        <w:t>provést zápis o stavu rozmnoženiny filmu před jejím odesláním, jak stanovují Všeobecné obchodní podmínky,</w:t>
      </w:r>
    </w:p>
    <w:p w:rsidR="00DC094C" w:rsidRDefault="00315030">
      <w:pPr>
        <w:numPr>
          <w:ilvl w:val="0"/>
          <w:numId w:val="3"/>
        </w:numPr>
        <w:ind w:right="28" w:hanging="360"/>
      </w:pPr>
      <w:r>
        <w:t>odeslat v souladu s přepravními dispozicemi, které jsou součástí programového zařazení, pronajatou rozmnoženinu filmu,</w:t>
      </w:r>
    </w:p>
    <w:p w:rsidR="00DC094C" w:rsidRDefault="00315030">
      <w:pPr>
        <w:numPr>
          <w:ilvl w:val="0"/>
          <w:numId w:val="3"/>
        </w:numPr>
        <w:spacing w:after="32"/>
        <w:ind w:right="28" w:hanging="360"/>
      </w:pPr>
      <w:r>
        <w:t>předem sdělit distributorovi diváckou kapacitu kina (počet sálů a počet míst k sezení) a bez zbytečného odkladu sdělit každou změnu této kapacity.</w:t>
      </w:r>
    </w:p>
    <w:p w:rsidR="00DC094C" w:rsidRDefault="00315030">
      <w:pPr>
        <w:spacing w:after="171"/>
        <w:ind w:left="966" w:right="28"/>
      </w:pPr>
      <w:r>
        <w:t xml:space="preserve">2) </w:t>
      </w:r>
      <w:r>
        <w:t>Distributor je zejména povinen dodat řádně a včas rozmnoženinu filmu a propagační prostředky v souladu s p</w:t>
      </w:r>
      <w:r>
        <w:t>rogramovým zařazením, jak stanovují VOP.</w:t>
      </w:r>
    </w:p>
    <w:p w:rsidR="00DC094C" w:rsidRDefault="00315030">
      <w:pPr>
        <w:pStyle w:val="Nadpis1"/>
        <w:ind w:left="679" w:right="108"/>
      </w:pPr>
      <w:r>
        <w:t>čl. IV</w:t>
      </w:r>
    </w:p>
    <w:p w:rsidR="00DC094C" w:rsidRDefault="00315030">
      <w:pPr>
        <w:pStyle w:val="Nadpis2"/>
        <w:ind w:left="679" w:right="108"/>
      </w:pPr>
      <w:r>
        <w:t>Kontrola plnění</w:t>
      </w:r>
    </w:p>
    <w:p w:rsidR="00DC094C" w:rsidRDefault="00315030">
      <w:pPr>
        <w:spacing w:after="241"/>
        <w:ind w:left="611" w:right="28" w:firstLine="7"/>
      </w:pPr>
      <w:r>
        <w:t>Distributor je oprávněn provádět prostřednictvím statutárních zástupců a nebo k tomu zmocněných osob, v kině nebo kinech provozovatele kontrolu v souladu s VOP. Osoba oprávněná k provádění kon</w:t>
      </w:r>
      <w:r>
        <w:t>troly prokáže své zmocnění udělené distributorem. Statutární zástupce distributora prokáže svoji totožnost průkazem totožnosti (zejm. OP, ŘP, cestovní pas) a aktuálním výpisem (ne starším než 3 měsíce) z obchodního rejstříku. K provádění kontroly jsou oprá</w:t>
      </w:r>
      <w:r>
        <w:t xml:space="preserve">vněni též pověření pracovníci Unie filmových distributorů, jak je stanoveno ve Všeobecných obchodních podmínkách. Provozovatel je povinen umožnit oprávněným osobám kontrolu v rozsahu dle této smlouvy a VOP. Distributor je dále oprávněn za účelem zjištění, </w:t>
      </w:r>
      <w:r>
        <w:t>resp. kontroly informací o rozsahu užití filmů realizovaného provozovatelem získávat informace od jakýchkoliv třetích osob, které se účastní na realizaci takového užití filmů (zejména, nikoliv však výlučně, od osob zajišťujících distribuci rozmnoženin film</w:t>
      </w:r>
      <w:r>
        <w:t>ů atp.).</w:t>
      </w:r>
    </w:p>
    <w:p w:rsidR="00DC094C" w:rsidRDefault="00315030">
      <w:pPr>
        <w:pStyle w:val="Nadpis1"/>
        <w:ind w:left="679" w:right="94"/>
      </w:pPr>
      <w:r>
        <w:t>čl. V</w:t>
      </w:r>
    </w:p>
    <w:p w:rsidR="00DC094C" w:rsidRDefault="00315030">
      <w:pPr>
        <w:pStyle w:val="Nadpis2"/>
        <w:ind w:left="679" w:right="86"/>
      </w:pPr>
      <w:r>
        <w:t>Půjčovné a způsob úhrady</w:t>
      </w:r>
    </w:p>
    <w:p w:rsidR="00DC094C" w:rsidRDefault="00315030">
      <w:pPr>
        <w:numPr>
          <w:ilvl w:val="0"/>
          <w:numId w:val="4"/>
        </w:numPr>
        <w:ind w:right="28"/>
      </w:pPr>
      <w:r>
        <w:t>Cenu za pronájem a poskytnutí podlicence dle této smlouvy (dále jen „půjčovné) uvede distributor v programovém zařazení. Půjčovné je bud' stanoveno pevnou částkou na pevně stanovenou dobu (tzv. fixní půjčovné) nebo p</w:t>
      </w:r>
      <w:r>
        <w:t>rocentním podílem ze sjednaného (místně a časově obvyklého) vstupného uvedeného v programovém zařazení (tzv. procentní půjčovné). Takto uvedené půjčovné je pro provozovatele závazné. Půjčovné stanovené jako dohodnutý podíl na vstupném provozovatel vypočítá</w:t>
      </w:r>
      <w:r>
        <w:t xml:space="preserve"> a uvede v programovém zařazení.</w:t>
      </w:r>
    </w:p>
    <w:p w:rsidR="00DC094C" w:rsidRDefault="00315030">
      <w:pPr>
        <w:numPr>
          <w:ilvl w:val="0"/>
          <w:numId w:val="4"/>
        </w:numPr>
        <w:ind w:right="28"/>
      </w:pPr>
      <w:r>
        <w:t>Provozovatel se zavazuje do 14 kalendářních dnů ode dne ukončení promítání filmu v kině/kinech uhradit bankovním převodem na účet distributora, uvedený v programovém zařazení, sjednané půjčovné uvedené v programovém zařazen</w:t>
      </w:r>
      <w:r>
        <w:t>í (faktuře). Z tržeb bude odečten příplatek na Fond české kinematografie a případné poplatky OSA a případné místní poplatky, předem distributorem odsouhlasené. K půjčovnému bude připočtena daň z přidané hodnoty v zákonné výši. Půjčovné bude považováno za z</w:t>
      </w:r>
      <w:r>
        <w:t>aplacené v okamžiku jeho připsání na účet distributora.</w:t>
      </w:r>
    </w:p>
    <w:p w:rsidR="00DC094C" w:rsidRDefault="00315030">
      <w:pPr>
        <w:numPr>
          <w:ilvl w:val="0"/>
          <w:numId w:val="4"/>
        </w:numPr>
        <w:spacing w:after="435"/>
        <w:ind w:right="28"/>
      </w:pPr>
      <w:r>
        <w:t>Pro případ prodlení s úhradou půjčovného sjednávají smluvní strany smluvní pokutu ve výši 0,1% z dlužné částky za každý započatý den prodlení. Ustanovení o smluvní pokutě nevylučuje možnost vymáhání náhrady škody v plné výši dle příslušných obecně závaznýc</w:t>
      </w:r>
      <w:r>
        <w:t>h právních předpisů.</w:t>
      </w:r>
    </w:p>
    <w:p w:rsidR="00DC094C" w:rsidRDefault="00315030">
      <w:pPr>
        <w:pStyle w:val="Nadpis1"/>
        <w:ind w:left="679" w:right="36"/>
      </w:pPr>
      <w:r>
        <w:lastRenderedPageBreak/>
        <w:t>čl. Vl</w:t>
      </w:r>
    </w:p>
    <w:p w:rsidR="00DC094C" w:rsidRDefault="00315030">
      <w:pPr>
        <w:spacing w:after="0" w:line="259" w:lineRule="auto"/>
        <w:ind w:left="650" w:right="0" w:hanging="10"/>
        <w:jc w:val="center"/>
      </w:pPr>
      <w:r>
        <w:rPr>
          <w:sz w:val="26"/>
        </w:rPr>
        <w:t>Sankce</w:t>
      </w:r>
    </w:p>
    <w:p w:rsidR="00DC094C" w:rsidRDefault="00315030">
      <w:pPr>
        <w:numPr>
          <w:ilvl w:val="0"/>
          <w:numId w:val="5"/>
        </w:numPr>
        <w:ind w:right="28"/>
      </w:pPr>
      <w:r>
        <w:t>V případě porušení závazku distributora dodat rozmnoženinu filmu provozovateli v souladu s programovým zařazením, zaplatí distributor smluvní pokutu ve výši 50% průměrné tržby připadající na jednu filmovou projekci dosaho</w:t>
      </w:r>
      <w:r>
        <w:t>vané provozovatelem za období šesti kalendářních měsíců předcházejících měsíci, ve kterém k porušení došlo, pokud se obě strany nedohodnou jinak.</w:t>
      </w:r>
    </w:p>
    <w:p w:rsidR="00DC094C" w:rsidRDefault="00315030">
      <w:pPr>
        <w:numPr>
          <w:ilvl w:val="0"/>
          <w:numId w:val="5"/>
        </w:numPr>
        <w:spacing w:after="192"/>
        <w:ind w:right="28"/>
      </w:pPr>
      <w:r>
        <w:t>V případě porušení závazku provozovatele umožnit provedení kontroly, zaplatí provozovatel smluvní pokutu ve vý</w:t>
      </w:r>
      <w:r>
        <w:t xml:space="preserve">ši 25.000,- Kč. Pro případ, že bude kontrolou zjištěno, že ze strany provozovatele došlo k zatajení tržby, zaplatí provozovatel smluvní pokutu ve výši 25.000,- Kč a uhradí provozovateli náklady spojené s vysláním kontroly. Platba smluvní pokuty dle tohoto </w:t>
      </w:r>
      <w:r>
        <w:t>odstavce nemá vliv na nárok distributora na náhradu škody v plné výši.</w:t>
      </w:r>
    </w:p>
    <w:p w:rsidR="00DC094C" w:rsidRDefault="00315030">
      <w:pPr>
        <w:numPr>
          <w:ilvl w:val="0"/>
          <w:numId w:val="5"/>
        </w:numPr>
        <w:ind w:right="28"/>
      </w:pPr>
      <w:r>
        <w:t>Distributor je dále oprávněn požadovat při porušení povinností ze strany provozovatel? následující smluvní pokuty:</w:t>
      </w:r>
    </w:p>
    <w:p w:rsidR="00DC094C" w:rsidRDefault="00315030">
      <w:pPr>
        <w:ind w:left="2417" w:right="28" w:hanging="719"/>
      </w:pPr>
      <w:r>
        <w:rPr>
          <w:noProof/>
        </w:rPr>
        <w:drawing>
          <wp:inline distT="0" distB="0" distL="0" distR="0">
            <wp:extent cx="105078" cy="123344"/>
            <wp:effectExtent l="0" t="0" r="0" b="0"/>
            <wp:docPr id="29150" name="Picture 29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0" name="Picture 291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078" cy="1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zruší—li svévolně provozovatel filmovou projekci bez dohody s distri</w:t>
      </w:r>
      <w:r>
        <w:t>butorem, činí smluvní pokuta 5.000,-Kč za každou neuskutečněnou projekci (netýká se případů vyšší moci - živelné pohromy, katastrofy, záplavy);</w:t>
      </w:r>
    </w:p>
    <w:p w:rsidR="00DC094C" w:rsidRDefault="00315030">
      <w:pPr>
        <w:numPr>
          <w:ilvl w:val="1"/>
          <w:numId w:val="5"/>
        </w:numPr>
        <w:ind w:right="94" w:hanging="719"/>
      </w:pPr>
      <w:r>
        <w:t>nevyplní-li provozovatel řádně a úplně, resp. neodešle-li ve stanoveném termínu programové zařazení ( viz čl. Il</w:t>
      </w:r>
      <w:r>
        <w:t xml:space="preserve"> smlouvy), uhradí provozovatel smluvní pokutu ve výši 100,- Kč za každý i započatý den prodlení s vyplněním a odesláním programového zařazení;</w:t>
      </w:r>
    </w:p>
    <w:p w:rsidR="00DC094C" w:rsidRDefault="00315030">
      <w:pPr>
        <w:numPr>
          <w:ilvl w:val="1"/>
          <w:numId w:val="5"/>
        </w:numPr>
        <w:ind w:right="94" w:hanging="719"/>
      </w:pPr>
      <w:r>
        <w:t>způsobí-li provozovatel zrušení filmové projekce jinému provozovateli, je povinen uhradit smluvní pokutu jak dist</w:t>
      </w:r>
      <w:r>
        <w:t>ributorovi, tak provozovateli, a to každému ve výši 100% průměrné tržby připadající na jednu filmovou projekci dosahované dalším provozovatelem v posledních 6 kalendářních měsících předcházejících měsíci, ve kterém k porušení došlo;</w:t>
      </w:r>
    </w:p>
    <w:p w:rsidR="00DC094C" w:rsidRDefault="00315030">
      <w:pPr>
        <w:numPr>
          <w:ilvl w:val="1"/>
          <w:numId w:val="5"/>
        </w:numPr>
        <w:ind w:right="94" w:hanging="719"/>
      </w:pPr>
      <w:r>
        <w:t>v případě neoprávněného</w:t>
      </w:r>
      <w:r>
        <w:t xml:space="preserve"> zpřístupnění rozmnoženiny filmu třetí sobě činí smluvní pokuta 25.000,-Kč; jakoukoliv smluvní pokutou dle tohoto odstavce není dotčeno právo distributora na náhradu škody ve výši přesahující smluvní pokutu.</w:t>
      </w:r>
    </w:p>
    <w:p w:rsidR="00DC094C" w:rsidRDefault="00315030">
      <w:pPr>
        <w:numPr>
          <w:ilvl w:val="0"/>
          <w:numId w:val="5"/>
        </w:numPr>
        <w:ind w:right="28"/>
      </w:pPr>
      <w:r>
        <w:t>V případě prodlení provozovatele s úhradou půjčo</w:t>
      </w:r>
      <w:r>
        <w:t>vného nebo jeho části nebo s úhradou jakéhokoli splatného závazku vyplývajícího z této smlouvy po dobu delší než 30 dnů, je distributor oprávněn bez dalšího pozastavit dodávání filmových kopií, k jejichž dodání by byl jinak povinen, a to do doby, než dojde</w:t>
      </w:r>
      <w:r>
        <w:t xml:space="preserve"> k úplnému zaplacení částky, s jejíž úhradou je provozovatel v prodlení.</w:t>
      </w:r>
    </w:p>
    <w:p w:rsidR="00DC094C" w:rsidRDefault="00315030">
      <w:pPr>
        <w:numPr>
          <w:ilvl w:val="0"/>
          <w:numId w:val="5"/>
        </w:numPr>
        <w:spacing w:after="217"/>
        <w:ind w:right="28"/>
      </w:pPr>
      <w:r>
        <w:t>V případě porušení povinností vyplývajících z Všeobecných obchodních podmínek v této smlouvě výslovně neuvedených platí ustanovení čl. VIII Všeobecných obchodních podmínek.</w:t>
      </w:r>
    </w:p>
    <w:p w:rsidR="00DC094C" w:rsidRDefault="00315030">
      <w:pPr>
        <w:pStyle w:val="Nadpis1"/>
        <w:ind w:left="679" w:right="151"/>
      </w:pPr>
      <w:r>
        <w:t>čl. VII</w:t>
      </w:r>
    </w:p>
    <w:p w:rsidR="00DC094C" w:rsidRDefault="00315030">
      <w:pPr>
        <w:pStyle w:val="Nadpis2"/>
        <w:ind w:left="679" w:right="151"/>
      </w:pPr>
      <w:r>
        <w:t>Ná</w:t>
      </w:r>
      <w:r>
        <w:t>hrada škody</w:t>
      </w:r>
    </w:p>
    <w:p w:rsidR="00DC094C" w:rsidRDefault="00315030">
      <w:pPr>
        <w:numPr>
          <w:ilvl w:val="0"/>
          <w:numId w:val="6"/>
        </w:numPr>
        <w:ind w:right="97"/>
      </w:pPr>
      <w:r>
        <w:t>Smluvní strana, která poruší své povinnosti dle této smlouvy, je povinna nahradit druhé straně vzniklou škodu.</w:t>
      </w:r>
    </w:p>
    <w:p w:rsidR="00DC094C" w:rsidRDefault="00315030">
      <w:pPr>
        <w:numPr>
          <w:ilvl w:val="0"/>
          <w:numId w:val="6"/>
        </w:numPr>
        <w:ind w:right="97"/>
      </w:pPr>
      <w:r>
        <w:t>Pokud provozovatel zjistí poškození rozmnoženiny filmu, které předchozí provozovatel nezapsal v technickém záznamu o stavu rozmnoženiny filmu, je provozovatel povinen neprodleně tuto skutečnost písemně oznámit distributorovi před promítáním filmu ve svém k</w:t>
      </w:r>
      <w:r>
        <w:t>ině a neučiní-li tak, odpovídá za škodu na rozmnoženině filmu vzniklou.</w:t>
      </w:r>
    </w:p>
    <w:p w:rsidR="00DC094C" w:rsidRDefault="00315030">
      <w:pPr>
        <w:numPr>
          <w:ilvl w:val="0"/>
          <w:numId w:val="6"/>
        </w:numPr>
        <w:ind w:right="97"/>
      </w:pPr>
      <w:r>
        <w:t>V případě, že provozovatel ztratí nebo zničí rozmnoženinu filmu, zavazuje se tímto nahradit distributorovi všechny účelně vynaložené náklady na její opravu, resp. pořízení nové rozmnož</w:t>
      </w:r>
      <w:r>
        <w:t>eniny, včetně s tím souvisejících nákladů na dopravu rozmnoženiny a dále pak ušlý zisk vzniklý nemožností nasazení této rozmnoženiny ve filmové distribuci.</w:t>
      </w:r>
    </w:p>
    <w:p w:rsidR="00DC094C" w:rsidRDefault="00315030">
      <w:pPr>
        <w:numPr>
          <w:ilvl w:val="0"/>
          <w:numId w:val="6"/>
        </w:numPr>
        <w:spacing w:after="223"/>
        <w:ind w:right="97"/>
      </w:pPr>
      <w:r>
        <w:t>Za veškeré nároky uplatněné proti distributorovi z titulu porušení autorských práv z důvodu, že prov</w:t>
      </w:r>
      <w:r>
        <w:t>ozovatel umožní užití rozmnoženiny filmu třetí osobě, nese odpovědnost provozovatel a je povinen nahradit distributorovi veškeré náklady s takovým uplatněním nároků a jejich uspokojením spojené.</w:t>
      </w:r>
    </w:p>
    <w:p w:rsidR="00DC094C" w:rsidRDefault="00315030">
      <w:pPr>
        <w:spacing w:after="0" w:line="259" w:lineRule="auto"/>
        <w:ind w:left="650" w:right="122" w:hanging="10"/>
        <w:jc w:val="center"/>
      </w:pPr>
      <w:r>
        <w:rPr>
          <w:sz w:val="26"/>
        </w:rPr>
        <w:lastRenderedPageBreak/>
        <w:t>čl. Vlil</w:t>
      </w:r>
    </w:p>
    <w:p w:rsidR="00DC094C" w:rsidRDefault="00315030">
      <w:pPr>
        <w:ind w:left="611" w:right="3756" w:firstLine="3784"/>
      </w:pPr>
      <w:r>
        <w:t>Trvání smlouvy 1) Tato smlouva se uzavírá na dobu ne</w:t>
      </w:r>
      <w:r>
        <w:t>určitou.</w:t>
      </w:r>
    </w:p>
    <w:p w:rsidR="00DC094C" w:rsidRDefault="00315030">
      <w:pPr>
        <w:numPr>
          <w:ilvl w:val="0"/>
          <w:numId w:val="7"/>
        </w:numPr>
        <w:spacing w:after="34"/>
        <w:ind w:right="64" w:hanging="367"/>
      </w:pPr>
      <w:r>
        <w:t>Tato smlouva nabývá platnosti a účinnosti dnem jejího podpisu oběma smluvními stranami.</w:t>
      </w:r>
    </w:p>
    <w:p w:rsidR="00DC094C" w:rsidRDefault="00315030">
      <w:pPr>
        <w:numPr>
          <w:ilvl w:val="0"/>
          <w:numId w:val="7"/>
        </w:numPr>
        <w:ind w:right="64" w:hanging="367"/>
      </w:pPr>
      <w:r>
        <w:t>Tuto smlouvu lze vypovědět bez udání důvodu, a to písemnou výpovědí s výpovědní lhůtou 3 měsíce, která počne běžet od prvého dne měsíce následujícího po měsíci</w:t>
      </w:r>
      <w:r w:rsidR="008670FD">
        <w:t xml:space="preserve">, ve kterém byla výpověď </w:t>
      </w:r>
      <w:r>
        <w:t>doručena druhé smluvní straně na adresu uvedenou v této smlouvě.</w:t>
      </w:r>
    </w:p>
    <w:p w:rsidR="00DC094C" w:rsidRDefault="00315030">
      <w:pPr>
        <w:numPr>
          <w:ilvl w:val="0"/>
          <w:numId w:val="7"/>
        </w:numPr>
        <w:ind w:right="64" w:hanging="367"/>
      </w:pPr>
      <w:r>
        <w:t>Smluvní strany jsou oprávněny tuto smlouvu vypovědět s účinky ode dne doručení výpovědi druhé smluvní straně v případě, že dojde k opakovanému porušení povinností vyp</w:t>
      </w:r>
      <w:r>
        <w:t>lývajících z této smlouvy, přičemž za opakované porušení povinností bude považováno takové porušení povinností, na které byla smluvní strana alespoň jednou písemně upozorněna .</w:t>
      </w:r>
    </w:p>
    <w:p w:rsidR="00DC094C" w:rsidRDefault="00315030">
      <w:pPr>
        <w:numPr>
          <w:ilvl w:val="0"/>
          <w:numId w:val="7"/>
        </w:numPr>
        <w:spacing w:after="464"/>
        <w:ind w:right="64" w:hanging="367"/>
      </w:pPr>
      <w:r>
        <w:t>Smluvní strany se dohodly, že pro případ ukončení platnosti smlouvy provedou ke</w:t>
      </w:r>
      <w:r>
        <w:t xml:space="preserve"> dni zániku této smlouvy vypořádání všech práv a povinností z této smlouvy vyplývajících a toto vypořádání písemně potvrdí.</w:t>
      </w:r>
    </w:p>
    <w:p w:rsidR="00DC094C" w:rsidRDefault="00315030">
      <w:pPr>
        <w:pStyle w:val="Nadpis1"/>
        <w:ind w:left="679"/>
      </w:pPr>
      <w:r>
        <w:t>čl. IX</w:t>
      </w:r>
    </w:p>
    <w:p w:rsidR="00DC094C" w:rsidRDefault="00315030">
      <w:pPr>
        <w:pStyle w:val="Nadpis2"/>
        <w:spacing w:after="101"/>
        <w:ind w:left="679" w:right="14"/>
      </w:pPr>
      <w:r>
        <w:t>Společná a závěrečná ustanovení</w:t>
      </w:r>
    </w:p>
    <w:p w:rsidR="00DC094C" w:rsidRDefault="00315030">
      <w:pPr>
        <w:numPr>
          <w:ilvl w:val="0"/>
          <w:numId w:val="8"/>
        </w:numPr>
        <w:ind w:right="28"/>
      </w:pPr>
      <w:r>
        <w:t>Smluvní strany se zavazují sdělovat si bezodkladně veškeré skutečnosti týkající se změny jeji</w:t>
      </w:r>
      <w:r>
        <w:t>ch obchodního jména, sídla, bankovního spojení, IC, DIČ, atd.</w:t>
      </w:r>
    </w:p>
    <w:p w:rsidR="00DC094C" w:rsidRDefault="00315030">
      <w:pPr>
        <w:numPr>
          <w:ilvl w:val="0"/>
          <w:numId w:val="8"/>
        </w:numPr>
        <w:ind w:right="28"/>
      </w:pPr>
      <w:r>
        <w:t>Tuto smlouvu lze měnit pouze písemně a za souhlasu obou smluvních stran. Tato smlouva nahrazuje a ruší účinnost veškerých předchozích ujednání a dohod, a to písemných i ústních, mezi smluvními s</w:t>
      </w:r>
      <w:r>
        <w:t>tranami ohledně práv a povinností, které jsou předmětem úpravy této smlouvy.</w:t>
      </w:r>
    </w:p>
    <w:p w:rsidR="00DC094C" w:rsidRDefault="00315030">
      <w:pPr>
        <w:numPr>
          <w:ilvl w:val="0"/>
          <w:numId w:val="8"/>
        </w:numPr>
        <w:ind w:right="28"/>
      </w:pPr>
      <w:r>
        <w:t>Práva a povinnosti z této smlouvy vyplývající a v této smlouvě výslovně neupravená se řídí příslušnými ustanoveními právního řádu České republiky, zejména pak zákonem č. 89/2012 Sb., občanský zákoník a zák .č. 121/2000 Sb.(autorský zákon) ve znění pozdější</w:t>
      </w:r>
      <w:r>
        <w:t>ch předpisů.</w:t>
      </w:r>
    </w:p>
    <w:p w:rsidR="00DC094C" w:rsidRDefault="00315030">
      <w:pPr>
        <w:numPr>
          <w:ilvl w:val="0"/>
          <w:numId w:val="8"/>
        </w:numPr>
        <w:spacing w:after="42"/>
        <w:ind w:right="28"/>
      </w:pPr>
      <w:r>
        <w:t>V případě, že se ke kterémukoli ustanovení této smlouvy či k jeho části podle zákona jako ke zdánlivému právnímu jednání nepřihlíží, nebo že kterékoli ustanovení této smlouvy či jeho část je nebo se stane neplatným, neúčinným a/nebo nevymahate</w:t>
      </w:r>
      <w:r>
        <w:t>lným, oddělí se v příslušném rozsahu od ostatních ujednání této smlouvy a nebude mít žádný vliv na platnost, účinnost a vymahatelnost ostatních ujednání této smlouvy. Smluvní strany se zavazují nahradit takové zdánlivé, nebo neplatné, neúčinné a/nebo nevym</w:t>
      </w:r>
      <w:r>
        <w:t>ahatelné ustanovení či jeho část ustanovením novým, které bude platné, účinné a vymahatelné a jehož věcný obsah a ekonomický význam bude shodný nebo co nejvíce podobný nahrazovanému ustanovení tak, aby účel a smysl této smlouvy zůstal zachován. Pokud v tét</w:t>
      </w:r>
      <w:r>
        <w:t>o smlouvě bude chybět jakékoli ustanovení, které by jinak bylo žádoucí pro účely srozumitelného stanovení práv a povinností smluvních stran, vynaloží smluvní strany maximální úsilí k doplnění takového ustanovení do této smlouvy.</w:t>
      </w:r>
    </w:p>
    <w:p w:rsidR="00DC094C" w:rsidRDefault="00315030">
      <w:pPr>
        <w:numPr>
          <w:ilvl w:val="0"/>
          <w:numId w:val="8"/>
        </w:numPr>
        <w:spacing w:after="75"/>
        <w:ind w:right="28"/>
      </w:pPr>
      <w:r>
        <w:t xml:space="preserve">Smluvní strany se dohodly, </w:t>
      </w:r>
      <w:r>
        <w:t>že zvyklosti ani zavedená praxe stran nemají přednost před ustanoveními této smlouvy ani před ustanoveními zákona. Smluvní strany pro vyloučení všech pochybností výslovně uvádějí, že tato smlouva nebyla uzavřena adhezním způsobem.</w:t>
      </w:r>
    </w:p>
    <w:p w:rsidR="00DC094C" w:rsidRDefault="00315030">
      <w:pPr>
        <w:numPr>
          <w:ilvl w:val="0"/>
          <w:numId w:val="8"/>
        </w:numPr>
        <w:ind w:right="28"/>
      </w:pPr>
      <w:r>
        <w:t>Veškeré spory vzniklé mez</w:t>
      </w:r>
      <w:r>
        <w:t>i smluvními stranami na základě této smlouvy, se smluvní strany zavazují řešit dohodou. Pokud vyřešení sporu smírnou cestou nebude možné, je každá ze smluvních stran oprávněna učinit podání na zahájení řízení u věcně a místně příslušného soudu.</w:t>
      </w:r>
    </w:p>
    <w:p w:rsidR="00DC094C" w:rsidRDefault="00315030">
      <w:pPr>
        <w:numPr>
          <w:ilvl w:val="0"/>
          <w:numId w:val="8"/>
        </w:numPr>
        <w:ind w:right="28"/>
      </w:pPr>
      <w:r>
        <w:t>Tato smlouv</w:t>
      </w:r>
      <w:r>
        <w:t>a je vyhotovena ve dvou exemplářích, z nichž každá smluvní strana obdrží po jednom vyhotovení.</w:t>
      </w:r>
    </w:p>
    <w:p w:rsidR="00DC094C" w:rsidRDefault="00315030">
      <w:pPr>
        <w:numPr>
          <w:ilvl w:val="0"/>
          <w:numId w:val="8"/>
        </w:numPr>
        <w:spacing w:after="2303"/>
        <w:ind w:right="28"/>
      </w:pPr>
      <w:r>
        <w:t>Smluvní strany prohlašují, že si tuto smlouvu přečetly, že byla uzavřena po vzájemné dohodě, což stvrzují svými podpisy.</w:t>
      </w:r>
    </w:p>
    <w:p w:rsidR="00DC094C" w:rsidRDefault="00315030">
      <w:pPr>
        <w:tabs>
          <w:tab w:val="center" w:pos="2097"/>
          <w:tab w:val="center" w:pos="6957"/>
        </w:tabs>
        <w:spacing w:after="245" w:line="250" w:lineRule="auto"/>
        <w:ind w:left="0" w:right="0" w:firstLine="0"/>
        <w:jc w:val="left"/>
        <w:rPr>
          <w:sz w:val="24"/>
        </w:rPr>
      </w:pPr>
      <w:r>
        <w:rPr>
          <w:sz w:val="24"/>
        </w:rPr>
        <w:lastRenderedPageBreak/>
        <w:tab/>
        <w:t>V Praze dne</w:t>
      </w:r>
      <w:r w:rsidR="008670FD">
        <w:rPr>
          <w:noProof/>
        </w:rPr>
        <w:t xml:space="preserve"> 26. 11. 2019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717802" cy="123344"/>
            <wp:effectExtent l="0" t="0" r="0" b="0"/>
            <wp:docPr id="29154" name="Picture 29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4" name="Picture 291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7802" cy="1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0FD" w:rsidRDefault="008670FD">
      <w:pPr>
        <w:tabs>
          <w:tab w:val="center" w:pos="2097"/>
          <w:tab w:val="center" w:pos="6957"/>
        </w:tabs>
        <w:spacing w:after="245" w:line="250" w:lineRule="auto"/>
        <w:ind w:left="0" w:right="0" w:firstLine="0"/>
        <w:jc w:val="left"/>
        <w:rPr>
          <w:sz w:val="24"/>
        </w:rPr>
      </w:pPr>
    </w:p>
    <w:p w:rsidR="008670FD" w:rsidRDefault="008670FD">
      <w:pPr>
        <w:tabs>
          <w:tab w:val="center" w:pos="2097"/>
          <w:tab w:val="center" w:pos="6957"/>
        </w:tabs>
        <w:spacing w:after="245" w:line="250" w:lineRule="auto"/>
        <w:ind w:left="0" w:right="0" w:firstLine="0"/>
        <w:jc w:val="left"/>
        <w:rPr>
          <w:sz w:val="24"/>
        </w:rPr>
      </w:pPr>
    </w:p>
    <w:p w:rsidR="008670FD" w:rsidRDefault="008670FD">
      <w:pPr>
        <w:tabs>
          <w:tab w:val="center" w:pos="2097"/>
          <w:tab w:val="center" w:pos="6957"/>
        </w:tabs>
        <w:spacing w:after="245" w:line="250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               -------------------------------------------                                 ---------------------------------------</w:t>
      </w:r>
    </w:p>
    <w:p w:rsidR="008670FD" w:rsidRDefault="008670FD" w:rsidP="008670FD">
      <w:pPr>
        <w:tabs>
          <w:tab w:val="center" w:pos="2097"/>
          <w:tab w:val="center" w:pos="6957"/>
        </w:tabs>
        <w:spacing w:after="245" w:line="250" w:lineRule="auto"/>
        <w:ind w:left="0" w:right="0" w:firstLine="0"/>
        <w:jc w:val="left"/>
      </w:pPr>
      <w:r>
        <w:rPr>
          <w:sz w:val="24"/>
        </w:rPr>
        <w:t xml:space="preserve">                                Distributor                                                                     provozovatel</w:t>
      </w:r>
      <w:r w:rsidR="0031503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3558957</wp:posOffset>
                </wp:positionH>
                <wp:positionV relativeFrom="paragraph">
                  <wp:posOffset>379169</wp:posOffset>
                </wp:positionV>
                <wp:extent cx="1772625" cy="13705"/>
                <wp:effectExtent l="0" t="0" r="0" b="0"/>
                <wp:wrapSquare wrapText="bothSides"/>
                <wp:docPr id="29159" name="Group 29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625" cy="13705"/>
                          <a:chOff x="0" y="0"/>
                          <a:chExt cx="1772625" cy="13705"/>
                        </a:xfrm>
                      </wpg:grpSpPr>
                      <wps:wsp>
                        <wps:cNvPr id="29158" name="Shape 29158"/>
                        <wps:cNvSpPr/>
                        <wps:spPr>
                          <a:xfrm>
                            <a:off x="0" y="0"/>
                            <a:ext cx="1772625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25" h="13705">
                                <a:moveTo>
                                  <a:pt x="0" y="6852"/>
                                </a:moveTo>
                                <a:lnTo>
                                  <a:pt x="1772625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159" style="width:139.577pt;height:1.0791pt;position:absolute;mso-position-horizontal-relative:text;mso-position-horizontal:absolute;margin-left:280.233pt;mso-position-vertical-relative:text;margin-top:29.8558pt;" coordsize="17726,137">
                <v:shape id="Shape 29158" style="position:absolute;width:17726;height:137;left:0;top:0;" coordsize="1772625,13705" path="m0,6852l1772625,6852">
                  <v:stroke weight="1.079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</w:p>
    <w:p w:rsidR="00DC094C" w:rsidRPr="008670FD" w:rsidRDefault="00DC094C" w:rsidP="008670FD">
      <w:bookmarkStart w:id="0" w:name="_GoBack"/>
      <w:bookmarkEnd w:id="0"/>
    </w:p>
    <w:sectPr w:rsidR="00DC094C" w:rsidRPr="008670FD">
      <w:footerReference w:type="even" r:id="rId13"/>
      <w:footerReference w:type="default" r:id="rId14"/>
      <w:footerReference w:type="first" r:id="rId15"/>
      <w:pgSz w:w="11900" w:h="16820"/>
      <w:pgMar w:top="1245" w:right="1446" w:bottom="1662" w:left="683" w:header="708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30" w:rsidRDefault="00315030">
      <w:pPr>
        <w:spacing w:after="0" w:line="240" w:lineRule="auto"/>
      </w:pPr>
      <w:r>
        <w:separator/>
      </w:r>
    </w:p>
  </w:endnote>
  <w:endnote w:type="continuationSeparator" w:id="0">
    <w:p w:rsidR="00315030" w:rsidRDefault="0031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4C" w:rsidRDefault="00315030">
    <w:pPr>
      <w:spacing w:after="0" w:line="259" w:lineRule="auto"/>
      <w:ind w:left="0"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4C" w:rsidRDefault="00315030">
    <w:pPr>
      <w:spacing w:after="0" w:line="259" w:lineRule="auto"/>
      <w:ind w:left="0"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70FD" w:rsidRPr="008670FD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4C" w:rsidRDefault="00315030">
    <w:pPr>
      <w:spacing w:after="0" w:line="259" w:lineRule="auto"/>
      <w:ind w:left="0"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30" w:rsidRDefault="00315030">
      <w:pPr>
        <w:spacing w:after="0" w:line="240" w:lineRule="auto"/>
      </w:pPr>
      <w:r>
        <w:separator/>
      </w:r>
    </w:p>
  </w:footnote>
  <w:footnote w:type="continuationSeparator" w:id="0">
    <w:p w:rsidR="00315030" w:rsidRDefault="0031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C95"/>
    <w:multiLevelType w:val="hybridMultilevel"/>
    <w:tmpl w:val="F712F8F2"/>
    <w:lvl w:ilvl="0" w:tplc="EA347506">
      <w:start w:val="2"/>
      <w:numFmt w:val="decimal"/>
      <w:lvlText w:val="%1)"/>
      <w:lvlJc w:val="left"/>
      <w:pPr>
        <w:ind w:left="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E6BEE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2974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427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AA81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66DD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C8B2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AC102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EF66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11A9D"/>
    <w:multiLevelType w:val="hybridMultilevel"/>
    <w:tmpl w:val="4EEC0FF0"/>
    <w:lvl w:ilvl="0" w:tplc="DF1CC324">
      <w:start w:val="1"/>
      <w:numFmt w:val="decimal"/>
      <w:lvlText w:val="%1)"/>
      <w:lvlJc w:val="left"/>
      <w:pPr>
        <w:ind w:left="1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ACE4E">
      <w:start w:val="1"/>
      <w:numFmt w:val="decimal"/>
      <w:lvlText w:val="%2"/>
      <w:lvlJc w:val="left"/>
      <w:pPr>
        <w:ind w:left="1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07F34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0DE6E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96CFB0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C871E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2E64AE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A6EA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4C3A94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C6471A"/>
    <w:multiLevelType w:val="hybridMultilevel"/>
    <w:tmpl w:val="FF283F8A"/>
    <w:lvl w:ilvl="0" w:tplc="107CD2F6">
      <w:start w:val="1"/>
      <w:numFmt w:val="decimal"/>
      <w:lvlText w:val="%1)"/>
      <w:lvlJc w:val="left"/>
      <w:pPr>
        <w:ind w:left="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C8B7A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C8566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81B8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C175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C5C3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A3A46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0EA54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C15A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B092F"/>
    <w:multiLevelType w:val="hybridMultilevel"/>
    <w:tmpl w:val="FC4C9FFA"/>
    <w:lvl w:ilvl="0" w:tplc="E42858E8">
      <w:start w:val="1"/>
      <w:numFmt w:val="lowerLetter"/>
      <w:lvlText w:val="%1)"/>
      <w:lvlJc w:val="left"/>
      <w:pPr>
        <w:ind w:left="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E9B1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C85D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AD4C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2F7B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C79C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A2E1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61D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C4506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D31AFC"/>
    <w:multiLevelType w:val="hybridMultilevel"/>
    <w:tmpl w:val="C54A586A"/>
    <w:lvl w:ilvl="0" w:tplc="54862FA2">
      <w:start w:val="1"/>
      <w:numFmt w:val="decimal"/>
      <w:lvlText w:val="%1)"/>
      <w:lvlJc w:val="left"/>
      <w:pPr>
        <w:ind w:left="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2FD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6C822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46620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63750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E75C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A85C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21E1E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E5A30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D92577"/>
    <w:multiLevelType w:val="hybridMultilevel"/>
    <w:tmpl w:val="F0D265B0"/>
    <w:lvl w:ilvl="0" w:tplc="866698A0">
      <w:start w:val="1"/>
      <w:numFmt w:val="decimal"/>
      <w:lvlText w:val="%1)"/>
      <w:lvlJc w:val="left"/>
      <w:pPr>
        <w:ind w:left="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6DB22">
      <w:start w:val="2"/>
      <w:numFmt w:val="lowerRoman"/>
      <w:lvlText w:val="(%2)"/>
      <w:lvlJc w:val="left"/>
      <w:pPr>
        <w:ind w:left="2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EED02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828E6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64754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209D4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A6006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EF19C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E3222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8309C0"/>
    <w:multiLevelType w:val="hybridMultilevel"/>
    <w:tmpl w:val="7458BB3C"/>
    <w:lvl w:ilvl="0" w:tplc="A4A4A13C">
      <w:start w:val="1"/>
      <w:numFmt w:val="decimal"/>
      <w:lvlText w:val="%1)"/>
      <w:lvlJc w:val="left"/>
      <w:pPr>
        <w:ind w:left="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EB7B4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050D8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04E50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8824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2D62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EB87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AE008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0676A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D203F"/>
    <w:multiLevelType w:val="hybridMultilevel"/>
    <w:tmpl w:val="AC468E3A"/>
    <w:lvl w:ilvl="0" w:tplc="CE1EE18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8CA54">
      <w:start w:val="1"/>
      <w:numFmt w:val="lowerLetter"/>
      <w:lvlText w:val="%2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4B0C8">
      <w:start w:val="1"/>
      <w:numFmt w:val="lowerRoman"/>
      <w:lvlText w:val="%3"/>
      <w:lvlJc w:val="left"/>
      <w:pPr>
        <w:ind w:left="1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C0990">
      <w:start w:val="1"/>
      <w:numFmt w:val="decimal"/>
      <w:lvlText w:val="%4"/>
      <w:lvlJc w:val="left"/>
      <w:pPr>
        <w:ind w:left="2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65C62">
      <w:start w:val="1"/>
      <w:numFmt w:val="lowerLetter"/>
      <w:lvlText w:val="%5"/>
      <w:lvlJc w:val="left"/>
      <w:pPr>
        <w:ind w:left="3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8FC26">
      <w:start w:val="1"/>
      <w:numFmt w:val="lowerRoman"/>
      <w:lvlText w:val="%6"/>
      <w:lvlJc w:val="left"/>
      <w:pPr>
        <w:ind w:left="4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A6FA10">
      <w:start w:val="1"/>
      <w:numFmt w:val="decimal"/>
      <w:lvlText w:val="%7"/>
      <w:lvlJc w:val="left"/>
      <w:pPr>
        <w:ind w:left="4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49AAA">
      <w:start w:val="1"/>
      <w:numFmt w:val="lowerLetter"/>
      <w:lvlText w:val="%8"/>
      <w:lvlJc w:val="left"/>
      <w:pPr>
        <w:ind w:left="5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4B466">
      <w:start w:val="1"/>
      <w:numFmt w:val="lowerRoman"/>
      <w:lvlText w:val="%9"/>
      <w:lvlJc w:val="left"/>
      <w:pPr>
        <w:ind w:left="6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4C"/>
    <w:rsid w:val="00315030"/>
    <w:rsid w:val="008670FD"/>
    <w:rsid w:val="00D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2ABE"/>
  <w15:docId w15:val="{6B37C872-3E1E-4489-89C4-5DE22C90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22" w:lineRule="auto"/>
      <w:ind w:left="959" w:right="4266" w:hanging="355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58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22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character" w:styleId="Hypertextovodkaz">
    <w:name w:val="Hyperlink"/>
    <w:basedOn w:val="Standardnpsmoodstavce"/>
    <w:uiPriority w:val="99"/>
    <w:unhideWhenUsed/>
    <w:rsid w:val="00867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mikulecky@mklub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mikulecky@mklub.cz" TargetMode="Externa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pavel.stransky@mklub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2470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Ineo224e MKLUB-20191217112917</vt:lpstr>
    </vt:vector>
  </TitlesOfParts>
  <Company/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Ineo224e MKLUB-20191217112917</dc:title>
  <dc:subject/>
  <dc:creator>Uživatel systému Windows</dc:creator>
  <cp:keywords/>
  <cp:lastModifiedBy>Uživatel systému Windows</cp:lastModifiedBy>
  <cp:revision>2</cp:revision>
  <dcterms:created xsi:type="dcterms:W3CDTF">2019-12-17T10:15:00Z</dcterms:created>
  <dcterms:modified xsi:type="dcterms:W3CDTF">2019-12-17T10:15:00Z</dcterms:modified>
</cp:coreProperties>
</file>