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0A26AB" w:rsidRDefault="00722FCE" w:rsidP="00722FCE">
      <w:pPr>
        <w:widowControl/>
        <w:rPr>
          <w:rFonts w:ascii="Arial" w:hAnsi="Arial" w:cs="Arial"/>
          <w:b/>
          <w:sz w:val="22"/>
          <w:szCs w:val="22"/>
        </w:rPr>
      </w:pPr>
      <w:bookmarkStart w:id="0" w:name="_GoBack"/>
      <w:bookmarkEnd w:id="0"/>
      <w:r w:rsidRPr="000A26AB">
        <w:rPr>
          <w:rFonts w:ascii="Arial" w:hAnsi="Arial" w:cs="Arial"/>
          <w:b/>
          <w:sz w:val="22"/>
          <w:szCs w:val="22"/>
        </w:rPr>
        <w:t xml:space="preserve">Česká </w:t>
      </w:r>
      <w:proofErr w:type="gramStart"/>
      <w:r w:rsidRPr="000A26AB">
        <w:rPr>
          <w:rFonts w:ascii="Arial" w:hAnsi="Arial" w:cs="Arial"/>
          <w:b/>
          <w:sz w:val="22"/>
          <w:szCs w:val="22"/>
        </w:rPr>
        <w:t>republika - Státní</w:t>
      </w:r>
      <w:proofErr w:type="gramEnd"/>
      <w:r w:rsidRPr="000A26AB">
        <w:rPr>
          <w:rFonts w:ascii="Arial" w:hAnsi="Arial" w:cs="Arial"/>
          <w:b/>
          <w:sz w:val="22"/>
          <w:szCs w:val="22"/>
        </w:rPr>
        <w:t xml:space="preserve"> pozemkový úřad</w:t>
      </w:r>
    </w:p>
    <w:p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w:t>
      </w:r>
      <w:proofErr w:type="gramStart"/>
      <w:r w:rsidRPr="000A26AB">
        <w:rPr>
          <w:rFonts w:ascii="Arial" w:hAnsi="Arial" w:cs="Arial"/>
          <w:sz w:val="22"/>
          <w:szCs w:val="22"/>
        </w:rPr>
        <w:t>11a</w:t>
      </w:r>
      <w:proofErr w:type="gramEnd"/>
      <w:r w:rsidRPr="000A26AB">
        <w:rPr>
          <w:rFonts w:ascii="Arial" w:hAnsi="Arial" w:cs="Arial"/>
          <w:sz w:val="22"/>
          <w:szCs w:val="22"/>
        </w:rPr>
        <w:t>, 130 00 Praha 3</w:t>
      </w:r>
      <w:r w:rsidR="00A84EFA" w:rsidRPr="000A26AB">
        <w:rPr>
          <w:rFonts w:ascii="Arial" w:hAnsi="Arial" w:cs="Arial"/>
          <w:sz w:val="22"/>
          <w:szCs w:val="22"/>
        </w:rPr>
        <w:t xml:space="preserve"> - Žižkov</w:t>
      </w:r>
      <w:r w:rsidRPr="000A26AB">
        <w:rPr>
          <w:rFonts w:ascii="Arial" w:hAnsi="Arial" w:cs="Arial"/>
          <w:sz w:val="22"/>
          <w:szCs w:val="22"/>
        </w:rPr>
        <w:t>,</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 xml:space="preserve">Ing. Eva </w:t>
      </w:r>
      <w:proofErr w:type="spellStart"/>
      <w:r w:rsidRPr="000A26AB">
        <w:rPr>
          <w:rFonts w:ascii="Arial" w:hAnsi="Arial" w:cs="Arial"/>
          <w:color w:val="000000"/>
          <w:sz w:val="22"/>
          <w:szCs w:val="22"/>
        </w:rPr>
        <w:t>Schmidtmajerová</w:t>
      </w:r>
      <w:proofErr w:type="spellEnd"/>
      <w:r w:rsidRPr="000A26AB">
        <w:rPr>
          <w:rFonts w:ascii="Arial" w:hAnsi="Arial" w:cs="Arial"/>
          <w:color w:val="000000"/>
          <w:sz w:val="22"/>
          <w:szCs w:val="22"/>
        </w:rPr>
        <w:t>, CSc., ředitelka Krajského pozemkového úřadu pro Jihočeský kraj</w:t>
      </w:r>
    </w:p>
    <w:p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Rudolfovská 80, 37001 České Budějovice</w:t>
      </w:r>
    </w:p>
    <w:p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rsidR="00722FCE" w:rsidRPr="000A26AB" w:rsidRDefault="00722FCE" w:rsidP="00722FCE">
      <w:pPr>
        <w:widowControl/>
        <w:rPr>
          <w:rFonts w:ascii="Arial" w:hAnsi="Arial" w:cs="Arial"/>
          <w:sz w:val="22"/>
          <w:szCs w:val="22"/>
        </w:rPr>
      </w:pPr>
      <w:proofErr w:type="gramStart"/>
      <w:r w:rsidRPr="000A26AB">
        <w:rPr>
          <w:rFonts w:ascii="Arial" w:hAnsi="Arial" w:cs="Arial"/>
          <w:sz w:val="22"/>
          <w:szCs w:val="22"/>
        </w:rPr>
        <w:t>DIČ:  CZ</w:t>
      </w:r>
      <w:proofErr w:type="gramEnd"/>
      <w:r w:rsidRPr="000A26AB">
        <w:rPr>
          <w:rFonts w:ascii="Arial" w:hAnsi="Arial" w:cs="Arial"/>
          <w:sz w:val="22"/>
          <w:szCs w:val="22"/>
        </w:rPr>
        <w:t>01312774</w:t>
      </w:r>
    </w:p>
    <w:p w:rsidR="00722FCE" w:rsidRPr="000A26AB" w:rsidRDefault="00722FCE" w:rsidP="00722FCE">
      <w:pPr>
        <w:widowControl/>
        <w:rPr>
          <w:rFonts w:ascii="Arial" w:hAnsi="Arial" w:cs="Arial"/>
          <w:sz w:val="22"/>
          <w:szCs w:val="22"/>
        </w:rPr>
      </w:pPr>
      <w:r w:rsidRPr="000A26AB">
        <w:rPr>
          <w:rFonts w:ascii="Arial" w:hAnsi="Arial" w:cs="Arial"/>
          <w:sz w:val="22"/>
          <w:szCs w:val="22"/>
        </w:rPr>
        <w:t>Bankovní spojení: ČNB, pobočka Praha, se sídlem Na Příkopech 28</w:t>
      </w:r>
    </w:p>
    <w:p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1015931905</w:t>
      </w:r>
    </w:p>
    <w:p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rsidR="00136D24" w:rsidRPr="000A26AB" w:rsidRDefault="00136D24">
      <w:pPr>
        <w:widowControl/>
        <w:tabs>
          <w:tab w:val="left" w:pos="120"/>
        </w:tabs>
        <w:jc w:val="both"/>
        <w:rPr>
          <w:rFonts w:ascii="Arial" w:hAnsi="Arial" w:cs="Arial"/>
          <w:i/>
          <w:iCs/>
          <w:sz w:val="22"/>
          <w:szCs w:val="22"/>
        </w:rPr>
      </w:pPr>
    </w:p>
    <w:p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MAVELA a.s. Dynín</w:t>
      </w:r>
      <w:r w:rsidRPr="000A26AB">
        <w:rPr>
          <w:rFonts w:ascii="Arial" w:hAnsi="Arial" w:cs="Arial"/>
          <w:color w:val="000000"/>
          <w:sz w:val="22"/>
          <w:szCs w:val="22"/>
        </w:rPr>
        <w:t xml:space="preserve">, sídlo Dynín čp. 81, Dynín, PSČ 37364, IČO 46683526, zapsán v obchodním rejstříku, vedeného Krajským soudem v Českých Budějovicích, oddíl B, vložka 537, </w:t>
      </w:r>
    </w:p>
    <w:p w:rsidR="00074E2E" w:rsidRDefault="00136D24">
      <w:pPr>
        <w:widowControl/>
        <w:rPr>
          <w:rFonts w:ascii="Arial" w:hAnsi="Arial" w:cs="Arial"/>
          <w:color w:val="000000"/>
          <w:sz w:val="22"/>
          <w:szCs w:val="22"/>
        </w:rPr>
      </w:pPr>
      <w:proofErr w:type="spellStart"/>
      <w:r w:rsidRPr="000A26AB">
        <w:rPr>
          <w:rFonts w:ascii="Arial" w:hAnsi="Arial" w:cs="Arial"/>
          <w:color w:val="000000"/>
          <w:sz w:val="22"/>
          <w:szCs w:val="22"/>
        </w:rPr>
        <w:t>zast</w:t>
      </w:r>
      <w:proofErr w:type="spellEnd"/>
      <w:r w:rsidRPr="000A26AB">
        <w:rPr>
          <w:rFonts w:ascii="Arial" w:hAnsi="Arial" w:cs="Arial"/>
          <w:color w:val="000000"/>
          <w:sz w:val="22"/>
          <w:szCs w:val="22"/>
        </w:rPr>
        <w:t xml:space="preserve">. předseda představenstva Hradský Petr Ing., bytem </w:t>
      </w:r>
      <w:r w:rsidR="00193BF4">
        <w:rPr>
          <w:rFonts w:ascii="Arial" w:hAnsi="Arial" w:cs="Arial"/>
          <w:color w:val="000000"/>
          <w:sz w:val="22"/>
          <w:szCs w:val="22"/>
        </w:rPr>
        <w:t>XXXXXXXXXX</w:t>
      </w:r>
      <w:r w:rsidRPr="000A26AB">
        <w:rPr>
          <w:rFonts w:ascii="Arial" w:hAnsi="Arial" w:cs="Arial"/>
          <w:color w:val="000000"/>
          <w:sz w:val="22"/>
          <w:szCs w:val="22"/>
        </w:rPr>
        <w:t xml:space="preserve">, Strakonice, </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PSČ 38601</w:t>
      </w:r>
    </w:p>
    <w:p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 xml:space="preserve">(dále </w:t>
      </w:r>
      <w:proofErr w:type="gramStart"/>
      <w:r w:rsidRPr="000A26AB">
        <w:rPr>
          <w:rFonts w:ascii="Arial" w:hAnsi="Arial" w:cs="Arial"/>
          <w:color w:val="000000"/>
          <w:sz w:val="22"/>
          <w:szCs w:val="22"/>
        </w:rPr>
        <w:t>jen  "</w:t>
      </w:r>
      <w:proofErr w:type="gramEnd"/>
      <w:r w:rsidRPr="000A26AB">
        <w:rPr>
          <w:rFonts w:ascii="Arial" w:hAnsi="Arial" w:cs="Arial"/>
          <w:color w:val="000000"/>
          <w:sz w:val="22"/>
          <w:szCs w:val="22"/>
        </w:rPr>
        <w:t>k u p u j í c í")</w:t>
      </w:r>
    </w:p>
    <w:p w:rsidR="00136D24" w:rsidRPr="000A26AB" w:rsidRDefault="00136D24">
      <w:pPr>
        <w:widowControl/>
        <w:rPr>
          <w:rFonts w:ascii="Arial" w:hAnsi="Arial" w:cs="Arial"/>
          <w:color w:val="000000"/>
          <w:sz w:val="22"/>
          <w:szCs w:val="22"/>
        </w:rPr>
      </w:pPr>
    </w:p>
    <w:p w:rsidR="00136D24" w:rsidRPr="000A26AB" w:rsidRDefault="00136D24">
      <w:pPr>
        <w:widowControl/>
        <w:rPr>
          <w:rFonts w:ascii="Arial" w:hAnsi="Arial" w:cs="Arial"/>
          <w:sz w:val="22"/>
          <w:szCs w:val="22"/>
        </w:rPr>
      </w:pPr>
      <w:r w:rsidRPr="000A26AB">
        <w:rPr>
          <w:rFonts w:ascii="Arial" w:hAnsi="Arial" w:cs="Arial"/>
          <w:color w:val="000000"/>
          <w:sz w:val="22"/>
          <w:szCs w:val="22"/>
        </w:rPr>
        <w:t>uzavírají tuto:</w:t>
      </w:r>
    </w:p>
    <w:p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rsidR="00136D24" w:rsidRPr="000A26AB" w:rsidRDefault="00136D24">
      <w:pPr>
        <w:pStyle w:val="para"/>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1015931905</w:t>
      </w:r>
    </w:p>
    <w:p w:rsidR="00136D24" w:rsidRPr="000A26AB" w:rsidRDefault="00136D24">
      <w:pPr>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Jihočeský kraj se sídlem v Českých Budějovicích, Katastrální pracoviště České Budějovice na LV 10 002:</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stavební</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Dolní Bukovsko</w:t>
      </w:r>
      <w:r w:rsidRPr="000A26AB">
        <w:rPr>
          <w:rFonts w:ascii="Arial" w:hAnsi="Arial" w:cs="Arial"/>
          <w:sz w:val="18"/>
          <w:szCs w:val="18"/>
        </w:rPr>
        <w:tab/>
      </w:r>
      <w:proofErr w:type="spellStart"/>
      <w:r w:rsidRPr="000A26AB">
        <w:rPr>
          <w:rFonts w:ascii="Arial" w:hAnsi="Arial" w:cs="Arial"/>
          <w:sz w:val="18"/>
          <w:szCs w:val="18"/>
        </w:rPr>
        <w:t>Bzí</w:t>
      </w:r>
      <w:proofErr w:type="spellEnd"/>
      <w:r w:rsidRPr="000A26AB">
        <w:rPr>
          <w:rFonts w:ascii="Arial" w:hAnsi="Arial" w:cs="Arial"/>
          <w:sz w:val="18"/>
          <w:szCs w:val="18"/>
        </w:rPr>
        <w:t xml:space="preserve"> u Dolního Bukovska</w:t>
      </w:r>
      <w:r w:rsidRPr="000A26AB">
        <w:rPr>
          <w:rFonts w:ascii="Arial" w:hAnsi="Arial" w:cs="Arial"/>
          <w:sz w:val="18"/>
          <w:szCs w:val="18"/>
        </w:rPr>
        <w:tab/>
        <w:t>110/2</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stavební</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Dolní Bukovsko</w:t>
      </w:r>
      <w:r w:rsidRPr="000A26AB">
        <w:rPr>
          <w:rFonts w:ascii="Arial" w:hAnsi="Arial" w:cs="Arial"/>
          <w:sz w:val="18"/>
          <w:szCs w:val="18"/>
        </w:rPr>
        <w:tab/>
      </w:r>
      <w:proofErr w:type="spellStart"/>
      <w:r w:rsidRPr="000A26AB">
        <w:rPr>
          <w:rFonts w:ascii="Arial" w:hAnsi="Arial" w:cs="Arial"/>
          <w:sz w:val="18"/>
          <w:szCs w:val="18"/>
        </w:rPr>
        <w:t>Bzí</w:t>
      </w:r>
      <w:proofErr w:type="spellEnd"/>
      <w:r w:rsidRPr="000A26AB">
        <w:rPr>
          <w:rFonts w:ascii="Arial" w:hAnsi="Arial" w:cs="Arial"/>
          <w:sz w:val="18"/>
          <w:szCs w:val="18"/>
        </w:rPr>
        <w:t xml:space="preserve"> u Dolního Bukovska</w:t>
      </w:r>
      <w:r w:rsidRPr="000A26AB">
        <w:rPr>
          <w:rFonts w:ascii="Arial" w:hAnsi="Arial" w:cs="Arial"/>
          <w:sz w:val="18"/>
          <w:szCs w:val="18"/>
        </w:rPr>
        <w:tab/>
        <w:t>115/2</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stavební</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Dolní Bukovsko</w:t>
      </w:r>
      <w:r w:rsidRPr="000A26AB">
        <w:rPr>
          <w:rFonts w:ascii="Arial" w:hAnsi="Arial" w:cs="Arial"/>
          <w:sz w:val="18"/>
          <w:szCs w:val="18"/>
        </w:rPr>
        <w:tab/>
      </w:r>
      <w:proofErr w:type="spellStart"/>
      <w:r w:rsidRPr="000A26AB">
        <w:rPr>
          <w:rFonts w:ascii="Arial" w:hAnsi="Arial" w:cs="Arial"/>
          <w:sz w:val="18"/>
          <w:szCs w:val="18"/>
        </w:rPr>
        <w:t>Bzí</w:t>
      </w:r>
      <w:proofErr w:type="spellEnd"/>
      <w:r w:rsidRPr="000A26AB">
        <w:rPr>
          <w:rFonts w:ascii="Arial" w:hAnsi="Arial" w:cs="Arial"/>
          <w:sz w:val="18"/>
          <w:szCs w:val="18"/>
        </w:rPr>
        <w:t xml:space="preserve"> u Dolního Bukovska</w:t>
      </w:r>
      <w:r w:rsidRPr="000A26AB">
        <w:rPr>
          <w:rFonts w:ascii="Arial" w:hAnsi="Arial" w:cs="Arial"/>
          <w:sz w:val="18"/>
          <w:szCs w:val="18"/>
        </w:rPr>
        <w:tab/>
        <w:t>118/2</w:t>
      </w:r>
      <w:r w:rsidRPr="000A26AB">
        <w:rPr>
          <w:rFonts w:ascii="Arial" w:hAnsi="Arial" w:cs="Arial"/>
          <w:sz w:val="18"/>
          <w:szCs w:val="18"/>
        </w:rPr>
        <w:tab/>
        <w:t>zastavěná plocha a nádvoří</w:t>
      </w:r>
    </w:p>
    <w:p w:rsidR="00136D24" w:rsidRPr="000A26AB" w:rsidRDefault="00136D24">
      <w:pPr>
        <w:pStyle w:val="obec1"/>
        <w:widowControl/>
        <w:rPr>
          <w:rFonts w:ascii="Arial" w:hAnsi="Arial" w:cs="Arial"/>
          <w:sz w:val="18"/>
          <w:szCs w:val="18"/>
        </w:rPr>
      </w:pPr>
    </w:p>
    <w:p w:rsidR="00136D24" w:rsidRPr="000A26AB" w:rsidRDefault="00136D24">
      <w:pPr>
        <w:pStyle w:val="obec1"/>
        <w:widowControl/>
        <w:rPr>
          <w:rFonts w:ascii="Arial" w:hAnsi="Arial" w:cs="Arial"/>
          <w:sz w:val="18"/>
          <w:szCs w:val="18"/>
        </w:rPr>
      </w:pPr>
      <w:r w:rsidRPr="000A26AB">
        <w:rPr>
          <w:rFonts w:ascii="Arial" w:hAnsi="Arial" w:cs="Arial"/>
          <w:sz w:val="18"/>
          <w:szCs w:val="18"/>
        </w:rPr>
        <w:t xml:space="preserve">Katastr </w:t>
      </w:r>
      <w:proofErr w:type="gramStart"/>
      <w:r w:rsidRPr="000A26AB">
        <w:rPr>
          <w:rFonts w:ascii="Arial" w:hAnsi="Arial" w:cs="Arial"/>
          <w:sz w:val="18"/>
          <w:szCs w:val="18"/>
        </w:rPr>
        <w:t>nemovitostí - stavební</w:t>
      </w:r>
      <w:proofErr w:type="gramEnd"/>
    </w:p>
    <w:p w:rsidR="00136D24" w:rsidRPr="000A26AB" w:rsidRDefault="00136D24">
      <w:pPr>
        <w:pStyle w:val="obec1"/>
        <w:widowControl/>
        <w:rPr>
          <w:rFonts w:ascii="Arial" w:hAnsi="Arial" w:cs="Arial"/>
          <w:sz w:val="18"/>
          <w:szCs w:val="18"/>
        </w:rPr>
      </w:pPr>
      <w:r w:rsidRPr="000A26AB">
        <w:rPr>
          <w:rFonts w:ascii="Arial" w:hAnsi="Arial" w:cs="Arial"/>
          <w:sz w:val="18"/>
          <w:szCs w:val="18"/>
        </w:rPr>
        <w:t>Mazelov</w:t>
      </w:r>
      <w:r w:rsidRPr="000A26AB">
        <w:rPr>
          <w:rFonts w:ascii="Arial" w:hAnsi="Arial" w:cs="Arial"/>
          <w:sz w:val="18"/>
          <w:szCs w:val="18"/>
        </w:rPr>
        <w:tab/>
      </w:r>
      <w:proofErr w:type="spellStart"/>
      <w:r w:rsidRPr="000A26AB">
        <w:rPr>
          <w:rFonts w:ascii="Arial" w:hAnsi="Arial" w:cs="Arial"/>
          <w:sz w:val="18"/>
          <w:szCs w:val="18"/>
        </w:rPr>
        <w:t>Mazelov</w:t>
      </w:r>
      <w:proofErr w:type="spellEnd"/>
      <w:r w:rsidRPr="000A26AB">
        <w:rPr>
          <w:rFonts w:ascii="Arial" w:hAnsi="Arial" w:cs="Arial"/>
          <w:sz w:val="18"/>
          <w:szCs w:val="18"/>
        </w:rPr>
        <w:tab/>
        <w:t>164</w:t>
      </w:r>
      <w:r w:rsidRPr="000A26AB">
        <w:rPr>
          <w:rFonts w:ascii="Arial" w:hAnsi="Arial" w:cs="Arial"/>
          <w:sz w:val="18"/>
          <w:szCs w:val="18"/>
        </w:rPr>
        <w:tab/>
        <w:t>zastavěná plocha a nádvoří</w:t>
      </w:r>
    </w:p>
    <w:p w:rsidR="000A26AB" w:rsidRDefault="000A26AB" w:rsidP="000A26AB">
      <w:pPr>
        <w:widowControl/>
        <w:ind w:right="-433"/>
        <w:rPr>
          <w:rFonts w:ascii="Arial" w:hAnsi="Arial" w:cs="Arial"/>
          <w:sz w:val="22"/>
          <w:szCs w:val="22"/>
        </w:rPr>
      </w:pPr>
      <w:r>
        <w:rPr>
          <w:rFonts w:ascii="Arial" w:hAnsi="Arial" w:cs="Arial"/>
          <w:sz w:val="22"/>
          <w:szCs w:val="22"/>
        </w:rPr>
        <w:t>-----------------------------------------------------------------------------------------------------------------------------</w:t>
      </w:r>
    </w:p>
    <w:p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rsidR="00136D24" w:rsidRPr="000A26AB" w:rsidRDefault="00136D24">
      <w:pPr>
        <w:widowControl/>
        <w:rPr>
          <w:rFonts w:ascii="Arial" w:hAnsi="Arial" w:cs="Arial"/>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10 odst. 4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31.7.2016 (viz. přechodná ustanovení </w:t>
      </w:r>
      <w:proofErr w:type="spellStart"/>
      <w:r w:rsidR="00842ADC" w:rsidRPr="000A26AB">
        <w:rPr>
          <w:rFonts w:ascii="Arial" w:hAnsi="Arial" w:cs="Arial"/>
          <w:sz w:val="22"/>
          <w:szCs w:val="22"/>
        </w:rPr>
        <w:t>Čl.II</w:t>
      </w:r>
      <w:proofErr w:type="spellEnd"/>
      <w:r w:rsidR="00842ADC" w:rsidRPr="000A26AB">
        <w:rPr>
          <w:rFonts w:ascii="Arial" w:hAnsi="Arial" w:cs="Arial"/>
          <w:sz w:val="22"/>
          <w:szCs w:val="22"/>
        </w:rPr>
        <w:t xml:space="preserve"> zákona č. 185/2016 Sb.).</w:t>
      </w:r>
    </w:p>
    <w:p w:rsidR="00074E2E" w:rsidRDefault="00074E2E">
      <w:pPr>
        <w:pStyle w:val="para"/>
        <w:widowControl/>
        <w:rPr>
          <w:rFonts w:ascii="Arial" w:hAnsi="Arial" w:cs="Arial"/>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Prodávající touto smlouvou prodává kupujícímu pozemky specifikované v čl. I. této smlouvy a ten je, ve </w:t>
      </w:r>
      <w:proofErr w:type="gramStart"/>
      <w:r w:rsidRPr="000A26AB">
        <w:rPr>
          <w:rFonts w:ascii="Arial" w:hAnsi="Arial" w:cs="Arial"/>
          <w:sz w:val="22"/>
          <w:szCs w:val="22"/>
        </w:rPr>
        <w:t>stavu</w:t>
      </w:r>
      <w:proofErr w:type="gramEnd"/>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rsidR="00136D24" w:rsidRPr="000A26AB" w:rsidRDefault="00136D24">
      <w:pPr>
        <w:pStyle w:val="vnitrniText"/>
        <w:widowControl/>
        <w:jc w:val="left"/>
        <w:rPr>
          <w:rFonts w:ascii="Arial" w:hAnsi="Arial" w:cs="Arial"/>
          <w:b/>
          <w:bCs/>
          <w:color w:val="000000"/>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lastRenderedPageBreak/>
        <w:t>IV.</w:t>
      </w: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Parc.č</w:t>
            </w:r>
            <w:proofErr w:type="spellEnd"/>
            <w:r w:rsidRPr="00322338">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Bzí</w:t>
            </w:r>
            <w:proofErr w:type="spellEnd"/>
            <w:r w:rsidRPr="00322338">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110/2</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23 550,00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Bzí</w:t>
            </w:r>
            <w:proofErr w:type="spellEnd"/>
            <w:r w:rsidRPr="00322338">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115/2</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6 280,00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proofErr w:type="spellStart"/>
            <w:r w:rsidRPr="00322338">
              <w:rPr>
                <w:rFonts w:ascii="Arial" w:hAnsi="Arial" w:cs="Arial"/>
                <w:sz w:val="18"/>
                <w:szCs w:val="18"/>
              </w:rPr>
              <w:t>Bzí</w:t>
            </w:r>
            <w:proofErr w:type="spellEnd"/>
            <w:r w:rsidRPr="00322338">
              <w:rPr>
                <w:rFonts w:ascii="Arial" w:hAnsi="Arial" w:cs="Arial"/>
                <w:sz w:val="18"/>
                <w:szCs w:val="18"/>
              </w:rPr>
              <w:t xml:space="preserve"> u Dolního Bukovska</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118/2</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51 810,00 Kč</w:t>
            </w:r>
          </w:p>
        </w:tc>
      </w:tr>
      <w:tr w:rsidR="003237EF" w:rsidRPr="00322338">
        <w:tc>
          <w:tcPr>
            <w:tcW w:w="3095"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Mazelov</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164</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12 250,00 Kč</w:t>
            </w:r>
          </w:p>
        </w:tc>
      </w:tr>
    </w:tbl>
    <w:p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tc>
          <w:tcPr>
            <w:tcW w:w="6191"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322338" w:rsidRDefault="003237EF">
            <w:pPr>
              <w:widowControl/>
              <w:jc w:val="center"/>
              <w:rPr>
                <w:rFonts w:ascii="Arial" w:hAnsi="Arial" w:cs="Arial"/>
                <w:sz w:val="18"/>
                <w:szCs w:val="18"/>
              </w:rPr>
            </w:pPr>
            <w:r w:rsidRPr="00322338">
              <w:rPr>
                <w:rFonts w:ascii="Arial" w:hAnsi="Arial" w:cs="Arial"/>
                <w:sz w:val="18"/>
                <w:szCs w:val="18"/>
              </w:rPr>
              <w:t>93 890,00 Kč</w:t>
            </w:r>
          </w:p>
        </w:tc>
      </w:tr>
    </w:tbl>
    <w:p w:rsidR="003237EF" w:rsidRPr="00322338" w:rsidRDefault="003237EF" w:rsidP="00A31FE2">
      <w:pPr>
        <w:widowControl/>
        <w:tabs>
          <w:tab w:val="left" w:pos="426"/>
        </w:tabs>
        <w:ind w:left="-142"/>
        <w:rPr>
          <w:rFonts w:ascii="Arial" w:hAnsi="Arial" w:cs="Arial"/>
          <w:sz w:val="18"/>
          <w:szCs w:val="18"/>
        </w:rPr>
      </w:pPr>
    </w:p>
    <w:p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rsidR="007F0632" w:rsidRDefault="007F0632">
      <w:pPr>
        <w:widowControl/>
        <w:tabs>
          <w:tab w:val="left" w:pos="426"/>
        </w:tabs>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Užívací vztah k prodávaným pozemkům je řešen nájemní smlouvou č. 80N14/05, kterou se Státním pozemkovým úřadem uzavřel MAVELA a.s. Dynín, jakožto nájemce. S obsahem nájemní smlouvy byl kupující seznámen před podpisem této smlouvy, což stvrzuje svým podpisem.</w:t>
      </w:r>
    </w:p>
    <w:p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0A26AB">
        <w:rPr>
          <w:rFonts w:ascii="Arial" w:hAnsi="Arial" w:cs="Arial"/>
          <w:color w:val="000000"/>
          <w:sz w:val="22"/>
          <w:szCs w:val="22"/>
        </w:rPr>
        <w:t>.</w:t>
      </w:r>
    </w:p>
    <w:p w:rsidR="00B56780" w:rsidRPr="000A26AB" w:rsidRDefault="00B56780" w:rsidP="00B56780">
      <w:pPr>
        <w:pStyle w:val="vnitrniText"/>
        <w:widowControl/>
        <w:rPr>
          <w:rFonts w:ascii="Arial" w:hAnsi="Arial" w:cs="Arial"/>
          <w:sz w:val="22"/>
          <w:szCs w:val="22"/>
        </w:rPr>
      </w:pPr>
      <w:r w:rsidRPr="000A26AB">
        <w:rPr>
          <w:rFonts w:ascii="Arial" w:hAnsi="Arial" w:cs="Arial"/>
          <w:sz w:val="22"/>
          <w:szCs w:val="22"/>
        </w:rPr>
        <w:t>2) Prodávající je ve smyslu zákona č. 634/2004 Sb., o správních poplatcích, ve znění pozdějších předpisů, osvobozen od správních poplatků.</w:t>
      </w:r>
    </w:p>
    <w:p w:rsidR="00831AF0" w:rsidRPr="000A26AB" w:rsidRDefault="00B56780" w:rsidP="00831AF0">
      <w:pPr>
        <w:widowControl/>
        <w:ind w:firstLine="426"/>
        <w:jc w:val="both"/>
        <w:rPr>
          <w:rFonts w:ascii="Arial" w:hAnsi="Arial" w:cs="Arial"/>
          <w:sz w:val="22"/>
          <w:szCs w:val="22"/>
        </w:rPr>
      </w:pPr>
      <w:r w:rsidRPr="000A26AB">
        <w:rPr>
          <w:rFonts w:ascii="Arial" w:hAnsi="Arial" w:cs="Arial"/>
          <w:sz w:val="22"/>
          <w:szCs w:val="22"/>
        </w:rPr>
        <w:t xml:space="preserve">3) </w:t>
      </w:r>
      <w:r w:rsidR="00712BA6" w:rsidRPr="000A26AB">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0A26AB" w:rsidRDefault="00136D24">
      <w:pPr>
        <w:widowControl/>
        <w:rPr>
          <w:rFonts w:ascii="Arial" w:hAnsi="Arial" w:cs="Arial"/>
          <w:b/>
          <w:bCs/>
          <w:sz w:val="22"/>
          <w:szCs w:val="22"/>
        </w:rPr>
      </w:pPr>
    </w:p>
    <w:p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136D24" w:rsidRDefault="00A277E3" w:rsidP="00A277E3">
      <w:pPr>
        <w:pStyle w:val="vnitrniText"/>
        <w:widowControl/>
        <w:rPr>
          <w:rFonts w:ascii="Arial" w:hAnsi="Arial" w:cs="Arial"/>
          <w:sz w:val="22"/>
          <w:szCs w:val="22"/>
        </w:rPr>
      </w:pPr>
      <w:r>
        <w:rPr>
          <w:rFonts w:ascii="Arial" w:hAnsi="Arial" w:cs="Arial"/>
          <w:sz w:val="22"/>
          <w:szCs w:val="22"/>
        </w:rPr>
        <w:t xml:space="preserve">4) </w:t>
      </w:r>
      <w:r w:rsidR="00467976" w:rsidRPr="0046797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467976" w:rsidRPr="00467976">
        <w:rPr>
          <w:rFonts w:ascii="Arial" w:hAnsi="Arial" w:cs="Arial"/>
          <w:sz w:val="22"/>
          <w:szCs w:val="22"/>
        </w:rPr>
        <w:t>v  souladu</w:t>
      </w:r>
      <w:proofErr w:type="gramEnd"/>
      <w:r w:rsidR="00467976" w:rsidRPr="00467976">
        <w:rPr>
          <w:rFonts w:ascii="Arial" w:hAnsi="Arial" w:cs="Arial"/>
          <w:sz w:val="22"/>
          <w:szCs w:val="22"/>
        </w:rPr>
        <w:t xml:space="preserve"> se zákonem</w:t>
      </w:r>
      <w:r w:rsidR="00467976" w:rsidRPr="00467976">
        <w:rPr>
          <w:sz w:val="22"/>
          <w:szCs w:val="22"/>
        </w:rPr>
        <w:t xml:space="preserve"> </w:t>
      </w:r>
      <w:r w:rsidR="00467976" w:rsidRPr="0046797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277E3" w:rsidRPr="000A26AB" w:rsidRDefault="00A277E3" w:rsidP="00A277E3">
      <w:pPr>
        <w:pStyle w:val="vnitrniText"/>
        <w:widowControl/>
        <w:rPr>
          <w:rFonts w:ascii="Arial" w:hAnsi="Arial" w:cs="Arial"/>
          <w:sz w:val="22"/>
          <w:szCs w:val="22"/>
        </w:rPr>
      </w:pPr>
    </w:p>
    <w:p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562C72"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10 odst. 4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 převedeny</w:t>
      </w:r>
      <w:r w:rsidR="00562C72" w:rsidRPr="000A26AB">
        <w:rPr>
          <w:rFonts w:ascii="Arial" w:hAnsi="Arial" w:cs="Arial"/>
          <w:sz w:val="22"/>
          <w:szCs w:val="22"/>
        </w:rPr>
        <w:t xml:space="preserve">. </w:t>
      </w:r>
    </w:p>
    <w:p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0A26AB"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rsidR="00136D24" w:rsidRPr="000A26AB" w:rsidRDefault="00136D24">
      <w:pPr>
        <w:widowControl/>
        <w:ind w:firstLine="426"/>
        <w:jc w:val="both"/>
        <w:rPr>
          <w:rFonts w:ascii="Arial" w:hAnsi="Arial" w:cs="Arial"/>
          <w:sz w:val="22"/>
          <w:szCs w:val="22"/>
        </w:rPr>
      </w:pPr>
    </w:p>
    <w:p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p>
    <w:p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 xml:space="preserve">V Českých Budějovicích dne </w:t>
      </w:r>
      <w:r w:rsidR="00193BF4">
        <w:rPr>
          <w:rFonts w:ascii="Arial" w:hAnsi="Arial" w:cs="Arial"/>
          <w:sz w:val="22"/>
          <w:szCs w:val="22"/>
        </w:rPr>
        <w:t xml:space="preserve">    12.12.2019</w:t>
      </w:r>
      <w:r w:rsidR="00193BF4">
        <w:rPr>
          <w:rFonts w:ascii="Arial" w:hAnsi="Arial" w:cs="Arial"/>
          <w:sz w:val="22"/>
          <w:szCs w:val="22"/>
        </w:rPr>
        <w:tab/>
      </w:r>
      <w:r w:rsidRPr="000A26AB">
        <w:rPr>
          <w:rFonts w:ascii="Arial" w:hAnsi="Arial" w:cs="Arial"/>
          <w:sz w:val="22"/>
          <w:szCs w:val="22"/>
        </w:rPr>
        <w:t>V</w:t>
      </w:r>
      <w:r w:rsidR="00074E2E">
        <w:rPr>
          <w:rFonts w:ascii="Arial" w:hAnsi="Arial" w:cs="Arial"/>
          <w:sz w:val="22"/>
          <w:szCs w:val="22"/>
        </w:rPr>
        <w:t> Českých Budějovicích</w:t>
      </w:r>
      <w:r w:rsidRPr="000A26AB">
        <w:rPr>
          <w:rFonts w:ascii="Arial" w:hAnsi="Arial" w:cs="Arial"/>
          <w:sz w:val="22"/>
          <w:szCs w:val="22"/>
        </w:rPr>
        <w:t xml:space="preserve"> dne </w:t>
      </w:r>
      <w:r w:rsidR="00193BF4">
        <w:rPr>
          <w:rFonts w:ascii="Arial" w:hAnsi="Arial" w:cs="Arial"/>
          <w:sz w:val="22"/>
          <w:szCs w:val="22"/>
        </w:rPr>
        <w:t>12.12.2019</w:t>
      </w: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MAVELA a.s. Dynín</w:t>
      </w:r>
    </w:p>
    <w:p w:rsidR="00074E2E"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r>
      <w:proofErr w:type="spellStart"/>
      <w:r w:rsidRPr="000A26AB">
        <w:rPr>
          <w:rFonts w:ascii="Arial" w:hAnsi="Arial" w:cs="Arial"/>
          <w:sz w:val="22"/>
          <w:szCs w:val="22"/>
        </w:rPr>
        <w:t>zast</w:t>
      </w:r>
      <w:proofErr w:type="spellEnd"/>
      <w:r w:rsidRPr="000A26AB">
        <w:rPr>
          <w:rFonts w:ascii="Arial" w:hAnsi="Arial" w:cs="Arial"/>
          <w:sz w:val="22"/>
          <w:szCs w:val="22"/>
        </w:rPr>
        <w:t xml:space="preserve">. předseda představenstva </w:t>
      </w:r>
    </w:p>
    <w:p w:rsidR="00136D24" w:rsidRPr="000A26AB" w:rsidRDefault="00074E2E" w:rsidP="00074E2E">
      <w:pPr>
        <w:widowControl/>
        <w:rPr>
          <w:rFonts w:ascii="Arial" w:hAnsi="Arial" w:cs="Arial"/>
          <w:sz w:val="22"/>
          <w:szCs w:val="22"/>
        </w:rPr>
      </w:pPr>
      <w:r w:rsidRPr="000A26AB">
        <w:rPr>
          <w:rFonts w:ascii="Arial" w:hAnsi="Arial" w:cs="Arial"/>
          <w:sz w:val="22"/>
          <w:szCs w:val="22"/>
        </w:rPr>
        <w:t xml:space="preserve">pro Jihočeský </w:t>
      </w:r>
      <w:proofErr w:type="gramStart"/>
      <w:r w:rsidRPr="000A26AB">
        <w:rPr>
          <w:rFonts w:ascii="Arial" w:hAnsi="Arial" w:cs="Arial"/>
          <w:sz w:val="22"/>
          <w:szCs w:val="22"/>
        </w:rPr>
        <w:t>kraj</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136D24" w:rsidRPr="000A26AB">
        <w:rPr>
          <w:rFonts w:ascii="Arial" w:hAnsi="Arial" w:cs="Arial"/>
          <w:sz w:val="22"/>
          <w:szCs w:val="22"/>
        </w:rPr>
        <w:t>Hradský Petr Ing.</w:t>
      </w:r>
    </w:p>
    <w:p w:rsidR="00136D24" w:rsidRPr="000A26AB" w:rsidRDefault="00074E2E">
      <w:pPr>
        <w:widowControl/>
        <w:ind w:left="5104" w:hanging="5104"/>
        <w:rPr>
          <w:rFonts w:ascii="Arial" w:hAnsi="Arial" w:cs="Arial"/>
          <w:sz w:val="22"/>
          <w:szCs w:val="22"/>
        </w:rPr>
      </w:pPr>
      <w:r w:rsidRPr="000A26AB">
        <w:rPr>
          <w:rFonts w:ascii="Arial" w:hAnsi="Arial" w:cs="Arial"/>
          <w:sz w:val="22"/>
          <w:szCs w:val="22"/>
        </w:rPr>
        <w:t xml:space="preserve">Ing. Eva </w:t>
      </w:r>
      <w:proofErr w:type="spellStart"/>
      <w:r w:rsidRPr="000A26AB">
        <w:rPr>
          <w:rFonts w:ascii="Arial" w:hAnsi="Arial" w:cs="Arial"/>
          <w:sz w:val="22"/>
          <w:szCs w:val="22"/>
        </w:rPr>
        <w:t>Schmidtmajerová</w:t>
      </w:r>
      <w:proofErr w:type="spellEnd"/>
      <w:r w:rsidRPr="000A26AB">
        <w:rPr>
          <w:rFonts w:ascii="Arial" w:hAnsi="Arial" w:cs="Arial"/>
          <w:sz w:val="22"/>
          <w:szCs w:val="22"/>
        </w:rPr>
        <w:t>, CSc.</w:t>
      </w:r>
      <w:r w:rsidR="00136D24" w:rsidRPr="000A26AB">
        <w:rPr>
          <w:rFonts w:ascii="Arial" w:hAnsi="Arial" w:cs="Arial"/>
          <w:sz w:val="22"/>
          <w:szCs w:val="22"/>
        </w:rPr>
        <w:tab/>
        <w:t>kupující</w:t>
      </w:r>
    </w:p>
    <w:p w:rsidR="00136D24" w:rsidRPr="000A26AB" w:rsidRDefault="00074E2E">
      <w:pPr>
        <w:widowControl/>
        <w:ind w:left="5104" w:hanging="5104"/>
        <w:rPr>
          <w:rFonts w:ascii="Arial" w:hAnsi="Arial" w:cs="Arial"/>
          <w:sz w:val="22"/>
          <w:szCs w:val="22"/>
        </w:rPr>
      </w:pPr>
      <w:r w:rsidRPr="000A26AB">
        <w:rPr>
          <w:rFonts w:ascii="Arial" w:hAnsi="Arial" w:cs="Arial"/>
          <w:sz w:val="22"/>
          <w:szCs w:val="22"/>
        </w:rPr>
        <w:t>prodávající</w:t>
      </w:r>
      <w:r w:rsidR="00136D24" w:rsidRPr="000A26AB">
        <w:rPr>
          <w:rFonts w:ascii="Arial" w:hAnsi="Arial" w:cs="Arial"/>
          <w:sz w:val="22"/>
          <w:szCs w:val="22"/>
        </w:rPr>
        <w:tab/>
      </w:r>
    </w:p>
    <w:p w:rsidR="00136D24" w:rsidRPr="000A26AB" w:rsidRDefault="00136D24">
      <w:pPr>
        <w:widowControl/>
        <w:ind w:left="5104" w:hanging="5104"/>
        <w:rPr>
          <w:rFonts w:ascii="Arial" w:hAnsi="Arial" w:cs="Arial"/>
          <w:sz w:val="22"/>
          <w:szCs w:val="22"/>
        </w:rPr>
      </w:pPr>
      <w:r w:rsidRPr="000A26AB">
        <w:rPr>
          <w:rFonts w:ascii="Arial" w:hAnsi="Arial" w:cs="Arial"/>
          <w:sz w:val="22"/>
          <w:szCs w:val="22"/>
        </w:rPr>
        <w:tab/>
      </w:r>
    </w:p>
    <w:p w:rsidR="00136D24" w:rsidRPr="000A26AB" w:rsidRDefault="00136D24">
      <w:pPr>
        <w:widowControl/>
        <w:rPr>
          <w:rFonts w:ascii="Arial" w:hAnsi="Arial" w:cs="Arial"/>
          <w:sz w:val="22"/>
          <w:szCs w:val="22"/>
        </w:rPr>
      </w:pPr>
    </w:p>
    <w:p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2979005, 2979105, 2979205, 3021805</w:t>
      </w:r>
      <w:r w:rsidRPr="000A26AB">
        <w:rPr>
          <w:rFonts w:ascii="Arial" w:hAnsi="Arial" w:cs="Arial"/>
          <w:color w:val="000000"/>
          <w:sz w:val="22"/>
          <w:szCs w:val="22"/>
        </w:rPr>
        <w:br/>
      </w:r>
    </w:p>
    <w:p w:rsidR="00136D24" w:rsidRPr="000A26AB" w:rsidRDefault="00136D24">
      <w:pPr>
        <w:widowControl/>
        <w:jc w:val="both"/>
        <w:rPr>
          <w:rFonts w:ascii="Arial" w:hAnsi="Arial" w:cs="Arial"/>
          <w:sz w:val="22"/>
          <w:szCs w:val="22"/>
        </w:rPr>
      </w:pPr>
    </w:p>
    <w:p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Jihočeský kraj</w:t>
      </w:r>
    </w:p>
    <w:p w:rsidR="008C265A" w:rsidRPr="000A26AB" w:rsidRDefault="008C265A" w:rsidP="008C265A">
      <w:pPr>
        <w:widowControl/>
        <w:rPr>
          <w:rFonts w:ascii="Arial" w:hAnsi="Arial" w:cs="Arial"/>
          <w:sz w:val="22"/>
          <w:szCs w:val="22"/>
        </w:rPr>
      </w:pPr>
      <w:r w:rsidRPr="000A26AB">
        <w:rPr>
          <w:rFonts w:ascii="Arial" w:hAnsi="Arial" w:cs="Arial"/>
          <w:sz w:val="22"/>
          <w:szCs w:val="22"/>
        </w:rPr>
        <w:t>Ing. Mgr. Miroslav Šimek</w:t>
      </w:r>
    </w:p>
    <w:p w:rsidR="008C265A" w:rsidRPr="000A26AB" w:rsidRDefault="008C265A" w:rsidP="008C265A">
      <w:pPr>
        <w:widowControl/>
        <w:rPr>
          <w:rFonts w:ascii="Arial" w:hAnsi="Arial" w:cs="Arial"/>
          <w:sz w:val="22"/>
          <w:szCs w:val="22"/>
        </w:rPr>
      </w:pPr>
    </w:p>
    <w:p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rsidR="008C265A" w:rsidRPr="000A26AB" w:rsidRDefault="008C265A">
      <w:pPr>
        <w:widowControl/>
        <w:tabs>
          <w:tab w:val="left" w:pos="120"/>
        </w:tabs>
        <w:jc w:val="both"/>
        <w:rPr>
          <w:rFonts w:ascii="Arial" w:hAnsi="Arial" w:cs="Arial"/>
          <w:sz w:val="22"/>
          <w:szCs w:val="22"/>
        </w:rPr>
      </w:pPr>
    </w:p>
    <w:p w:rsidR="00074E2E" w:rsidRDefault="00074E2E">
      <w:pPr>
        <w:widowControl/>
        <w:tabs>
          <w:tab w:val="left" w:pos="120"/>
        </w:tabs>
        <w:jc w:val="both"/>
        <w:rPr>
          <w:rFonts w:ascii="Arial" w:hAnsi="Arial" w:cs="Arial"/>
          <w:sz w:val="22"/>
          <w:szCs w:val="22"/>
        </w:rPr>
      </w:pPr>
    </w:p>
    <w:p w:rsidR="00074E2E" w:rsidRDefault="00074E2E">
      <w:pPr>
        <w:widowControl/>
        <w:tabs>
          <w:tab w:val="left" w:pos="120"/>
        </w:tabs>
        <w:jc w:val="both"/>
        <w:rPr>
          <w:rFonts w:ascii="Arial" w:hAnsi="Arial" w:cs="Arial"/>
          <w:sz w:val="22"/>
          <w:szCs w:val="22"/>
        </w:rPr>
      </w:pPr>
    </w:p>
    <w:p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t xml:space="preserve">Za správnost: </w:t>
      </w:r>
      <w:r w:rsidRPr="000A26AB">
        <w:rPr>
          <w:rFonts w:ascii="Arial" w:hAnsi="Arial" w:cs="Arial"/>
          <w:color w:val="000000"/>
          <w:sz w:val="22"/>
          <w:szCs w:val="22"/>
        </w:rPr>
        <w:t>Ing. Tomáš Němec</w:t>
      </w:r>
    </w:p>
    <w:p w:rsidR="00136D24" w:rsidRPr="000A26AB" w:rsidRDefault="00136D24">
      <w:pPr>
        <w:widowControl/>
        <w:jc w:val="both"/>
        <w:rPr>
          <w:rFonts w:ascii="Arial" w:hAnsi="Arial" w:cs="Arial"/>
          <w:sz w:val="22"/>
          <w:szCs w:val="22"/>
        </w:rPr>
      </w:pPr>
    </w:p>
    <w:p w:rsidR="00136D24" w:rsidRPr="000A26AB" w:rsidRDefault="00136D24">
      <w:pPr>
        <w:widowControl/>
        <w:jc w:val="both"/>
        <w:rPr>
          <w:rFonts w:ascii="Arial" w:hAnsi="Arial" w:cs="Arial"/>
          <w:sz w:val="22"/>
          <w:szCs w:val="22"/>
        </w:rPr>
      </w:pPr>
      <w:r w:rsidRPr="000A26AB">
        <w:rPr>
          <w:rFonts w:ascii="Arial" w:hAnsi="Arial" w:cs="Arial"/>
          <w:sz w:val="22"/>
          <w:szCs w:val="22"/>
        </w:rPr>
        <w:t>.......................................</w:t>
      </w:r>
    </w:p>
    <w:p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rsidR="00CD75A6" w:rsidRPr="000A26AB" w:rsidRDefault="00CD75A6" w:rsidP="00CD75A6">
      <w:pPr>
        <w:widowControl/>
        <w:rPr>
          <w:rFonts w:ascii="Arial" w:hAnsi="Arial" w:cs="Arial"/>
          <w:sz w:val="22"/>
          <w:szCs w:val="22"/>
        </w:rPr>
      </w:pPr>
    </w:p>
    <w:p w:rsidR="00CD75A6" w:rsidRPr="000A26AB" w:rsidRDefault="00CD75A6" w:rsidP="00CD75A6">
      <w:pPr>
        <w:widowControl/>
        <w:rPr>
          <w:rFonts w:ascii="Arial" w:hAnsi="Arial" w:cs="Arial"/>
          <w:sz w:val="22"/>
          <w:szCs w:val="22"/>
        </w:rPr>
      </w:pPr>
    </w:p>
    <w:p w:rsidR="00CD75A6" w:rsidRPr="000A26AB" w:rsidRDefault="00CD75A6" w:rsidP="00CD75A6">
      <w:pPr>
        <w:widowControl/>
        <w:jc w:val="both"/>
        <w:rPr>
          <w:rFonts w:ascii="Arial" w:hAnsi="Arial" w:cs="Arial"/>
          <w:sz w:val="22"/>
          <w:szCs w:val="22"/>
        </w:rPr>
      </w:pPr>
    </w:p>
    <w:p w:rsidR="00074E2E" w:rsidRDefault="00074E2E"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lastRenderedPageBreak/>
        <w:t xml:space="preserve">Tato smlouva byla uveřejněna </w:t>
      </w:r>
      <w:r w:rsidR="00842ADC" w:rsidRPr="000A26AB">
        <w:rPr>
          <w:rFonts w:ascii="Arial" w:hAnsi="Arial" w:cs="Arial"/>
          <w:sz w:val="22"/>
          <w:szCs w:val="22"/>
        </w:rPr>
        <w:t>v Registru</w:t>
      </w:r>
    </w:p>
    <w:p w:rsidR="00CD75A6" w:rsidRPr="000A26AB" w:rsidRDefault="00CD75A6" w:rsidP="00CD75A6">
      <w:pPr>
        <w:jc w:val="both"/>
        <w:rPr>
          <w:rFonts w:ascii="Arial" w:hAnsi="Arial" w:cs="Arial"/>
          <w:sz w:val="22"/>
          <w:szCs w:val="22"/>
        </w:rPr>
      </w:pPr>
      <w:r w:rsidRPr="000A26AB">
        <w:rPr>
          <w:rFonts w:ascii="Arial" w:hAnsi="Arial" w:cs="Arial"/>
          <w:sz w:val="22"/>
          <w:szCs w:val="22"/>
        </w:rPr>
        <w:t>smluv, vedeném dle zákona č. 340/2015 Sb.,</w:t>
      </w:r>
    </w:p>
    <w:p w:rsidR="00CD75A6" w:rsidRPr="000A26AB" w:rsidRDefault="00CD75A6" w:rsidP="00CD75A6">
      <w:pPr>
        <w:jc w:val="both"/>
        <w:rPr>
          <w:rFonts w:ascii="Arial" w:hAnsi="Arial" w:cs="Arial"/>
          <w:sz w:val="22"/>
          <w:szCs w:val="22"/>
        </w:rPr>
      </w:pPr>
      <w:r w:rsidRPr="000A26AB">
        <w:rPr>
          <w:rFonts w:ascii="Arial" w:hAnsi="Arial" w:cs="Arial"/>
          <w:sz w:val="22"/>
          <w:szCs w:val="22"/>
        </w:rPr>
        <w:t>o registru smluv, dne</w:t>
      </w:r>
    </w:p>
    <w:p w:rsidR="00CD75A6" w:rsidRPr="000A26AB" w:rsidRDefault="00CD75A6" w:rsidP="00CD75A6">
      <w:pPr>
        <w:jc w:val="both"/>
        <w:rPr>
          <w:rFonts w:ascii="Arial" w:hAnsi="Arial" w:cs="Arial"/>
          <w:sz w:val="22"/>
          <w:szCs w:val="22"/>
        </w:rPr>
      </w:pPr>
    </w:p>
    <w:p w:rsidR="00CD75A6" w:rsidRPr="000A26AB" w:rsidRDefault="00CD75A6" w:rsidP="00CD75A6">
      <w:pPr>
        <w:jc w:val="both"/>
        <w:rPr>
          <w:rFonts w:ascii="Arial" w:hAnsi="Arial" w:cs="Arial"/>
          <w:sz w:val="22"/>
          <w:szCs w:val="22"/>
        </w:rPr>
      </w:pPr>
      <w:r w:rsidRPr="000A26AB">
        <w:rPr>
          <w:rFonts w:ascii="Arial" w:hAnsi="Arial" w:cs="Arial"/>
          <w:sz w:val="22"/>
          <w:szCs w:val="22"/>
        </w:rPr>
        <w:t>………………………</w:t>
      </w:r>
    </w:p>
    <w:p w:rsidR="00CD75A6" w:rsidRPr="000A26AB" w:rsidRDefault="00CD75A6" w:rsidP="00CD75A6">
      <w:pPr>
        <w:jc w:val="both"/>
        <w:rPr>
          <w:rFonts w:ascii="Arial" w:hAnsi="Arial" w:cs="Arial"/>
          <w:sz w:val="22"/>
          <w:szCs w:val="22"/>
        </w:rPr>
      </w:pPr>
      <w:r w:rsidRPr="000A26AB">
        <w:rPr>
          <w:rFonts w:ascii="Arial" w:hAnsi="Arial" w:cs="Arial"/>
          <w:sz w:val="22"/>
          <w:szCs w:val="22"/>
        </w:rPr>
        <w:t>datum registrace</w:t>
      </w:r>
    </w:p>
    <w:p w:rsidR="00CD75A6" w:rsidRPr="000A26AB" w:rsidRDefault="00CD75A6" w:rsidP="00CD75A6">
      <w:pPr>
        <w:jc w:val="both"/>
        <w:rPr>
          <w:rFonts w:ascii="Arial" w:hAnsi="Arial" w:cs="Arial"/>
          <w:i/>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ID smlouvy</w:t>
      </w:r>
    </w:p>
    <w:p w:rsidR="00A277E3" w:rsidRDefault="00A277E3" w:rsidP="00A277E3">
      <w:pPr>
        <w:jc w:val="both"/>
        <w:rPr>
          <w:rFonts w:ascii="Arial" w:hAnsi="Arial" w:cs="Arial"/>
          <w:color w:val="FF0000"/>
          <w:sz w:val="22"/>
          <w:szCs w:val="22"/>
        </w:rPr>
      </w:pPr>
    </w:p>
    <w:p w:rsidR="00A277E3" w:rsidRDefault="00A277E3" w:rsidP="00A277E3">
      <w:pPr>
        <w:jc w:val="both"/>
        <w:rPr>
          <w:rFonts w:ascii="Arial" w:hAnsi="Arial" w:cs="Arial"/>
          <w:sz w:val="22"/>
          <w:szCs w:val="22"/>
        </w:rPr>
      </w:pPr>
      <w:r>
        <w:rPr>
          <w:rFonts w:ascii="Arial" w:hAnsi="Arial" w:cs="Arial"/>
          <w:sz w:val="22"/>
          <w:szCs w:val="22"/>
        </w:rPr>
        <w:t>………………………</w:t>
      </w:r>
    </w:p>
    <w:p w:rsidR="00A277E3" w:rsidRDefault="00A277E3" w:rsidP="00A277E3">
      <w:pPr>
        <w:jc w:val="both"/>
        <w:rPr>
          <w:rFonts w:ascii="Arial" w:hAnsi="Arial" w:cs="Arial"/>
          <w:sz w:val="22"/>
          <w:szCs w:val="22"/>
        </w:rPr>
      </w:pPr>
      <w:r>
        <w:rPr>
          <w:rFonts w:ascii="Arial" w:hAnsi="Arial" w:cs="Arial"/>
          <w:sz w:val="22"/>
          <w:szCs w:val="22"/>
        </w:rPr>
        <w:t>ID verze</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w:t>
      </w:r>
    </w:p>
    <w:p w:rsidR="00052C6E" w:rsidRPr="000A26AB" w:rsidRDefault="00052C6E" w:rsidP="00052C6E">
      <w:pPr>
        <w:jc w:val="both"/>
        <w:rPr>
          <w:rFonts w:ascii="Arial" w:hAnsi="Arial" w:cs="Arial"/>
          <w:sz w:val="22"/>
          <w:szCs w:val="22"/>
        </w:rPr>
      </w:pPr>
      <w:r w:rsidRPr="000A26AB">
        <w:rPr>
          <w:rFonts w:ascii="Arial" w:hAnsi="Arial" w:cs="Arial"/>
          <w:sz w:val="22"/>
          <w:szCs w:val="22"/>
        </w:rPr>
        <w:t>registraci provedl</w:t>
      </w: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p>
    <w:p w:rsidR="00052C6E" w:rsidRPr="000A26AB" w:rsidRDefault="00052C6E" w:rsidP="00052C6E">
      <w:pPr>
        <w:jc w:val="both"/>
        <w:rPr>
          <w:rFonts w:ascii="Arial" w:hAnsi="Arial" w:cs="Arial"/>
          <w:sz w:val="22"/>
          <w:szCs w:val="22"/>
        </w:rPr>
      </w:pPr>
      <w:r w:rsidRPr="000A26AB">
        <w:rPr>
          <w:rFonts w:ascii="Arial" w:hAnsi="Arial" w:cs="Arial"/>
          <w:sz w:val="22"/>
          <w:szCs w:val="22"/>
        </w:rPr>
        <w:t>V …………</w:t>
      </w:r>
      <w:proofErr w:type="gramStart"/>
      <w:r w:rsidRPr="000A26AB">
        <w:rPr>
          <w:rFonts w:ascii="Arial" w:hAnsi="Arial" w:cs="Arial"/>
          <w:sz w:val="22"/>
          <w:szCs w:val="22"/>
        </w:rPr>
        <w:t>…….</w:t>
      </w:r>
      <w:proofErr w:type="gramEnd"/>
      <w:r w:rsidRPr="000A26AB">
        <w:rPr>
          <w:rFonts w:ascii="Arial" w:hAnsi="Arial" w:cs="Arial"/>
          <w:sz w:val="22"/>
          <w:szCs w:val="22"/>
        </w:rPr>
        <w:t>.</w:t>
      </w:r>
      <w:r w:rsidRPr="000A26AB">
        <w:rPr>
          <w:rFonts w:ascii="Arial" w:hAnsi="Arial" w:cs="Arial"/>
          <w:sz w:val="22"/>
          <w:szCs w:val="22"/>
        </w:rPr>
        <w:tab/>
      </w:r>
      <w:r w:rsidRPr="000A26AB">
        <w:rPr>
          <w:rFonts w:ascii="Arial" w:hAnsi="Arial" w:cs="Arial"/>
          <w:sz w:val="22"/>
          <w:szCs w:val="22"/>
        </w:rPr>
        <w:tab/>
        <w:t>……………………………….</w:t>
      </w:r>
    </w:p>
    <w:p w:rsidR="00052C6E" w:rsidRPr="000A26AB" w:rsidRDefault="00052C6E" w:rsidP="00052C6E">
      <w:pPr>
        <w:tabs>
          <w:tab w:val="left" w:pos="3402"/>
        </w:tabs>
        <w:jc w:val="both"/>
        <w:rPr>
          <w:rFonts w:ascii="Arial" w:hAnsi="Arial" w:cs="Arial"/>
          <w:sz w:val="22"/>
          <w:szCs w:val="22"/>
        </w:rPr>
      </w:pPr>
      <w:r w:rsidRPr="000A26AB">
        <w:rPr>
          <w:rFonts w:ascii="Arial" w:hAnsi="Arial" w:cs="Arial"/>
          <w:sz w:val="22"/>
          <w:szCs w:val="22"/>
        </w:rPr>
        <w:tab/>
        <w:t>podpis odpovědného</w:t>
      </w:r>
    </w:p>
    <w:p w:rsidR="00CD75A6" w:rsidRPr="000A26AB" w:rsidRDefault="00CD75A6" w:rsidP="00CD75A6">
      <w:pPr>
        <w:tabs>
          <w:tab w:val="left" w:pos="3402"/>
        </w:tabs>
        <w:jc w:val="both"/>
        <w:rPr>
          <w:rFonts w:ascii="Arial" w:hAnsi="Arial" w:cs="Arial"/>
          <w:sz w:val="22"/>
          <w:szCs w:val="22"/>
        </w:rPr>
      </w:pPr>
      <w:r w:rsidRPr="000A26AB">
        <w:rPr>
          <w:rFonts w:ascii="Arial" w:hAnsi="Arial" w:cs="Arial"/>
          <w:sz w:val="22"/>
          <w:szCs w:val="22"/>
        </w:rPr>
        <w:t>dne ………………</w:t>
      </w:r>
      <w:r w:rsidRPr="000A26AB">
        <w:rPr>
          <w:rFonts w:ascii="Arial" w:hAnsi="Arial" w:cs="Arial"/>
          <w:sz w:val="22"/>
          <w:szCs w:val="22"/>
        </w:rPr>
        <w:tab/>
        <w:t>zaměstnance</w:t>
      </w:r>
    </w:p>
    <w:p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E2E" w:rsidRDefault="00074E2E">
      <w:r>
        <w:separator/>
      </w:r>
    </w:p>
  </w:endnote>
  <w:endnote w:type="continuationSeparator" w:id="0">
    <w:p w:rsidR="00074E2E" w:rsidRDefault="0007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E2E" w:rsidRDefault="00074E2E">
      <w:r>
        <w:separator/>
      </w:r>
    </w:p>
  </w:footnote>
  <w:footnote w:type="continuationSeparator" w:id="0">
    <w:p w:rsidR="00074E2E" w:rsidRDefault="0007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52C6E"/>
    <w:rsid w:val="00074E2E"/>
    <w:rsid w:val="000A26AB"/>
    <w:rsid w:val="000B4F47"/>
    <w:rsid w:val="000D38CD"/>
    <w:rsid w:val="00136D24"/>
    <w:rsid w:val="00173C52"/>
    <w:rsid w:val="0019321D"/>
    <w:rsid w:val="00193BF4"/>
    <w:rsid w:val="001A65E1"/>
    <w:rsid w:val="00205461"/>
    <w:rsid w:val="002055A2"/>
    <w:rsid w:val="0023011E"/>
    <w:rsid w:val="002359DB"/>
    <w:rsid w:val="002750DE"/>
    <w:rsid w:val="00303F00"/>
    <w:rsid w:val="00322338"/>
    <w:rsid w:val="003237EF"/>
    <w:rsid w:val="00371BEF"/>
    <w:rsid w:val="00417673"/>
    <w:rsid w:val="0043604A"/>
    <w:rsid w:val="00465601"/>
    <w:rsid w:val="00467976"/>
    <w:rsid w:val="004A7F09"/>
    <w:rsid w:val="00562C72"/>
    <w:rsid w:val="0056566C"/>
    <w:rsid w:val="005A7486"/>
    <w:rsid w:val="005C47E0"/>
    <w:rsid w:val="0062466E"/>
    <w:rsid w:val="00625710"/>
    <w:rsid w:val="00634F8F"/>
    <w:rsid w:val="006356A1"/>
    <w:rsid w:val="00643661"/>
    <w:rsid w:val="006917C4"/>
    <w:rsid w:val="0069488F"/>
    <w:rsid w:val="006B26DB"/>
    <w:rsid w:val="006D719F"/>
    <w:rsid w:val="00712BA6"/>
    <w:rsid w:val="00722FCE"/>
    <w:rsid w:val="00724A2B"/>
    <w:rsid w:val="007E3A0A"/>
    <w:rsid w:val="007F0632"/>
    <w:rsid w:val="007F4AFB"/>
    <w:rsid w:val="00822906"/>
    <w:rsid w:val="00831AF0"/>
    <w:rsid w:val="00842ADC"/>
    <w:rsid w:val="00864044"/>
    <w:rsid w:val="00881E28"/>
    <w:rsid w:val="00885D35"/>
    <w:rsid w:val="008C265A"/>
    <w:rsid w:val="00944D59"/>
    <w:rsid w:val="00984A46"/>
    <w:rsid w:val="00A277E3"/>
    <w:rsid w:val="00A31C3B"/>
    <w:rsid w:val="00A31FE2"/>
    <w:rsid w:val="00A439D2"/>
    <w:rsid w:val="00A75050"/>
    <w:rsid w:val="00A84EFA"/>
    <w:rsid w:val="00AD0A43"/>
    <w:rsid w:val="00B201D6"/>
    <w:rsid w:val="00B56780"/>
    <w:rsid w:val="00BA4773"/>
    <w:rsid w:val="00C02AD1"/>
    <w:rsid w:val="00C06373"/>
    <w:rsid w:val="00C70A46"/>
    <w:rsid w:val="00C9419D"/>
    <w:rsid w:val="00CD75A6"/>
    <w:rsid w:val="00D4440D"/>
    <w:rsid w:val="00D63429"/>
    <w:rsid w:val="00D65B9D"/>
    <w:rsid w:val="00DF4204"/>
    <w:rsid w:val="00E26F89"/>
    <w:rsid w:val="00E66585"/>
    <w:rsid w:val="00E85DC1"/>
    <w:rsid w:val="00EC3E05"/>
    <w:rsid w:val="00F357C4"/>
    <w:rsid w:val="00F56819"/>
    <w:rsid w:val="00F629A0"/>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B370A"/>
  <w14:defaultImageDpi w14:val="0"/>
  <w15:docId w15:val="{F03EE10F-27AA-4BAF-9C03-C5CEA2F1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910715">
      <w:marLeft w:val="0"/>
      <w:marRight w:val="0"/>
      <w:marTop w:val="0"/>
      <w:marBottom w:val="0"/>
      <w:divBdr>
        <w:top w:val="none" w:sz="0" w:space="0" w:color="auto"/>
        <w:left w:val="none" w:sz="0" w:space="0" w:color="auto"/>
        <w:bottom w:val="none" w:sz="0" w:space="0" w:color="auto"/>
        <w:right w:val="none" w:sz="0" w:space="0" w:color="auto"/>
      </w:divBdr>
    </w:div>
    <w:div w:id="1493910716">
      <w:marLeft w:val="0"/>
      <w:marRight w:val="0"/>
      <w:marTop w:val="0"/>
      <w:marBottom w:val="0"/>
      <w:divBdr>
        <w:top w:val="none" w:sz="0" w:space="0" w:color="auto"/>
        <w:left w:val="none" w:sz="0" w:space="0" w:color="auto"/>
        <w:bottom w:val="none" w:sz="0" w:space="0" w:color="auto"/>
        <w:right w:val="none" w:sz="0" w:space="0" w:color="auto"/>
      </w:divBdr>
    </w:div>
    <w:div w:id="1493910717">
      <w:marLeft w:val="0"/>
      <w:marRight w:val="0"/>
      <w:marTop w:val="0"/>
      <w:marBottom w:val="0"/>
      <w:divBdr>
        <w:top w:val="none" w:sz="0" w:space="0" w:color="auto"/>
        <w:left w:val="none" w:sz="0" w:space="0" w:color="auto"/>
        <w:bottom w:val="none" w:sz="0" w:space="0" w:color="auto"/>
        <w:right w:val="none" w:sz="0" w:space="0" w:color="auto"/>
      </w:divBdr>
    </w:div>
    <w:div w:id="1493910718">
      <w:marLeft w:val="0"/>
      <w:marRight w:val="0"/>
      <w:marTop w:val="0"/>
      <w:marBottom w:val="0"/>
      <w:divBdr>
        <w:top w:val="none" w:sz="0" w:space="0" w:color="auto"/>
        <w:left w:val="none" w:sz="0" w:space="0" w:color="auto"/>
        <w:bottom w:val="none" w:sz="0" w:space="0" w:color="auto"/>
        <w:right w:val="none" w:sz="0" w:space="0" w:color="auto"/>
      </w:divBdr>
    </w:div>
    <w:div w:id="1493910719">
      <w:marLeft w:val="0"/>
      <w:marRight w:val="0"/>
      <w:marTop w:val="0"/>
      <w:marBottom w:val="0"/>
      <w:divBdr>
        <w:top w:val="none" w:sz="0" w:space="0" w:color="auto"/>
        <w:left w:val="none" w:sz="0" w:space="0" w:color="auto"/>
        <w:bottom w:val="none" w:sz="0" w:space="0" w:color="auto"/>
        <w:right w:val="none" w:sz="0" w:space="0" w:color="auto"/>
      </w:divBdr>
    </w:div>
    <w:div w:id="1493910720">
      <w:marLeft w:val="0"/>
      <w:marRight w:val="0"/>
      <w:marTop w:val="0"/>
      <w:marBottom w:val="0"/>
      <w:divBdr>
        <w:top w:val="none" w:sz="0" w:space="0" w:color="auto"/>
        <w:left w:val="none" w:sz="0" w:space="0" w:color="auto"/>
        <w:bottom w:val="none" w:sz="0" w:space="0" w:color="auto"/>
        <w:right w:val="none" w:sz="0" w:space="0" w:color="auto"/>
      </w:divBdr>
    </w:div>
    <w:div w:id="14939107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7382</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2000-06-22T10:13:00Z</cp:lastPrinted>
  <dcterms:created xsi:type="dcterms:W3CDTF">2019-12-16T07:09:00Z</dcterms:created>
  <dcterms:modified xsi:type="dcterms:W3CDTF">2019-12-16T07:09:00Z</dcterms:modified>
</cp:coreProperties>
</file>