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78" w:rsidRPr="00D45AE3" w:rsidRDefault="00733778" w:rsidP="00733778">
      <w:pPr>
        <w:tabs>
          <w:tab w:val="left" w:pos="1515"/>
        </w:tabs>
        <w:jc w:val="center"/>
        <w:rPr>
          <w:rFonts w:ascii="Segoe UI" w:hAnsi="Segoe UI" w:cs="Segoe UI"/>
          <w:b/>
        </w:rPr>
      </w:pPr>
      <w:r w:rsidRPr="00D45AE3">
        <w:rPr>
          <w:rFonts w:ascii="Segoe UI" w:hAnsi="Segoe UI" w:cs="Segoe UI"/>
          <w:b/>
        </w:rPr>
        <w:t xml:space="preserve">JEDNACÍ ŘÁD PORTÁLU ZP </w:t>
      </w:r>
    </w:p>
    <w:p w:rsidR="00733778" w:rsidRPr="00D45AE3" w:rsidRDefault="00733778" w:rsidP="00733778">
      <w:pPr>
        <w:spacing w:after="0" w:line="240" w:lineRule="auto"/>
        <w:jc w:val="center"/>
        <w:rPr>
          <w:rFonts w:ascii="Segoe UI" w:eastAsia="Times New Roman" w:hAnsi="Segoe UI" w:cs="Segoe UI"/>
          <w:b/>
          <w:lang w:eastAsia="cs-CZ"/>
        </w:rPr>
      </w:pPr>
      <w:r w:rsidRPr="00D45AE3">
        <w:rPr>
          <w:rFonts w:ascii="Segoe UI" w:hAnsi="Segoe UI" w:cs="Segoe UI"/>
          <w:b/>
        </w:rPr>
        <w:t>(verze 3.0)</w:t>
      </w:r>
    </w:p>
    <w:p w:rsidR="00733778" w:rsidRPr="00D45AE3" w:rsidRDefault="00733778" w:rsidP="00733778">
      <w:pPr>
        <w:spacing w:before="120" w:after="0" w:line="240" w:lineRule="auto"/>
        <w:jc w:val="both"/>
        <w:rPr>
          <w:rFonts w:ascii="Segoe UI" w:eastAsia="Times New Roman" w:hAnsi="Segoe UI" w:cs="Segoe UI"/>
          <w:snapToGrid w:val="0"/>
          <w:lang w:eastAsia="cs-CZ"/>
        </w:rPr>
      </w:pPr>
      <w:r w:rsidRPr="00D45AE3">
        <w:rPr>
          <w:rFonts w:ascii="Segoe UI" w:eastAsia="Times New Roman" w:hAnsi="Segoe UI" w:cs="Segoe UI"/>
          <w:snapToGrid w:val="0"/>
          <w:lang w:eastAsia="cs-CZ"/>
        </w:rPr>
        <w:t xml:space="preserve">Jednací řád obsahuje postup a způsob vyhodnocení a řešení provozních nedostatků, které se dotýkají výpadků provozu Portálu ZP, způsobených Provozovatelem i mimo působnost Provozovatele, podrobná specifikace je v následujících kapitolách. </w:t>
      </w:r>
    </w:p>
    <w:p w:rsidR="00733778" w:rsidRPr="00D45AE3" w:rsidRDefault="00733778" w:rsidP="00733778">
      <w:pPr>
        <w:spacing w:after="0" w:line="240" w:lineRule="auto"/>
        <w:ind w:left="360"/>
        <w:jc w:val="center"/>
        <w:rPr>
          <w:rFonts w:ascii="Segoe UI" w:eastAsia="Times New Roman" w:hAnsi="Segoe UI" w:cs="Segoe UI"/>
          <w:b/>
          <w:lang w:eastAsia="cs-CZ"/>
        </w:rPr>
      </w:pPr>
    </w:p>
    <w:p w:rsidR="00733778" w:rsidRPr="00D45AE3" w:rsidRDefault="00733778" w:rsidP="00733778">
      <w:pPr>
        <w:spacing w:after="0" w:line="240" w:lineRule="auto"/>
        <w:jc w:val="center"/>
        <w:rPr>
          <w:rFonts w:ascii="Segoe UI" w:eastAsia="Times New Roman" w:hAnsi="Segoe UI" w:cs="Segoe UI"/>
          <w:b/>
          <w:lang w:eastAsia="cs-CZ"/>
        </w:rPr>
      </w:pPr>
      <w:r w:rsidRPr="00D45AE3">
        <w:rPr>
          <w:rFonts w:ascii="Segoe UI" w:eastAsia="Times New Roman" w:hAnsi="Segoe UI" w:cs="Segoe UI"/>
          <w:b/>
          <w:lang w:eastAsia="cs-CZ"/>
        </w:rPr>
        <w:t xml:space="preserve">Postup a způsob vyhodnocení a řešení nahlášených provozních nedostatků </w:t>
      </w:r>
    </w:p>
    <w:p w:rsidR="00733778" w:rsidRPr="00D45AE3" w:rsidRDefault="00733778" w:rsidP="00733778">
      <w:pPr>
        <w:spacing w:after="0" w:line="240" w:lineRule="auto"/>
        <w:jc w:val="center"/>
        <w:rPr>
          <w:rFonts w:ascii="Segoe UI" w:eastAsia="Times New Roman" w:hAnsi="Segoe UI" w:cs="Segoe UI"/>
          <w:b/>
          <w:lang w:eastAsia="cs-CZ"/>
        </w:rPr>
      </w:pPr>
      <w:r w:rsidRPr="00D45AE3">
        <w:rPr>
          <w:rFonts w:ascii="Segoe UI" w:eastAsia="Times New Roman" w:hAnsi="Segoe UI" w:cs="Segoe UI"/>
          <w:b/>
          <w:lang w:eastAsia="cs-CZ"/>
        </w:rPr>
        <w:t>v rámci jednání Řídící rady Portálu ZP</w:t>
      </w:r>
    </w:p>
    <w:p w:rsidR="00733778" w:rsidRPr="00D45AE3" w:rsidRDefault="00733778" w:rsidP="00733778">
      <w:pPr>
        <w:spacing w:after="0" w:line="240" w:lineRule="auto"/>
        <w:ind w:left="360"/>
        <w:jc w:val="both"/>
        <w:rPr>
          <w:rFonts w:ascii="Segoe UI" w:eastAsia="Times New Roman" w:hAnsi="Segoe UI" w:cs="Segoe UI"/>
          <w:b/>
          <w:lang w:eastAsia="cs-CZ"/>
        </w:rPr>
      </w:pPr>
    </w:p>
    <w:p w:rsidR="00733778" w:rsidRPr="00D45AE3" w:rsidRDefault="00733778" w:rsidP="00733778">
      <w:pPr>
        <w:keepNext/>
        <w:numPr>
          <w:ilvl w:val="0"/>
          <w:numId w:val="2"/>
        </w:numPr>
        <w:spacing w:before="240" w:after="60" w:line="240" w:lineRule="auto"/>
        <w:ind w:left="0" w:firstLine="0"/>
        <w:outlineLvl w:val="0"/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</w:pPr>
      <w:r w:rsidRPr="00D45AE3"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  <w:t>Možné typy hlášených problémů</w:t>
      </w:r>
      <w:r w:rsidRPr="00D45AE3" w:rsidDel="00C4532E"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  <w:t xml:space="preserve"> </w:t>
      </w:r>
    </w:p>
    <w:p w:rsidR="00733778" w:rsidRPr="00D45AE3" w:rsidRDefault="00733778" w:rsidP="0073377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nedostupnost či špatná dostupnost Portálu ZP</w:t>
      </w:r>
    </w:p>
    <w:p w:rsidR="00733778" w:rsidRPr="00D45AE3" w:rsidRDefault="00733778" w:rsidP="0073377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neobvykle dlouhé odezvy </w:t>
      </w:r>
    </w:p>
    <w:p w:rsidR="00733778" w:rsidRPr="00D45AE3" w:rsidRDefault="00733778" w:rsidP="0073377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výpadek provozu sítě zpracovatele</w:t>
      </w:r>
    </w:p>
    <w:p w:rsidR="00733778" w:rsidRPr="00D45AE3" w:rsidRDefault="00733778" w:rsidP="0073377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výpadek provozu sítě externího dodavatele ZP</w:t>
      </w:r>
    </w:p>
    <w:p w:rsidR="00733778" w:rsidRPr="00D45AE3" w:rsidRDefault="00733778" w:rsidP="0073377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hromadný výskyt chybových hlášení SW</w:t>
      </w:r>
    </w:p>
    <w:p w:rsidR="00733778" w:rsidRPr="00D45AE3" w:rsidRDefault="00733778" w:rsidP="0073377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sdělení závažné informace</w:t>
      </w:r>
    </w:p>
    <w:p w:rsidR="00733778" w:rsidRPr="00D45AE3" w:rsidRDefault="00733778" w:rsidP="0073377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ostatní neodkladné záležitosti</w:t>
      </w:r>
    </w:p>
    <w:p w:rsidR="00733778" w:rsidRPr="00D45AE3" w:rsidRDefault="00733778" w:rsidP="00733778">
      <w:pPr>
        <w:spacing w:after="0" w:line="240" w:lineRule="auto"/>
        <w:ind w:left="360"/>
        <w:jc w:val="both"/>
        <w:rPr>
          <w:rFonts w:ascii="Segoe UI" w:eastAsia="Times New Roman" w:hAnsi="Segoe UI" w:cs="Segoe UI"/>
          <w:lang w:eastAsia="cs-CZ"/>
        </w:rPr>
      </w:pPr>
    </w:p>
    <w:p w:rsidR="00733778" w:rsidRPr="00D45AE3" w:rsidRDefault="00733778" w:rsidP="00733778">
      <w:pPr>
        <w:spacing w:after="0" w:line="240" w:lineRule="auto"/>
        <w:ind w:left="360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 Tento dokument popisuje především postup řešení hlášených problémů dle výše uvedených bodů a) až g). Pro hlášení běžných připomínek bude uvedený postup využit přiměřeně.</w:t>
      </w:r>
    </w:p>
    <w:p w:rsidR="00733778" w:rsidRPr="00D45AE3" w:rsidRDefault="00733778" w:rsidP="00733778">
      <w:pPr>
        <w:keepNext/>
        <w:numPr>
          <w:ilvl w:val="0"/>
          <w:numId w:val="2"/>
        </w:numPr>
        <w:spacing w:before="240" w:after="60" w:line="240" w:lineRule="auto"/>
        <w:ind w:left="0" w:firstLine="0"/>
        <w:outlineLvl w:val="0"/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</w:pPr>
      <w:bookmarkStart w:id="0" w:name="_Toc16412276"/>
      <w:r w:rsidRPr="00D45AE3"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  <w:t>Podatel a příjemce hlášení mimořádné situace</w:t>
      </w:r>
      <w:bookmarkEnd w:id="0"/>
      <w:r w:rsidRPr="00D45AE3"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  <w:t xml:space="preserve"> </w:t>
      </w:r>
    </w:p>
    <w:p w:rsidR="00733778" w:rsidRPr="00D45AE3" w:rsidRDefault="00733778" w:rsidP="00733778">
      <w:pPr>
        <w:spacing w:after="0" w:line="240" w:lineRule="auto"/>
        <w:ind w:left="360"/>
        <w:rPr>
          <w:rFonts w:ascii="Segoe UI" w:eastAsia="Times New Roman" w:hAnsi="Segoe UI" w:cs="Segoe UI"/>
          <w:b/>
          <w:lang w:eastAsia="cs-CZ"/>
        </w:rPr>
      </w:pPr>
      <w:r w:rsidRPr="00D45AE3">
        <w:rPr>
          <w:rFonts w:ascii="Segoe UI" w:eastAsia="Times New Roman" w:hAnsi="Segoe UI" w:cs="Segoe UI"/>
          <w:b/>
          <w:lang w:eastAsia="cs-CZ"/>
        </w:rPr>
        <w:t xml:space="preserve">Podatel </w:t>
      </w:r>
    </w:p>
    <w:p w:rsidR="00733778" w:rsidRPr="00D45AE3" w:rsidRDefault="00733778" w:rsidP="00733778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odpovědný zástupce ZP (ředitel IT, pověřený pracovník ZP, případně i ředitel ZP)</w:t>
      </w:r>
    </w:p>
    <w:p w:rsidR="00733778" w:rsidRPr="00D45AE3" w:rsidRDefault="00733778" w:rsidP="00733778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ASSECO CE – administrátor Portálu ZP.</w:t>
      </w:r>
    </w:p>
    <w:p w:rsidR="00733778" w:rsidRPr="00D45AE3" w:rsidRDefault="00733778" w:rsidP="00733778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pověřený pracovník SZP</w:t>
      </w:r>
    </w:p>
    <w:p w:rsidR="00733778" w:rsidRPr="00D45AE3" w:rsidRDefault="00733778" w:rsidP="00733778">
      <w:pPr>
        <w:spacing w:after="0" w:line="240" w:lineRule="auto"/>
        <w:ind w:left="720"/>
        <w:rPr>
          <w:rFonts w:ascii="Segoe UI" w:eastAsia="Times New Roman" w:hAnsi="Segoe UI" w:cs="Segoe UI"/>
          <w:lang w:eastAsia="cs-CZ"/>
        </w:rPr>
      </w:pPr>
    </w:p>
    <w:p w:rsidR="00733778" w:rsidRPr="00D45AE3" w:rsidRDefault="00733778" w:rsidP="00733778">
      <w:pPr>
        <w:spacing w:after="0" w:line="240" w:lineRule="auto"/>
        <w:ind w:left="360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b/>
          <w:lang w:eastAsia="cs-CZ"/>
        </w:rPr>
        <w:t>Příjemce</w:t>
      </w:r>
    </w:p>
    <w:p w:rsidR="00733778" w:rsidRPr="00D45AE3" w:rsidRDefault="00733778" w:rsidP="00733778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b/>
          <w:lang w:eastAsia="cs-CZ"/>
        </w:rPr>
      </w:pPr>
      <w:r w:rsidRPr="00D45AE3">
        <w:rPr>
          <w:rFonts w:ascii="Segoe UI" w:eastAsia="Times New Roman" w:hAnsi="Segoe UI" w:cs="Segoe UI"/>
          <w:b/>
          <w:lang w:eastAsia="cs-CZ"/>
        </w:rPr>
        <w:t>provoz Portálu ZP</w:t>
      </w:r>
    </w:p>
    <w:p w:rsidR="00733778" w:rsidRPr="00D45AE3" w:rsidRDefault="00733778" w:rsidP="00733778">
      <w:pPr>
        <w:numPr>
          <w:ilvl w:val="2"/>
          <w:numId w:val="9"/>
        </w:numPr>
        <w:spacing w:after="0" w:line="240" w:lineRule="auto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pověřený pracovník ASSECO CE – administrátor Portálu ZP </w:t>
      </w:r>
    </w:p>
    <w:p w:rsidR="00733778" w:rsidRPr="00D45AE3" w:rsidRDefault="00733778" w:rsidP="00733778">
      <w:pPr>
        <w:numPr>
          <w:ilvl w:val="2"/>
          <w:numId w:val="9"/>
        </w:numPr>
        <w:spacing w:after="0" w:line="240" w:lineRule="auto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pověřený pracovník ZP – určí každá ZP</w:t>
      </w:r>
    </w:p>
    <w:p w:rsidR="00733778" w:rsidRPr="00D45AE3" w:rsidRDefault="00733778" w:rsidP="00733778">
      <w:pPr>
        <w:numPr>
          <w:ilvl w:val="2"/>
          <w:numId w:val="9"/>
        </w:numPr>
        <w:spacing w:after="0" w:line="240" w:lineRule="auto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pověřený pracovník SZP – určí SZP</w:t>
      </w:r>
    </w:p>
    <w:p w:rsidR="00733778" w:rsidRPr="00D45AE3" w:rsidRDefault="00733778" w:rsidP="00733778">
      <w:pPr>
        <w:spacing w:after="0" w:line="240" w:lineRule="auto"/>
        <w:ind w:left="720"/>
        <w:rPr>
          <w:rFonts w:ascii="Segoe UI" w:eastAsia="Times New Roman" w:hAnsi="Segoe UI" w:cs="Segoe UI"/>
          <w:lang w:eastAsia="cs-CZ"/>
        </w:rPr>
      </w:pPr>
    </w:p>
    <w:p w:rsidR="00733778" w:rsidRPr="00D45AE3" w:rsidRDefault="00733778" w:rsidP="00733778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b/>
          <w:lang w:eastAsia="cs-CZ"/>
        </w:rPr>
      </w:pPr>
      <w:r w:rsidRPr="00D45AE3">
        <w:rPr>
          <w:rFonts w:ascii="Segoe UI" w:eastAsia="Times New Roman" w:hAnsi="Segoe UI" w:cs="Segoe UI"/>
          <w:b/>
          <w:lang w:eastAsia="cs-CZ"/>
        </w:rPr>
        <w:t xml:space="preserve"> vývoj ASSECO CE</w:t>
      </w:r>
    </w:p>
    <w:p w:rsidR="00733778" w:rsidRPr="00D45AE3" w:rsidRDefault="00733778" w:rsidP="00733778">
      <w:pPr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b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projektový manažer Portálu ZP</w:t>
      </w:r>
    </w:p>
    <w:p w:rsidR="00733778" w:rsidRPr="0081060E" w:rsidRDefault="00733778" w:rsidP="00733778">
      <w:pPr>
        <w:keepNext/>
        <w:numPr>
          <w:ilvl w:val="0"/>
          <w:numId w:val="2"/>
        </w:numPr>
        <w:spacing w:before="240" w:after="60" w:line="240" w:lineRule="auto"/>
        <w:ind w:left="0" w:firstLine="0"/>
        <w:outlineLvl w:val="0"/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</w:pPr>
      <w:r w:rsidRPr="0081060E"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  <w:t>Způsob předávání hlášení o mimořádné situaci</w:t>
      </w:r>
    </w:p>
    <w:p w:rsidR="00733778" w:rsidRDefault="00733778" w:rsidP="00733778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Hlášení o mimořádné situaci vytváří </w:t>
      </w:r>
      <w:proofErr w:type="gramStart"/>
      <w:r w:rsidRPr="00D45AE3">
        <w:rPr>
          <w:rFonts w:ascii="Segoe UI" w:eastAsia="Times New Roman" w:hAnsi="Segoe UI" w:cs="Segoe UI"/>
          <w:lang w:eastAsia="cs-CZ"/>
        </w:rPr>
        <w:t>podatel v IS</w:t>
      </w:r>
      <w:proofErr w:type="gramEnd"/>
      <w:r w:rsidRPr="00D45AE3">
        <w:rPr>
          <w:rFonts w:ascii="Segoe UI" w:eastAsia="Times New Roman" w:hAnsi="Segoe UI" w:cs="Segoe UI"/>
          <w:lang w:eastAsia="cs-CZ"/>
        </w:rPr>
        <w:t xml:space="preserve"> (externí </w:t>
      </w:r>
      <w:r w:rsidR="003C1566">
        <w:rPr>
          <w:rFonts w:ascii="Segoe UI" w:eastAsia="Times New Roman" w:hAnsi="Segoe UI" w:cs="Segoe UI"/>
          <w:lang w:eastAsia="cs-CZ"/>
        </w:rPr>
        <w:t>XXXXXXXXXXXXXXXXXXXXXXXXXXXXXXXXXXXXXXX</w:t>
      </w:r>
    </w:p>
    <w:p w:rsidR="00733778" w:rsidRPr="00D45AE3" w:rsidRDefault="00733778" w:rsidP="00733778">
      <w:pPr>
        <w:spacing w:after="0" w:line="240" w:lineRule="auto"/>
        <w:ind w:left="720"/>
        <w:jc w:val="both"/>
        <w:rPr>
          <w:rFonts w:ascii="Segoe UI" w:eastAsia="Times New Roman" w:hAnsi="Segoe UI" w:cs="Segoe UI"/>
          <w:lang w:eastAsia="cs-CZ"/>
        </w:rPr>
      </w:pPr>
    </w:p>
    <w:p w:rsidR="00733778" w:rsidRPr="00D45AE3" w:rsidRDefault="00733778" w:rsidP="00733778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Podatel by měl, pokud to bude možné, vedle popisu problému připojit i log soubor</w:t>
      </w:r>
      <w:r w:rsidRPr="00D45AE3">
        <w:rPr>
          <w:rFonts w:ascii="Segoe UI" w:eastAsia="Times New Roman" w:hAnsi="Segoe UI" w:cs="Segoe UI"/>
          <w:snapToGrid w:val="0"/>
          <w:lang w:eastAsia="cs-CZ"/>
        </w:rPr>
        <w:t xml:space="preserve">, přesný popis situace včetně údajů </w:t>
      </w:r>
      <w:proofErr w:type="spellStart"/>
      <w:r w:rsidRPr="00D45AE3">
        <w:rPr>
          <w:rFonts w:ascii="Segoe UI" w:eastAsia="Times New Roman" w:hAnsi="Segoe UI" w:cs="Segoe UI"/>
          <w:snapToGrid w:val="0"/>
          <w:lang w:eastAsia="cs-CZ"/>
        </w:rPr>
        <w:t>datum+čas</w:t>
      </w:r>
      <w:proofErr w:type="spellEnd"/>
      <w:r w:rsidRPr="00D45AE3">
        <w:rPr>
          <w:rFonts w:ascii="Segoe UI" w:eastAsia="Times New Roman" w:hAnsi="Segoe UI" w:cs="Segoe UI"/>
          <w:snapToGrid w:val="0"/>
          <w:lang w:eastAsia="cs-CZ"/>
        </w:rPr>
        <w:t>, přesné chybové hlášky, případně další důležité informace.</w:t>
      </w:r>
    </w:p>
    <w:p w:rsidR="00733778" w:rsidRPr="00D45AE3" w:rsidRDefault="00733778" w:rsidP="00733778">
      <w:pPr>
        <w:spacing w:after="0" w:line="240" w:lineRule="auto"/>
        <w:ind w:left="720"/>
        <w:jc w:val="both"/>
        <w:rPr>
          <w:rFonts w:ascii="Segoe UI" w:eastAsia="Times New Roman" w:hAnsi="Segoe UI" w:cs="Segoe UI"/>
          <w:lang w:eastAsia="cs-CZ"/>
        </w:rPr>
      </w:pPr>
    </w:p>
    <w:p w:rsidR="00733778" w:rsidRPr="00D45AE3" w:rsidRDefault="00733778" w:rsidP="00733778">
      <w:pPr>
        <w:numPr>
          <w:ilvl w:val="0"/>
          <w:numId w:val="12"/>
        </w:num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snapToGrid w:val="0"/>
          <w:lang w:eastAsia="cs-CZ"/>
        </w:rPr>
        <w:lastRenderedPageBreak/>
        <w:t xml:space="preserve">Externí </w:t>
      </w:r>
      <w:proofErr w:type="spellStart"/>
      <w:r w:rsidRPr="00D45AE3">
        <w:rPr>
          <w:rFonts w:ascii="Segoe UI" w:eastAsia="Times New Roman" w:hAnsi="Segoe UI" w:cs="Segoe UI"/>
          <w:snapToGrid w:val="0"/>
          <w:lang w:eastAsia="cs-CZ"/>
        </w:rPr>
        <w:t>Jira</w:t>
      </w:r>
      <w:proofErr w:type="spellEnd"/>
      <w:r w:rsidRPr="00D45AE3">
        <w:rPr>
          <w:rFonts w:ascii="Segoe UI" w:eastAsia="Times New Roman" w:hAnsi="Segoe UI" w:cs="Segoe UI"/>
          <w:snapToGrid w:val="0"/>
          <w:lang w:eastAsia="cs-CZ"/>
        </w:rPr>
        <w:t xml:space="preserve"> automaticky zajistí odeslání notifikací o vložení nového hlášení příjemcům:</w:t>
      </w:r>
    </w:p>
    <w:p w:rsidR="00733778" w:rsidRPr="00D45AE3" w:rsidRDefault="00733778" w:rsidP="00733778">
      <w:pPr>
        <w:numPr>
          <w:ilvl w:val="0"/>
          <w:numId w:val="11"/>
        </w:numPr>
        <w:spacing w:after="0" w:line="240" w:lineRule="auto"/>
        <w:contextualSpacing/>
        <w:rPr>
          <w:rFonts w:ascii="Segoe UI" w:eastAsia="Times New Roman" w:hAnsi="Segoe UI" w:cs="Segoe UI"/>
          <w:snapToGrid w:val="0"/>
          <w:lang w:eastAsia="cs-CZ"/>
        </w:rPr>
      </w:pPr>
      <w:r w:rsidRPr="00D45AE3">
        <w:rPr>
          <w:rFonts w:ascii="Segoe UI" w:eastAsia="Times New Roman" w:hAnsi="Segoe UI" w:cs="Segoe UI"/>
          <w:snapToGrid w:val="0"/>
          <w:lang w:eastAsia="cs-CZ"/>
        </w:rPr>
        <w:t xml:space="preserve">na straně </w:t>
      </w:r>
      <w:proofErr w:type="spellStart"/>
      <w:r w:rsidRPr="00D45AE3">
        <w:rPr>
          <w:rFonts w:ascii="Segoe UI" w:eastAsia="Times New Roman" w:hAnsi="Segoe UI" w:cs="Segoe UI"/>
          <w:snapToGrid w:val="0"/>
          <w:lang w:eastAsia="cs-CZ"/>
        </w:rPr>
        <w:t>Asseco</w:t>
      </w:r>
      <w:proofErr w:type="spellEnd"/>
      <w:r w:rsidRPr="00D45AE3">
        <w:rPr>
          <w:rFonts w:ascii="Segoe UI" w:eastAsia="Times New Roman" w:hAnsi="Segoe UI" w:cs="Segoe UI"/>
          <w:snapToGrid w:val="0"/>
          <w:lang w:eastAsia="cs-CZ"/>
        </w:rPr>
        <w:t xml:space="preserve"> CE, tzn., není nutné informovat příjemce na straně </w:t>
      </w:r>
      <w:proofErr w:type="spellStart"/>
      <w:r w:rsidRPr="00D45AE3">
        <w:rPr>
          <w:rFonts w:ascii="Segoe UI" w:eastAsia="Times New Roman" w:hAnsi="Segoe UI" w:cs="Segoe UI"/>
          <w:snapToGrid w:val="0"/>
          <w:lang w:eastAsia="cs-CZ"/>
        </w:rPr>
        <w:t>Asseco</w:t>
      </w:r>
      <w:proofErr w:type="spellEnd"/>
      <w:r w:rsidRPr="00D45AE3">
        <w:rPr>
          <w:rFonts w:ascii="Segoe UI" w:eastAsia="Times New Roman" w:hAnsi="Segoe UI" w:cs="Segoe UI"/>
          <w:snapToGrid w:val="0"/>
          <w:lang w:eastAsia="cs-CZ"/>
        </w:rPr>
        <w:t xml:space="preserve"> CE další cestou.</w:t>
      </w:r>
    </w:p>
    <w:p w:rsidR="00733778" w:rsidRPr="00D45AE3" w:rsidRDefault="00733778" w:rsidP="00733778">
      <w:pPr>
        <w:numPr>
          <w:ilvl w:val="0"/>
          <w:numId w:val="11"/>
        </w:numPr>
        <w:spacing w:after="0" w:line="240" w:lineRule="auto"/>
        <w:contextualSpacing/>
        <w:rPr>
          <w:rFonts w:ascii="Segoe UI" w:eastAsia="Times New Roman" w:hAnsi="Segoe UI" w:cs="Segoe UI"/>
          <w:snapToGrid w:val="0"/>
          <w:lang w:eastAsia="cs-CZ"/>
        </w:rPr>
      </w:pPr>
      <w:r w:rsidRPr="00D45AE3">
        <w:rPr>
          <w:rFonts w:ascii="Segoe UI" w:eastAsia="Times New Roman" w:hAnsi="Segoe UI" w:cs="Segoe UI"/>
          <w:snapToGrid w:val="0"/>
          <w:lang w:eastAsia="cs-CZ"/>
        </w:rPr>
        <w:t>na straně všech zúčastněných ZP</w:t>
      </w:r>
    </w:p>
    <w:p w:rsidR="00733778" w:rsidRPr="00D45AE3" w:rsidRDefault="00733778" w:rsidP="00733778">
      <w:pPr>
        <w:numPr>
          <w:ilvl w:val="0"/>
          <w:numId w:val="11"/>
        </w:numPr>
        <w:spacing w:after="0" w:line="240" w:lineRule="auto"/>
        <w:contextualSpacing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snapToGrid w:val="0"/>
          <w:lang w:eastAsia="cs-CZ"/>
        </w:rPr>
        <w:t>na</w:t>
      </w:r>
      <w:r w:rsidRPr="00D45AE3">
        <w:rPr>
          <w:rFonts w:ascii="Segoe UI" w:eastAsia="Times New Roman" w:hAnsi="Segoe UI" w:cs="Segoe UI"/>
          <w:lang w:eastAsia="cs-CZ"/>
        </w:rPr>
        <w:t xml:space="preserve"> straně SZP</w:t>
      </w:r>
      <w:r w:rsidRPr="00D45AE3" w:rsidDel="008B369C">
        <w:rPr>
          <w:rFonts w:ascii="Segoe UI" w:eastAsia="Times New Roman" w:hAnsi="Segoe UI" w:cs="Segoe UI"/>
          <w:lang w:eastAsia="cs-CZ"/>
        </w:rPr>
        <w:t xml:space="preserve"> </w:t>
      </w:r>
    </w:p>
    <w:p w:rsidR="00733778" w:rsidRPr="00D45AE3" w:rsidRDefault="00733778" w:rsidP="00733778">
      <w:pPr>
        <w:spacing w:after="0" w:line="240" w:lineRule="auto"/>
        <w:ind w:left="360"/>
        <w:jc w:val="both"/>
        <w:rPr>
          <w:rFonts w:ascii="Segoe UI" w:eastAsia="Times New Roman" w:hAnsi="Segoe UI" w:cs="Segoe UI"/>
          <w:lang w:eastAsia="cs-CZ"/>
        </w:rPr>
      </w:pPr>
    </w:p>
    <w:p w:rsidR="00733778" w:rsidRPr="00D45AE3" w:rsidRDefault="00733778" w:rsidP="00733778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napToGrid w:val="0"/>
          <w:lang w:eastAsia="cs-CZ"/>
        </w:rPr>
      </w:pPr>
      <w:r w:rsidRPr="00D45AE3">
        <w:rPr>
          <w:rFonts w:ascii="Segoe UI" w:eastAsia="Times New Roman" w:hAnsi="Segoe UI" w:cs="Segoe UI"/>
          <w:snapToGrid w:val="0"/>
          <w:lang w:eastAsia="cs-CZ"/>
        </w:rPr>
        <w:t xml:space="preserve">V případě, že nebude možné založit hlášení o mimořádné situaci v externí </w:t>
      </w:r>
      <w:proofErr w:type="spellStart"/>
      <w:r w:rsidRPr="00D45AE3">
        <w:rPr>
          <w:rFonts w:ascii="Segoe UI" w:eastAsia="Times New Roman" w:hAnsi="Segoe UI" w:cs="Segoe UI"/>
          <w:snapToGrid w:val="0"/>
          <w:lang w:eastAsia="cs-CZ"/>
        </w:rPr>
        <w:t>Jira</w:t>
      </w:r>
      <w:proofErr w:type="spellEnd"/>
      <w:r w:rsidRPr="00D45AE3">
        <w:rPr>
          <w:rFonts w:ascii="Segoe UI" w:eastAsia="Times New Roman" w:hAnsi="Segoe UI" w:cs="Segoe UI"/>
          <w:snapToGrid w:val="0"/>
          <w:lang w:eastAsia="cs-CZ"/>
        </w:rPr>
        <w:t>:</w:t>
      </w:r>
    </w:p>
    <w:p w:rsidR="00733778" w:rsidRPr="00D45AE3" w:rsidRDefault="00733778" w:rsidP="00733778">
      <w:pPr>
        <w:numPr>
          <w:ilvl w:val="1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napToGrid w:val="0"/>
          <w:lang w:eastAsia="cs-CZ"/>
        </w:rPr>
      </w:pPr>
      <w:r w:rsidRPr="00D45AE3">
        <w:rPr>
          <w:rFonts w:ascii="Segoe UI" w:eastAsia="Times New Roman" w:hAnsi="Segoe UI" w:cs="Segoe UI"/>
          <w:snapToGrid w:val="0"/>
          <w:lang w:eastAsia="cs-CZ"/>
        </w:rPr>
        <w:t xml:space="preserve">Podatel mimořádnou skutečnost avizuje zasláním mailu na adresu </w:t>
      </w:r>
      <w:hyperlink r:id="rId8" w:history="1">
        <w:r w:rsidR="003C1566">
          <w:rPr>
            <w:rFonts w:ascii="Segoe UI" w:eastAsia="Times New Roman" w:hAnsi="Segoe UI" w:cs="Segoe UI"/>
            <w:snapToGrid w:val="0"/>
            <w:color w:val="0000FF"/>
            <w:u w:val="single"/>
            <w:lang w:eastAsia="cs-CZ"/>
          </w:rPr>
          <w:t>XXXXXXXXXXXXXXXXXXXXXXXXXX</w:t>
        </w:r>
      </w:hyperlink>
      <w:r w:rsidRPr="00D45AE3">
        <w:rPr>
          <w:rFonts w:ascii="Segoe UI" w:eastAsia="Times New Roman" w:hAnsi="Segoe UI" w:cs="Segoe UI"/>
          <w:snapToGrid w:val="0"/>
          <w:lang w:eastAsia="cs-CZ"/>
        </w:rPr>
        <w:t>, která zahrnuje ke dni vstoupení tohoto dokumentu v platnost (tento seznam se může postupně měnit dle potřeby):</w:t>
      </w:r>
    </w:p>
    <w:p w:rsidR="00733778" w:rsidRPr="00D45AE3" w:rsidRDefault="003C1566" w:rsidP="00733778">
      <w:pPr>
        <w:numPr>
          <w:ilvl w:val="2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napToGrid w:val="0"/>
          <w:lang w:eastAsia="cs-CZ"/>
        </w:rPr>
      </w:pPr>
      <w:r>
        <w:rPr>
          <w:rFonts w:ascii="Segoe UI" w:eastAsia="Times New Roman" w:hAnsi="Segoe UI" w:cs="Segoe UI"/>
          <w:snapToGrid w:val="0"/>
          <w:lang w:eastAsia="cs-CZ"/>
        </w:rPr>
        <w:t>XXXXXXXXXXXXXXXX</w:t>
      </w:r>
    </w:p>
    <w:p w:rsidR="00733778" w:rsidRPr="00D45AE3" w:rsidRDefault="003C1566" w:rsidP="00733778">
      <w:pPr>
        <w:numPr>
          <w:ilvl w:val="2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snapToGrid w:val="0"/>
          <w:lang w:eastAsia="cs-CZ"/>
        </w:rPr>
        <w:t>XXXXXXXXXXXXXXX</w:t>
      </w:r>
    </w:p>
    <w:p w:rsidR="00733778" w:rsidRPr="00D45AE3" w:rsidRDefault="00733778" w:rsidP="00733778">
      <w:pPr>
        <w:numPr>
          <w:ilvl w:val="1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Podatel o mimořádné situaci informuje telefonicky:</w:t>
      </w:r>
    </w:p>
    <w:p w:rsidR="00733778" w:rsidRPr="00D45AE3" w:rsidRDefault="003C1566" w:rsidP="00733778">
      <w:pPr>
        <w:numPr>
          <w:ilvl w:val="2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t>XXXXXXXXXXXXXXXXXXXXXXXXXXXX</w:t>
      </w:r>
    </w:p>
    <w:p w:rsidR="00733778" w:rsidRPr="00D45AE3" w:rsidRDefault="003C1566" w:rsidP="00733778">
      <w:pPr>
        <w:numPr>
          <w:ilvl w:val="2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t>XXXXXXXXXXXXXXXXXXXXXXXXXXXX</w:t>
      </w:r>
    </w:p>
    <w:p w:rsidR="00733778" w:rsidRPr="00D45AE3" w:rsidRDefault="00733778" w:rsidP="00733778">
      <w:pPr>
        <w:numPr>
          <w:ilvl w:val="1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Jakmile to bude možné, příjemce zpětně hlášení o mimořádné situaci vloží do IS (externí </w:t>
      </w:r>
      <w:proofErr w:type="spellStart"/>
      <w:r w:rsidRPr="00D45AE3">
        <w:rPr>
          <w:rFonts w:ascii="Segoe UI" w:eastAsia="Times New Roman" w:hAnsi="Segoe UI" w:cs="Segoe UI"/>
          <w:lang w:eastAsia="cs-CZ"/>
        </w:rPr>
        <w:t>Jira</w:t>
      </w:r>
      <w:proofErr w:type="spellEnd"/>
      <w:r w:rsidRPr="00D45AE3">
        <w:rPr>
          <w:rFonts w:ascii="Segoe UI" w:eastAsia="Times New Roman" w:hAnsi="Segoe UI" w:cs="Segoe UI"/>
          <w:lang w:eastAsia="cs-CZ"/>
        </w:rPr>
        <w:t>), a to jménem podatele.</w:t>
      </w:r>
    </w:p>
    <w:p w:rsidR="00733778" w:rsidRPr="00D45AE3" w:rsidRDefault="00733778" w:rsidP="00733778">
      <w:p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</w:p>
    <w:p w:rsidR="00733778" w:rsidRPr="00D45AE3" w:rsidRDefault="00733778" w:rsidP="00733778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V případě hlášení o výpadku provozu sítě, zajišťované externím zpracovatelem, dle výběru tohoto partnera ZP, odešle hlášení provozní pracovník ASSECO CE příslušné ZP, konkrétně osobě určené v „</w:t>
      </w:r>
      <w:r w:rsidRPr="00D45AE3">
        <w:rPr>
          <w:rFonts w:ascii="Segoe UI" w:eastAsia="Times New Roman" w:hAnsi="Segoe UI" w:cs="Segoe UI"/>
          <w:lang w:eastAsia="cs-CZ"/>
        </w:rPr>
        <w:fldChar w:fldCharType="begin"/>
      </w:r>
      <w:r w:rsidRPr="00D45AE3">
        <w:rPr>
          <w:rFonts w:ascii="Segoe UI" w:eastAsia="Times New Roman" w:hAnsi="Segoe UI" w:cs="Segoe UI"/>
          <w:lang w:eastAsia="cs-CZ"/>
        </w:rPr>
        <w:instrText xml:space="preserve"> REF _Ref489611786 \h  \* MERGEFORMAT </w:instrText>
      </w:r>
      <w:r w:rsidRPr="00D45AE3">
        <w:rPr>
          <w:rFonts w:ascii="Segoe UI" w:eastAsia="Times New Roman" w:hAnsi="Segoe UI" w:cs="Segoe UI"/>
          <w:lang w:eastAsia="cs-CZ"/>
        </w:rPr>
      </w:r>
      <w:r w:rsidRPr="00D45AE3">
        <w:rPr>
          <w:rFonts w:ascii="Segoe UI" w:eastAsia="Times New Roman" w:hAnsi="Segoe UI" w:cs="Segoe UI"/>
          <w:lang w:eastAsia="cs-CZ"/>
        </w:rPr>
        <w:fldChar w:fldCharType="separate"/>
      </w:r>
      <w:r w:rsidRPr="00D45AE3">
        <w:rPr>
          <w:rFonts w:ascii="Segoe UI" w:eastAsia="Times New Roman" w:hAnsi="Segoe UI" w:cs="Segoe UI"/>
          <w:lang w:eastAsia="cs-CZ"/>
        </w:rPr>
        <w:t xml:space="preserve">Příloha č. 1 Oprávnění představitelé </w:t>
      </w:r>
      <w:r w:rsidRPr="00D45AE3">
        <w:rPr>
          <w:rFonts w:ascii="Segoe UI" w:eastAsia="Times New Roman" w:hAnsi="Segoe UI" w:cs="Segoe UI"/>
          <w:lang w:eastAsia="cs-CZ"/>
        </w:rPr>
        <w:fldChar w:fldCharType="end"/>
      </w:r>
      <w:r w:rsidRPr="00D45AE3">
        <w:rPr>
          <w:rFonts w:ascii="Segoe UI" w:eastAsia="Times New Roman" w:hAnsi="Segoe UI" w:cs="Segoe UI"/>
          <w:lang w:eastAsia="cs-CZ"/>
        </w:rPr>
        <w:t xml:space="preserve"> a SZP“.</w:t>
      </w:r>
    </w:p>
    <w:p w:rsidR="00733778" w:rsidRPr="00D45AE3" w:rsidRDefault="00733778" w:rsidP="00733778">
      <w:pPr>
        <w:keepNext/>
        <w:numPr>
          <w:ilvl w:val="0"/>
          <w:numId w:val="2"/>
        </w:numPr>
        <w:spacing w:before="240" w:after="60" w:line="240" w:lineRule="auto"/>
        <w:ind w:left="0" w:firstLine="0"/>
        <w:outlineLvl w:val="0"/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</w:pPr>
      <w:bookmarkStart w:id="1" w:name="_Toc16412278"/>
      <w:r w:rsidRPr="00D45AE3"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  <w:t>Vyrozumění podatele o přijetí mimořádného hlášení</w:t>
      </w:r>
      <w:bookmarkEnd w:id="1"/>
    </w:p>
    <w:p w:rsidR="00733778" w:rsidRPr="00D45AE3" w:rsidRDefault="00733778" w:rsidP="00733778">
      <w:pPr>
        <w:numPr>
          <w:ilvl w:val="0"/>
          <w:numId w:val="5"/>
        </w:num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Zástupce příjemce obratem (dle Provozní smlouvy, čl. 2, bod 2. odst. 6, 7) potvrdí přijetí mimořádného hlášení v IS (externí </w:t>
      </w:r>
      <w:proofErr w:type="spellStart"/>
      <w:r w:rsidRPr="00D45AE3">
        <w:rPr>
          <w:rFonts w:ascii="Segoe UI" w:eastAsia="Times New Roman" w:hAnsi="Segoe UI" w:cs="Segoe UI"/>
          <w:lang w:eastAsia="cs-CZ"/>
        </w:rPr>
        <w:t>Jira</w:t>
      </w:r>
      <w:proofErr w:type="spellEnd"/>
      <w:r w:rsidRPr="00D45AE3">
        <w:rPr>
          <w:rFonts w:ascii="Segoe UI" w:eastAsia="Times New Roman" w:hAnsi="Segoe UI" w:cs="Segoe UI"/>
          <w:lang w:eastAsia="cs-CZ"/>
        </w:rPr>
        <w:t>) formou otevření tohoto hlášení.</w:t>
      </w:r>
    </w:p>
    <w:p w:rsidR="00733778" w:rsidRPr="00D45AE3" w:rsidRDefault="00733778" w:rsidP="00733778">
      <w:pPr>
        <w:keepNext/>
        <w:numPr>
          <w:ilvl w:val="0"/>
          <w:numId w:val="2"/>
        </w:numPr>
        <w:spacing w:before="240" w:after="60" w:line="240" w:lineRule="auto"/>
        <w:ind w:left="0" w:firstLine="0"/>
        <w:outlineLvl w:val="0"/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</w:pPr>
      <w:bookmarkStart w:id="2" w:name="_Toc16412279"/>
      <w:r w:rsidRPr="00D45AE3"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  <w:t>Postup při nahlášeném problému</w:t>
      </w:r>
      <w:bookmarkEnd w:id="2"/>
    </w:p>
    <w:p w:rsidR="00733778" w:rsidRPr="00D45AE3" w:rsidRDefault="00733778" w:rsidP="00733778">
      <w:pPr>
        <w:numPr>
          <w:ilvl w:val="0"/>
          <w:numId w:val="5"/>
        </w:num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Reakce na nahlášené problémy se budou samozřejmě lišit podle povahy problémů, obecně bude platit, že administrátor Portálu ZP zkontroluje:</w:t>
      </w:r>
    </w:p>
    <w:p w:rsidR="00733778" w:rsidRPr="00D45AE3" w:rsidRDefault="00733778" w:rsidP="00733778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funkčnost serveru Portálu ZP</w:t>
      </w:r>
    </w:p>
    <w:p w:rsidR="00733778" w:rsidRPr="00D45AE3" w:rsidRDefault="00733778" w:rsidP="00733778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funkčnost databáze </w:t>
      </w:r>
      <w:proofErr w:type="spellStart"/>
      <w:r w:rsidRPr="00D45AE3">
        <w:rPr>
          <w:rFonts w:ascii="Segoe UI" w:eastAsia="Times New Roman" w:hAnsi="Segoe UI" w:cs="Segoe UI"/>
          <w:lang w:eastAsia="cs-CZ"/>
        </w:rPr>
        <w:t>Informixu</w:t>
      </w:r>
      <w:proofErr w:type="spellEnd"/>
    </w:p>
    <w:p w:rsidR="00733778" w:rsidRPr="00D45AE3" w:rsidRDefault="00733778" w:rsidP="00733778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funkčnost spojení: (ping, </w:t>
      </w:r>
      <w:proofErr w:type="spellStart"/>
      <w:r w:rsidRPr="00D45AE3">
        <w:rPr>
          <w:rFonts w:ascii="Segoe UI" w:eastAsia="Times New Roman" w:hAnsi="Segoe UI" w:cs="Segoe UI"/>
          <w:lang w:eastAsia="cs-CZ"/>
        </w:rPr>
        <w:t>traceroute</w:t>
      </w:r>
      <w:proofErr w:type="spellEnd"/>
      <w:r w:rsidRPr="00D45AE3">
        <w:rPr>
          <w:rFonts w:ascii="Segoe UI" w:eastAsia="Times New Roman" w:hAnsi="Segoe UI" w:cs="Segoe UI"/>
          <w:lang w:eastAsia="cs-CZ"/>
        </w:rPr>
        <w:t>, konzultace s pracovníky dozoru sítě)</w:t>
      </w:r>
    </w:p>
    <w:p w:rsidR="00733778" w:rsidRPr="00D45AE3" w:rsidRDefault="00733778" w:rsidP="00733778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zatížení serveru</w:t>
      </w:r>
    </w:p>
    <w:p w:rsidR="00733778" w:rsidRPr="00D45AE3" w:rsidRDefault="00733778" w:rsidP="00733778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zatížení </w:t>
      </w:r>
      <w:proofErr w:type="spellStart"/>
      <w:r w:rsidRPr="00D45AE3">
        <w:rPr>
          <w:rFonts w:ascii="Segoe UI" w:eastAsia="Times New Roman" w:hAnsi="Segoe UI" w:cs="Segoe UI"/>
          <w:lang w:eastAsia="cs-CZ"/>
        </w:rPr>
        <w:t>Informixu</w:t>
      </w:r>
      <w:proofErr w:type="spellEnd"/>
      <w:r w:rsidRPr="00D45AE3">
        <w:rPr>
          <w:rFonts w:ascii="Segoe UI" w:eastAsia="Times New Roman" w:hAnsi="Segoe UI" w:cs="Segoe UI"/>
          <w:lang w:eastAsia="cs-CZ"/>
        </w:rPr>
        <w:t xml:space="preserve"> – identifikace procesů, které zabírají nejvíce zdrojů</w:t>
      </w:r>
    </w:p>
    <w:p w:rsidR="00733778" w:rsidRPr="00D45AE3" w:rsidRDefault="00733778" w:rsidP="00733778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případné chybové nebo varovné stavy (online.log, základní </w:t>
      </w:r>
      <w:proofErr w:type="spellStart"/>
      <w:r w:rsidRPr="00D45AE3">
        <w:rPr>
          <w:rFonts w:ascii="Segoe UI" w:eastAsia="Times New Roman" w:hAnsi="Segoe UI" w:cs="Segoe UI"/>
          <w:lang w:eastAsia="cs-CZ"/>
        </w:rPr>
        <w:t>onstat</w:t>
      </w:r>
      <w:proofErr w:type="spellEnd"/>
      <w:r w:rsidRPr="00D45AE3">
        <w:rPr>
          <w:rFonts w:ascii="Segoe UI" w:eastAsia="Times New Roman" w:hAnsi="Segoe UI" w:cs="Segoe UI"/>
          <w:lang w:eastAsia="cs-CZ"/>
        </w:rPr>
        <w:t xml:space="preserve"> - ..., atd.)</w:t>
      </w:r>
    </w:p>
    <w:p w:rsidR="00733778" w:rsidRPr="00D45AE3" w:rsidRDefault="00733778" w:rsidP="00733778">
      <w:pPr>
        <w:spacing w:after="0" w:line="240" w:lineRule="auto"/>
        <w:rPr>
          <w:rFonts w:ascii="Segoe UI" w:eastAsia="Times New Roman" w:hAnsi="Segoe UI" w:cs="Segoe UI"/>
          <w:lang w:eastAsia="cs-CZ"/>
        </w:rPr>
      </w:pPr>
    </w:p>
    <w:p w:rsidR="00733778" w:rsidRPr="00D45AE3" w:rsidRDefault="00733778" w:rsidP="00733778">
      <w:pPr>
        <w:numPr>
          <w:ilvl w:val="0"/>
          <w:numId w:val="6"/>
        </w:num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Všichni zúčastnění se budou podílet na zjišťování příčin problému, jakmile obdrží hlášení o mimořádné situaci. Okamžitě bude zahájeno prověření funkčnosti dle výše popsaného postupu. V průběhu řešení jsou všichni zúčastnění na Portálu ZP povinni plnit úkoly, kterými je pověří pracovník </w:t>
      </w:r>
      <w:proofErr w:type="spellStart"/>
      <w:r w:rsidRPr="00D45AE3">
        <w:rPr>
          <w:rFonts w:ascii="Segoe UI" w:eastAsia="Times New Roman" w:hAnsi="Segoe UI" w:cs="Segoe UI"/>
          <w:lang w:eastAsia="cs-CZ"/>
        </w:rPr>
        <w:t>Asseco</w:t>
      </w:r>
      <w:proofErr w:type="spellEnd"/>
      <w:r w:rsidRPr="00D45AE3">
        <w:rPr>
          <w:rFonts w:ascii="Segoe UI" w:eastAsia="Times New Roman" w:hAnsi="Segoe UI" w:cs="Segoe UI"/>
          <w:lang w:eastAsia="cs-CZ"/>
        </w:rPr>
        <w:t xml:space="preserve"> CE, který se ujal řízení mimořádné situace. </w:t>
      </w:r>
    </w:p>
    <w:p w:rsidR="00733778" w:rsidRPr="00D45AE3" w:rsidRDefault="00733778" w:rsidP="00733778">
      <w:pPr>
        <w:spacing w:after="0" w:line="240" w:lineRule="auto"/>
        <w:ind w:left="360"/>
        <w:jc w:val="both"/>
        <w:rPr>
          <w:rFonts w:ascii="Segoe UI" w:eastAsia="Times New Roman" w:hAnsi="Segoe UI" w:cs="Segoe UI"/>
          <w:lang w:eastAsia="cs-CZ"/>
        </w:rPr>
      </w:pPr>
    </w:p>
    <w:p w:rsidR="00733778" w:rsidRPr="00D45AE3" w:rsidRDefault="00733778" w:rsidP="00733778">
      <w:pPr>
        <w:numPr>
          <w:ilvl w:val="0"/>
          <w:numId w:val="6"/>
        </w:numPr>
        <w:spacing w:after="0" w:line="240" w:lineRule="auto"/>
        <w:jc w:val="both"/>
        <w:rPr>
          <w:rFonts w:ascii="Segoe UI" w:eastAsia="Times New Roman" w:hAnsi="Segoe UI" w:cs="Segoe UI"/>
          <w:i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Hlášené problémy a průběžné informace související s řešením těchto problémů budou evidovány v IS (externí </w:t>
      </w:r>
      <w:proofErr w:type="spellStart"/>
      <w:r w:rsidRPr="00D45AE3">
        <w:rPr>
          <w:rFonts w:ascii="Segoe UI" w:eastAsia="Times New Roman" w:hAnsi="Segoe UI" w:cs="Segoe UI"/>
          <w:lang w:eastAsia="cs-CZ"/>
        </w:rPr>
        <w:t>Jira</w:t>
      </w:r>
      <w:proofErr w:type="spellEnd"/>
      <w:r w:rsidRPr="00D45AE3">
        <w:rPr>
          <w:rFonts w:ascii="Segoe UI" w:eastAsia="Times New Roman" w:hAnsi="Segoe UI" w:cs="Segoe UI"/>
          <w:lang w:eastAsia="cs-CZ"/>
        </w:rPr>
        <w:t>).</w:t>
      </w:r>
    </w:p>
    <w:p w:rsidR="00733778" w:rsidRPr="00D45AE3" w:rsidRDefault="00733778" w:rsidP="00733778">
      <w:pPr>
        <w:keepNext/>
        <w:numPr>
          <w:ilvl w:val="0"/>
          <w:numId w:val="2"/>
        </w:numPr>
        <w:spacing w:before="240" w:after="60" w:line="240" w:lineRule="auto"/>
        <w:ind w:left="0" w:firstLine="0"/>
        <w:outlineLvl w:val="0"/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</w:pPr>
      <w:bookmarkStart w:id="3" w:name="_Toc16412280"/>
      <w:r w:rsidRPr="00D45AE3"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  <w:lastRenderedPageBreak/>
        <w:t>Způsob informování o vyřízení mimořádné situace</w:t>
      </w:r>
      <w:bookmarkEnd w:id="3"/>
    </w:p>
    <w:p w:rsidR="00733778" w:rsidRPr="00D45AE3" w:rsidRDefault="00733778" w:rsidP="00733778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Každé hlášení mimořádné situace musí být po vyřízení zdokumentováno písemnou formou v IS (externí </w:t>
      </w:r>
      <w:proofErr w:type="spellStart"/>
      <w:r w:rsidRPr="00D45AE3">
        <w:rPr>
          <w:rFonts w:ascii="Segoe UI" w:eastAsia="Times New Roman" w:hAnsi="Segoe UI" w:cs="Segoe UI"/>
          <w:lang w:eastAsia="cs-CZ"/>
        </w:rPr>
        <w:t>Jira</w:t>
      </w:r>
      <w:proofErr w:type="spellEnd"/>
      <w:r w:rsidRPr="00D45AE3">
        <w:rPr>
          <w:rFonts w:ascii="Segoe UI" w:eastAsia="Times New Roman" w:hAnsi="Segoe UI" w:cs="Segoe UI"/>
          <w:lang w:eastAsia="cs-CZ"/>
        </w:rPr>
        <w:t xml:space="preserve">). </w:t>
      </w:r>
    </w:p>
    <w:p w:rsidR="00733778" w:rsidRPr="00D45AE3" w:rsidRDefault="00733778" w:rsidP="00733778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Zprávu o vyřešení problému sdělí podateli hlášení pracovník, který řídil za ASSECO CE mimořádnou situaci (zpravidla administrátor Portálu ZP) a to formou změny stavu hlášení na „Vyřešeno“. Popíše zde i způsob řešení.</w:t>
      </w:r>
    </w:p>
    <w:p w:rsidR="00733778" w:rsidRPr="00D45AE3" w:rsidRDefault="00733778" w:rsidP="00733778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Podatel hlášení potvrdí obnovení normální funkce systému tím, že hlášení převede do stavu „Uzavřeno“. Pokud s řešením nesouhlasí, znovu je otevře.</w:t>
      </w:r>
    </w:p>
    <w:p w:rsidR="00733778" w:rsidRPr="00D45AE3" w:rsidRDefault="00733778" w:rsidP="00733778">
      <w:pPr>
        <w:keepNext/>
        <w:numPr>
          <w:ilvl w:val="0"/>
          <w:numId w:val="2"/>
        </w:numPr>
        <w:spacing w:before="240" w:after="60" w:line="240" w:lineRule="auto"/>
        <w:ind w:left="0" w:firstLine="0"/>
        <w:outlineLvl w:val="0"/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</w:pPr>
      <w:bookmarkStart w:id="4" w:name="_Toc16412281"/>
      <w:r w:rsidRPr="00D45AE3"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  <w:t>Termíny pro vyřízení hlášení mimořádné situace</w:t>
      </w:r>
      <w:bookmarkEnd w:id="4"/>
    </w:p>
    <w:p w:rsidR="00733778" w:rsidRPr="00D45AE3" w:rsidRDefault="00733778" w:rsidP="0073377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Vzhledem k tomu, že se bude jednat vždy o velmi naléhavé situace, které znemožňují klientům ZP kvalitně používat služeb Portálu ZP, event. brání jejich užívání zcela, bude vyžadováno bezodkladné řešení. Pokud nebude možné řešení okamžité, pak bude zajištěno </w:t>
      </w:r>
      <w:proofErr w:type="spellStart"/>
      <w:r w:rsidRPr="00D45AE3">
        <w:rPr>
          <w:rFonts w:ascii="Segoe UI" w:eastAsia="Times New Roman" w:hAnsi="Segoe UI" w:cs="Segoe UI"/>
          <w:lang w:eastAsia="cs-CZ"/>
        </w:rPr>
        <w:t>Asseco</w:t>
      </w:r>
      <w:proofErr w:type="spellEnd"/>
      <w:r w:rsidRPr="00D45AE3">
        <w:rPr>
          <w:rFonts w:ascii="Segoe UI" w:eastAsia="Times New Roman" w:hAnsi="Segoe UI" w:cs="Segoe UI"/>
          <w:lang w:eastAsia="cs-CZ"/>
        </w:rPr>
        <w:t xml:space="preserve"> CE vždy v čase co nejkratším tak, jak to bude technicky možné.</w:t>
      </w:r>
    </w:p>
    <w:p w:rsidR="00733778" w:rsidRPr="00D45AE3" w:rsidRDefault="00733778" w:rsidP="00733778">
      <w:pPr>
        <w:keepNext/>
        <w:numPr>
          <w:ilvl w:val="0"/>
          <w:numId w:val="2"/>
        </w:numPr>
        <w:spacing w:before="240" w:after="60" w:line="240" w:lineRule="auto"/>
        <w:ind w:left="0" w:firstLine="0"/>
        <w:outlineLvl w:val="0"/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</w:pPr>
      <w:bookmarkStart w:id="5" w:name="_Toc16412282"/>
      <w:r w:rsidRPr="00D45AE3"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  <w:t xml:space="preserve">Evidence </w:t>
      </w:r>
      <w:bookmarkEnd w:id="5"/>
      <w:r w:rsidRPr="00D45AE3"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  <w:t>hlášení</w:t>
      </w:r>
    </w:p>
    <w:p w:rsidR="00733778" w:rsidRPr="00D45AE3" w:rsidRDefault="00733778" w:rsidP="0073377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Hlášení archivuje příjemce v IS (externí </w:t>
      </w:r>
      <w:proofErr w:type="spellStart"/>
      <w:r w:rsidRPr="00D45AE3">
        <w:rPr>
          <w:rFonts w:ascii="Segoe UI" w:eastAsia="Times New Roman" w:hAnsi="Segoe UI" w:cs="Segoe UI"/>
          <w:lang w:eastAsia="cs-CZ"/>
        </w:rPr>
        <w:t>Jira</w:t>
      </w:r>
      <w:proofErr w:type="spellEnd"/>
      <w:r w:rsidRPr="00D45AE3">
        <w:rPr>
          <w:rFonts w:ascii="Segoe UI" w:eastAsia="Times New Roman" w:hAnsi="Segoe UI" w:cs="Segoe UI"/>
          <w:lang w:eastAsia="cs-CZ"/>
        </w:rPr>
        <w:t>). Jsou neustále dostupná.</w:t>
      </w:r>
    </w:p>
    <w:p w:rsidR="00733778" w:rsidRPr="00D45AE3" w:rsidRDefault="00733778" w:rsidP="00733778">
      <w:pPr>
        <w:keepNext/>
        <w:numPr>
          <w:ilvl w:val="0"/>
          <w:numId w:val="2"/>
        </w:numPr>
        <w:spacing w:before="240" w:after="60" w:line="240" w:lineRule="auto"/>
        <w:ind w:left="0" w:firstLine="0"/>
        <w:outlineLvl w:val="0"/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</w:pPr>
      <w:bookmarkStart w:id="6" w:name="_Toc16412283"/>
      <w:r w:rsidRPr="00D45AE3"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  <w:t>Číslování zpráv</w:t>
      </w:r>
      <w:bookmarkEnd w:id="6"/>
      <w:r w:rsidRPr="00D45AE3"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  <w:t xml:space="preserve"> </w:t>
      </w:r>
    </w:p>
    <w:p w:rsidR="00733778" w:rsidRPr="00D45AE3" w:rsidRDefault="00733778" w:rsidP="0073377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 xml:space="preserve">Číslo bude vygenerováno po uložení do IS (externí </w:t>
      </w:r>
      <w:proofErr w:type="spellStart"/>
      <w:r w:rsidRPr="00D45AE3">
        <w:rPr>
          <w:rFonts w:ascii="Segoe UI" w:eastAsia="Times New Roman" w:hAnsi="Segoe UI" w:cs="Segoe UI"/>
          <w:lang w:eastAsia="cs-CZ"/>
        </w:rPr>
        <w:t>Jira</w:t>
      </w:r>
      <w:proofErr w:type="spellEnd"/>
      <w:r w:rsidRPr="00D45AE3">
        <w:rPr>
          <w:rFonts w:ascii="Segoe UI" w:eastAsia="Times New Roman" w:hAnsi="Segoe UI" w:cs="Segoe UI"/>
          <w:lang w:eastAsia="cs-CZ"/>
        </w:rPr>
        <w:t>). Každé hlášení tím získá unikátní číslo; číselná řada nebude souvislá a nebude začínat od 1.</w:t>
      </w:r>
    </w:p>
    <w:p w:rsidR="00733778" w:rsidRPr="00D45AE3" w:rsidRDefault="00733778" w:rsidP="00733778">
      <w:pPr>
        <w:keepNext/>
        <w:numPr>
          <w:ilvl w:val="0"/>
          <w:numId w:val="2"/>
        </w:numPr>
        <w:spacing w:before="240" w:after="60" w:line="240" w:lineRule="auto"/>
        <w:ind w:left="0" w:firstLine="0"/>
        <w:outlineLvl w:val="0"/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</w:pPr>
      <w:r w:rsidRPr="00D45AE3">
        <w:rPr>
          <w:rFonts w:ascii="Segoe UI" w:eastAsia="Times New Roman" w:hAnsi="Segoe UI" w:cs="Segoe UI"/>
          <w:b/>
          <w:bCs/>
          <w:kern w:val="32"/>
          <w:u w:val="single"/>
          <w:lang w:eastAsia="cs-CZ"/>
        </w:rPr>
        <w:t xml:space="preserve"> Oprávněné osoby ZP a SZP</w:t>
      </w:r>
    </w:p>
    <w:p w:rsidR="00733778" w:rsidRPr="00D45AE3" w:rsidRDefault="00733778" w:rsidP="0073377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Jednotlivé ZP a SZP určují v příloze č. 1 tohoto Jednacího řádu Portálu ZP osoby oprávněné k řešení provozních nedostatků Portálu ZP.</w:t>
      </w:r>
      <w:r w:rsidRPr="00D45AE3">
        <w:rPr>
          <w:rFonts w:ascii="Segoe UI" w:eastAsia="Times New Roman" w:hAnsi="Segoe UI" w:cs="Segoe UI"/>
          <w:lang w:eastAsia="cs-CZ"/>
        </w:rPr>
        <w:br w:type="page"/>
      </w:r>
    </w:p>
    <w:p w:rsidR="00733778" w:rsidRPr="00D45AE3" w:rsidRDefault="00733778" w:rsidP="00733778">
      <w:pPr>
        <w:spacing w:after="0" w:line="240" w:lineRule="auto"/>
        <w:rPr>
          <w:rFonts w:ascii="Segoe UI" w:eastAsia="Times New Roman" w:hAnsi="Segoe UI" w:cs="Segoe UI"/>
          <w:lang w:eastAsia="cs-CZ"/>
        </w:rPr>
      </w:pPr>
    </w:p>
    <w:p w:rsidR="00733778" w:rsidRPr="00D45AE3" w:rsidRDefault="00733778" w:rsidP="00733778">
      <w:pPr>
        <w:keepNext/>
        <w:spacing w:before="240" w:after="60" w:line="240" w:lineRule="auto"/>
        <w:outlineLvl w:val="1"/>
        <w:rPr>
          <w:rFonts w:ascii="Segoe UI" w:eastAsia="Times New Roman" w:hAnsi="Segoe UI" w:cs="Segoe UI"/>
          <w:b/>
          <w:bCs/>
          <w:i/>
          <w:iCs/>
          <w:lang w:eastAsia="cs-CZ"/>
        </w:rPr>
      </w:pPr>
      <w:bookmarkStart w:id="7" w:name="_Ref489611786"/>
      <w:r w:rsidRPr="00D45AE3">
        <w:rPr>
          <w:rFonts w:ascii="Segoe UI" w:eastAsia="Times New Roman" w:hAnsi="Segoe UI" w:cs="Segoe UI"/>
          <w:b/>
          <w:bCs/>
          <w:i/>
          <w:iCs/>
          <w:lang w:eastAsia="cs-CZ"/>
        </w:rPr>
        <w:t xml:space="preserve">Příloha č. 1 Oprávnění představitelé </w:t>
      </w:r>
      <w:bookmarkEnd w:id="7"/>
      <w:r w:rsidRPr="00D45AE3">
        <w:rPr>
          <w:rFonts w:ascii="Segoe UI" w:eastAsia="Times New Roman" w:hAnsi="Segoe UI" w:cs="Segoe UI"/>
          <w:b/>
          <w:bCs/>
          <w:i/>
          <w:iCs/>
          <w:lang w:eastAsia="cs-CZ"/>
        </w:rPr>
        <w:t>ZP a SZP</w:t>
      </w:r>
    </w:p>
    <w:p w:rsidR="00733778" w:rsidRPr="00D45AE3" w:rsidRDefault="00733778" w:rsidP="00733778">
      <w:pPr>
        <w:spacing w:after="0" w:line="240" w:lineRule="auto"/>
        <w:rPr>
          <w:rFonts w:ascii="Segoe UI" w:eastAsia="Times New Roman" w:hAnsi="Segoe UI" w:cs="Segoe UI"/>
          <w:lang w:eastAsia="cs-CZ"/>
        </w:rPr>
      </w:pPr>
      <w:r w:rsidRPr="00D45AE3">
        <w:rPr>
          <w:rFonts w:ascii="Segoe UI" w:eastAsia="Times New Roman" w:hAnsi="Segoe UI" w:cs="Segoe UI"/>
          <w:lang w:eastAsia="cs-CZ"/>
        </w:rPr>
        <w:t>Níže uvedení představitelé ZP a SZP mohou delegovat své zástupce se stejnými oprávněními; takto delegovaní zástupci se v níže uvedeném seznamu explicitně neevidují.</w:t>
      </w:r>
    </w:p>
    <w:p w:rsidR="00733778" w:rsidRPr="00D45AE3" w:rsidRDefault="00733778" w:rsidP="00733778">
      <w:pPr>
        <w:spacing w:after="0" w:line="240" w:lineRule="auto"/>
        <w:ind w:left="360"/>
        <w:rPr>
          <w:rFonts w:ascii="Segoe UI" w:eastAsia="Times New Roman" w:hAnsi="Segoe UI" w:cs="Segoe UI"/>
          <w:b/>
          <w:lang w:eastAsia="cs-CZ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58"/>
        <w:gridCol w:w="3310"/>
        <w:gridCol w:w="5018"/>
      </w:tblGrid>
      <w:tr w:rsidR="00733778" w:rsidRPr="00D45AE3" w:rsidTr="00F8253B">
        <w:trPr>
          <w:trHeight w:val="828"/>
        </w:trPr>
        <w:tc>
          <w:tcPr>
            <w:tcW w:w="9286" w:type="dxa"/>
            <w:gridSpan w:val="3"/>
            <w:vAlign w:val="center"/>
          </w:tcPr>
          <w:p w:rsidR="00733778" w:rsidRPr="00D45AE3" w:rsidRDefault="00733778" w:rsidP="00F8253B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b/>
                <w:sz w:val="22"/>
                <w:szCs w:val="22"/>
              </w:rPr>
              <w:t>Oprávnění představitelé – kontakty na ZP a SZP</w:t>
            </w:r>
          </w:p>
        </w:tc>
      </w:tr>
      <w:tr w:rsidR="00733778" w:rsidRPr="00D45AE3" w:rsidTr="00F8253B">
        <w:trPr>
          <w:trHeight w:val="828"/>
        </w:trPr>
        <w:tc>
          <w:tcPr>
            <w:tcW w:w="958" w:type="dxa"/>
            <w:vMerge w:val="restart"/>
            <w:vAlign w:val="center"/>
          </w:tcPr>
          <w:p w:rsidR="00733778" w:rsidRPr="00D45AE3" w:rsidRDefault="00733778" w:rsidP="00F8253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ČPZP</w:t>
            </w:r>
          </w:p>
        </w:tc>
        <w:tc>
          <w:tcPr>
            <w:tcW w:w="3310" w:type="dxa"/>
            <w:vAlign w:val="center"/>
          </w:tcPr>
          <w:p w:rsidR="00733778" w:rsidRPr="00D45AE3" w:rsidRDefault="00733778" w:rsidP="00F8253B">
            <w:pPr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IT (provoz)</w:t>
            </w:r>
          </w:p>
        </w:tc>
        <w:tc>
          <w:tcPr>
            <w:tcW w:w="5018" w:type="dxa"/>
            <w:vAlign w:val="center"/>
          </w:tcPr>
          <w:p w:rsidR="00733778" w:rsidRPr="00D45AE3" w:rsidRDefault="003C1566" w:rsidP="00F8253B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XXXXXXXXXXXXXXXXXXXXX</w:t>
            </w:r>
          </w:p>
        </w:tc>
      </w:tr>
      <w:tr w:rsidR="00733778" w:rsidRPr="00D45AE3" w:rsidTr="00F8253B">
        <w:trPr>
          <w:trHeight w:val="828"/>
        </w:trPr>
        <w:tc>
          <w:tcPr>
            <w:tcW w:w="958" w:type="dxa"/>
            <w:vMerge/>
            <w:vAlign w:val="center"/>
          </w:tcPr>
          <w:p w:rsidR="00733778" w:rsidRPr="00D45AE3" w:rsidRDefault="00733778" w:rsidP="00F8253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10" w:type="dxa"/>
            <w:vAlign w:val="center"/>
          </w:tcPr>
          <w:p w:rsidR="00733778" w:rsidRPr="00D45AE3" w:rsidRDefault="00733778" w:rsidP="00F8253B">
            <w:pPr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Řídící rada (strategické rozhodování)</w:t>
            </w:r>
          </w:p>
        </w:tc>
        <w:tc>
          <w:tcPr>
            <w:tcW w:w="5018" w:type="dxa"/>
            <w:vAlign w:val="center"/>
          </w:tcPr>
          <w:p w:rsidR="00733778" w:rsidRPr="00D45AE3" w:rsidRDefault="003C1566" w:rsidP="00F8253B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XXXXXXXXXXXXXXXXXXXXX</w:t>
            </w:r>
            <w:r w:rsidR="00733778" w:rsidRPr="00D45A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733778" w:rsidRPr="00D45AE3" w:rsidTr="00F8253B">
        <w:trPr>
          <w:trHeight w:val="828"/>
        </w:trPr>
        <w:tc>
          <w:tcPr>
            <w:tcW w:w="958" w:type="dxa"/>
            <w:vMerge w:val="restart"/>
            <w:vAlign w:val="center"/>
          </w:tcPr>
          <w:p w:rsidR="00733778" w:rsidRPr="00D45AE3" w:rsidRDefault="00733778" w:rsidP="00F8253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OZP</w:t>
            </w:r>
          </w:p>
        </w:tc>
        <w:tc>
          <w:tcPr>
            <w:tcW w:w="3310" w:type="dxa"/>
            <w:vAlign w:val="center"/>
          </w:tcPr>
          <w:p w:rsidR="00733778" w:rsidRPr="00D45AE3" w:rsidRDefault="00733778" w:rsidP="00F8253B">
            <w:pPr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IT (provoz)</w:t>
            </w:r>
          </w:p>
        </w:tc>
        <w:tc>
          <w:tcPr>
            <w:tcW w:w="5018" w:type="dxa"/>
            <w:vAlign w:val="center"/>
          </w:tcPr>
          <w:p w:rsidR="00733778" w:rsidRPr="00D45AE3" w:rsidRDefault="003C1566" w:rsidP="00F8253B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XXXXXXXXXXXXXXXXXXXXXXXXXXX</w:t>
            </w:r>
            <w:r w:rsidR="00733778" w:rsidRPr="00D45A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733778" w:rsidRPr="00D45AE3" w:rsidTr="00F8253B">
        <w:trPr>
          <w:trHeight w:val="828"/>
        </w:trPr>
        <w:tc>
          <w:tcPr>
            <w:tcW w:w="958" w:type="dxa"/>
            <w:vMerge/>
            <w:vAlign w:val="center"/>
          </w:tcPr>
          <w:p w:rsidR="00733778" w:rsidRPr="00D45AE3" w:rsidRDefault="00733778" w:rsidP="00F8253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10" w:type="dxa"/>
            <w:vAlign w:val="center"/>
          </w:tcPr>
          <w:p w:rsidR="00733778" w:rsidRPr="00D45AE3" w:rsidRDefault="00733778" w:rsidP="00F8253B">
            <w:pPr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Řídící rada (strategické rozhodování)</w:t>
            </w:r>
          </w:p>
        </w:tc>
        <w:tc>
          <w:tcPr>
            <w:tcW w:w="5018" w:type="dxa"/>
            <w:vAlign w:val="center"/>
          </w:tcPr>
          <w:p w:rsidR="00733778" w:rsidRPr="00D45AE3" w:rsidRDefault="003C1566" w:rsidP="00F8253B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XXXXXXXXXXXXXXXXXXXXXXXXXXXXX</w:t>
            </w:r>
          </w:p>
        </w:tc>
      </w:tr>
      <w:tr w:rsidR="00733778" w:rsidRPr="00D45AE3" w:rsidTr="00F8253B">
        <w:trPr>
          <w:trHeight w:val="828"/>
        </w:trPr>
        <w:tc>
          <w:tcPr>
            <w:tcW w:w="958" w:type="dxa"/>
            <w:vMerge w:val="restart"/>
            <w:vAlign w:val="center"/>
          </w:tcPr>
          <w:p w:rsidR="00733778" w:rsidRPr="00D45AE3" w:rsidRDefault="00733778" w:rsidP="00F8253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RBP</w:t>
            </w:r>
          </w:p>
        </w:tc>
        <w:tc>
          <w:tcPr>
            <w:tcW w:w="3310" w:type="dxa"/>
            <w:vAlign w:val="center"/>
          </w:tcPr>
          <w:p w:rsidR="00733778" w:rsidRPr="00D45AE3" w:rsidRDefault="00733778" w:rsidP="00F8253B">
            <w:pPr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IT (provoz)</w:t>
            </w:r>
          </w:p>
        </w:tc>
        <w:tc>
          <w:tcPr>
            <w:tcW w:w="5018" w:type="dxa"/>
            <w:vAlign w:val="center"/>
          </w:tcPr>
          <w:p w:rsidR="00733778" w:rsidRPr="00D45AE3" w:rsidRDefault="003C1566" w:rsidP="00F8253B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XXXXXXXXXXXXXXXXXXXXXXXXXXXXX</w:t>
            </w:r>
            <w:r w:rsidR="00733778" w:rsidRPr="00D45A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733778" w:rsidRPr="00D45AE3" w:rsidTr="00F8253B">
        <w:trPr>
          <w:trHeight w:val="828"/>
        </w:trPr>
        <w:tc>
          <w:tcPr>
            <w:tcW w:w="958" w:type="dxa"/>
            <w:vMerge/>
            <w:vAlign w:val="center"/>
          </w:tcPr>
          <w:p w:rsidR="00733778" w:rsidRPr="00D45AE3" w:rsidRDefault="00733778" w:rsidP="00F8253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10" w:type="dxa"/>
            <w:vAlign w:val="center"/>
          </w:tcPr>
          <w:p w:rsidR="00733778" w:rsidRPr="00D45AE3" w:rsidRDefault="00733778" w:rsidP="00F8253B">
            <w:pPr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Řídící rada (strategické rozhodování)</w:t>
            </w:r>
          </w:p>
        </w:tc>
        <w:tc>
          <w:tcPr>
            <w:tcW w:w="5018" w:type="dxa"/>
            <w:vAlign w:val="center"/>
          </w:tcPr>
          <w:p w:rsidR="00733778" w:rsidRPr="00D45AE3" w:rsidRDefault="003C1566" w:rsidP="00F8253B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XXXXXXXXXXXXXXXXXXXXXXXXXXXXX</w:t>
            </w:r>
            <w:r w:rsidR="00733778" w:rsidRPr="00D45A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733778" w:rsidRPr="00D45AE3" w:rsidTr="00F8253B">
        <w:trPr>
          <w:trHeight w:val="828"/>
        </w:trPr>
        <w:tc>
          <w:tcPr>
            <w:tcW w:w="958" w:type="dxa"/>
            <w:vMerge w:val="restart"/>
            <w:vAlign w:val="center"/>
          </w:tcPr>
          <w:p w:rsidR="00733778" w:rsidRPr="00D45AE3" w:rsidRDefault="00733778" w:rsidP="00F8253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D45AE3">
              <w:rPr>
                <w:rFonts w:ascii="Segoe UI" w:hAnsi="Segoe UI" w:cs="Segoe UI"/>
                <w:sz w:val="22"/>
                <w:szCs w:val="22"/>
                <w:lang w:val="en-US"/>
              </w:rPr>
              <w:t>VoZP</w:t>
            </w:r>
            <w:proofErr w:type="spellEnd"/>
            <w:r w:rsidRPr="00D45AE3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 ČR</w:t>
            </w:r>
          </w:p>
        </w:tc>
        <w:tc>
          <w:tcPr>
            <w:tcW w:w="3310" w:type="dxa"/>
            <w:vAlign w:val="center"/>
          </w:tcPr>
          <w:p w:rsidR="00733778" w:rsidRPr="00D45AE3" w:rsidRDefault="00733778" w:rsidP="00F8253B">
            <w:pPr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IT (provoz)</w:t>
            </w:r>
          </w:p>
        </w:tc>
        <w:tc>
          <w:tcPr>
            <w:tcW w:w="5018" w:type="dxa"/>
            <w:vAlign w:val="center"/>
          </w:tcPr>
          <w:p w:rsidR="00733778" w:rsidRPr="00D45AE3" w:rsidRDefault="003C1566" w:rsidP="00F8253B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XXXXXXXXXXXXXXXXXXXXXXXX</w:t>
            </w:r>
            <w:r w:rsidR="00733778" w:rsidRPr="00D45A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733778" w:rsidRPr="00D45AE3" w:rsidTr="00F8253B">
        <w:trPr>
          <w:trHeight w:val="828"/>
        </w:trPr>
        <w:tc>
          <w:tcPr>
            <w:tcW w:w="958" w:type="dxa"/>
            <w:vMerge/>
            <w:vAlign w:val="center"/>
          </w:tcPr>
          <w:p w:rsidR="00733778" w:rsidRPr="00D45AE3" w:rsidRDefault="00733778" w:rsidP="00F8253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10" w:type="dxa"/>
            <w:vAlign w:val="center"/>
          </w:tcPr>
          <w:p w:rsidR="00733778" w:rsidRPr="00D45AE3" w:rsidRDefault="00733778" w:rsidP="00F8253B">
            <w:pPr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Řídící rada (strategické rozhodování)</w:t>
            </w:r>
          </w:p>
        </w:tc>
        <w:tc>
          <w:tcPr>
            <w:tcW w:w="5018" w:type="dxa"/>
            <w:vAlign w:val="center"/>
          </w:tcPr>
          <w:p w:rsidR="00733778" w:rsidRPr="00D45AE3" w:rsidRDefault="003C1566" w:rsidP="00F8253B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XXXXXXXXXXXXXXXXXXXXXXXXXXXXXX</w:t>
            </w:r>
          </w:p>
        </w:tc>
      </w:tr>
      <w:tr w:rsidR="00733778" w:rsidRPr="00D45AE3" w:rsidTr="00F8253B">
        <w:trPr>
          <w:trHeight w:val="828"/>
        </w:trPr>
        <w:tc>
          <w:tcPr>
            <w:tcW w:w="958" w:type="dxa"/>
            <w:vMerge w:val="restart"/>
            <w:vAlign w:val="center"/>
          </w:tcPr>
          <w:p w:rsidR="00733778" w:rsidRPr="00D45AE3" w:rsidRDefault="00733778" w:rsidP="00F8253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  <w:lang w:val="en-US"/>
              </w:rPr>
              <w:t>ZPŠ</w:t>
            </w:r>
          </w:p>
        </w:tc>
        <w:tc>
          <w:tcPr>
            <w:tcW w:w="3310" w:type="dxa"/>
            <w:vAlign w:val="center"/>
          </w:tcPr>
          <w:p w:rsidR="00733778" w:rsidRPr="00D45AE3" w:rsidRDefault="00733778" w:rsidP="00F8253B">
            <w:pPr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IT (provoz)</w:t>
            </w:r>
          </w:p>
        </w:tc>
        <w:tc>
          <w:tcPr>
            <w:tcW w:w="5018" w:type="dxa"/>
            <w:vAlign w:val="center"/>
          </w:tcPr>
          <w:p w:rsidR="00733778" w:rsidRPr="00D45AE3" w:rsidRDefault="003C1566" w:rsidP="00F8253B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XXXXXXXXXXXXXXXXXXXXXXXXXXXXX</w:t>
            </w:r>
            <w:r w:rsidR="00733778" w:rsidRPr="00D45A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733778" w:rsidRPr="00D45AE3" w:rsidTr="00F8253B">
        <w:trPr>
          <w:trHeight w:val="828"/>
        </w:trPr>
        <w:tc>
          <w:tcPr>
            <w:tcW w:w="958" w:type="dxa"/>
            <w:vMerge/>
          </w:tcPr>
          <w:p w:rsidR="00733778" w:rsidRPr="00D45AE3" w:rsidRDefault="00733778" w:rsidP="00F8253B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10" w:type="dxa"/>
            <w:vAlign w:val="center"/>
          </w:tcPr>
          <w:p w:rsidR="00733778" w:rsidRPr="00D45AE3" w:rsidRDefault="00733778" w:rsidP="00F8253B">
            <w:pPr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Řídící rada (strategické rozhodování)</w:t>
            </w:r>
          </w:p>
        </w:tc>
        <w:tc>
          <w:tcPr>
            <w:tcW w:w="5018" w:type="dxa"/>
            <w:vAlign w:val="center"/>
          </w:tcPr>
          <w:p w:rsidR="00733778" w:rsidRPr="00D45AE3" w:rsidRDefault="003C1566" w:rsidP="00F8253B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XXXXXXXXXXXXXXXXXXXXXXXX</w:t>
            </w:r>
          </w:p>
        </w:tc>
      </w:tr>
      <w:tr w:rsidR="00733778" w:rsidRPr="00D45AE3" w:rsidTr="00F8253B">
        <w:trPr>
          <w:trHeight w:val="828"/>
        </w:trPr>
        <w:tc>
          <w:tcPr>
            <w:tcW w:w="958" w:type="dxa"/>
          </w:tcPr>
          <w:p w:rsidR="00733778" w:rsidRPr="00D45AE3" w:rsidRDefault="00733778" w:rsidP="00F8253B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733778" w:rsidRPr="00D45AE3" w:rsidRDefault="00733778" w:rsidP="00F8253B">
            <w:pPr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SZP</w:t>
            </w:r>
          </w:p>
        </w:tc>
        <w:tc>
          <w:tcPr>
            <w:tcW w:w="3310" w:type="dxa"/>
            <w:vAlign w:val="center"/>
          </w:tcPr>
          <w:p w:rsidR="00733778" w:rsidRPr="00D45AE3" w:rsidRDefault="00733778" w:rsidP="00F8253B">
            <w:pPr>
              <w:rPr>
                <w:rFonts w:ascii="Segoe UI" w:hAnsi="Segoe UI" w:cs="Segoe UI"/>
                <w:sz w:val="22"/>
                <w:szCs w:val="22"/>
              </w:rPr>
            </w:pPr>
            <w:r w:rsidRPr="00D45AE3">
              <w:rPr>
                <w:rFonts w:ascii="Segoe UI" w:hAnsi="Segoe UI" w:cs="Segoe UI"/>
                <w:sz w:val="22"/>
                <w:szCs w:val="22"/>
              </w:rPr>
              <w:t>Ředitel SZP</w:t>
            </w:r>
          </w:p>
        </w:tc>
        <w:tc>
          <w:tcPr>
            <w:tcW w:w="5018" w:type="dxa"/>
            <w:vAlign w:val="center"/>
          </w:tcPr>
          <w:p w:rsidR="00733778" w:rsidRPr="00D45AE3" w:rsidRDefault="003C1566" w:rsidP="00F8253B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XXXXXXXXXXXXXXXXXXXXXXXXXXX</w:t>
            </w:r>
            <w:bookmarkStart w:id="8" w:name="_GoBack"/>
            <w:bookmarkEnd w:id="8"/>
          </w:p>
        </w:tc>
      </w:tr>
    </w:tbl>
    <w:p w:rsidR="00421D63" w:rsidRDefault="00421D63"/>
    <w:sectPr w:rsidR="00421D6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78" w:rsidRDefault="00733778" w:rsidP="00733778">
      <w:pPr>
        <w:spacing w:after="0" w:line="240" w:lineRule="auto"/>
      </w:pPr>
      <w:r>
        <w:separator/>
      </w:r>
    </w:p>
  </w:endnote>
  <w:endnote w:type="continuationSeparator" w:id="0">
    <w:p w:rsidR="00733778" w:rsidRDefault="00733778" w:rsidP="007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1623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33778" w:rsidRDefault="0073377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156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156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3778" w:rsidRDefault="007337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78" w:rsidRDefault="00733778" w:rsidP="00733778">
      <w:pPr>
        <w:spacing w:after="0" w:line="240" w:lineRule="auto"/>
      </w:pPr>
      <w:r>
        <w:separator/>
      </w:r>
    </w:p>
  </w:footnote>
  <w:footnote w:type="continuationSeparator" w:id="0">
    <w:p w:rsidR="00733778" w:rsidRDefault="00733778" w:rsidP="0073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78" w:rsidRPr="00733778" w:rsidRDefault="00733778" w:rsidP="00733778">
    <w:pPr>
      <w:rPr>
        <w:rFonts w:ascii="Segoe UI" w:hAnsi="Segoe UI" w:cs="Segoe UI"/>
        <w:i/>
        <w:iCs/>
        <w:sz w:val="20"/>
        <w:szCs w:val="20"/>
      </w:rPr>
    </w:pPr>
    <w:r w:rsidRPr="00733778">
      <w:rPr>
        <w:rFonts w:ascii="Segoe UI" w:hAnsi="Segoe UI" w:cs="Segoe UI"/>
        <w:i/>
        <w:iCs/>
        <w:sz w:val="20"/>
        <w:szCs w:val="20"/>
      </w:rPr>
      <w:t>Příloha č. 1 Smlouva o postoupení Rámcových smluv a Provozních smluv</w:t>
    </w:r>
  </w:p>
  <w:p w:rsidR="00733778" w:rsidRDefault="007337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6E5"/>
    <w:multiLevelType w:val="singleLevel"/>
    <w:tmpl w:val="D47887A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0BE3343A"/>
    <w:multiLevelType w:val="hybridMultilevel"/>
    <w:tmpl w:val="64BCF3A6"/>
    <w:lvl w:ilvl="0" w:tplc="CEC8700E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44D1D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E8300A6"/>
    <w:multiLevelType w:val="hybridMultilevel"/>
    <w:tmpl w:val="1932FC7E"/>
    <w:lvl w:ilvl="0" w:tplc="CEC87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44D1D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6C7AF1DA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42D61A7"/>
    <w:multiLevelType w:val="hybridMultilevel"/>
    <w:tmpl w:val="387EB2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C20FCA"/>
    <w:multiLevelType w:val="hybridMultilevel"/>
    <w:tmpl w:val="C31818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3D6901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566B1CAE"/>
    <w:multiLevelType w:val="hybridMultilevel"/>
    <w:tmpl w:val="D92291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962F8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1FE7162"/>
    <w:multiLevelType w:val="hybridMultilevel"/>
    <w:tmpl w:val="096262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90268F"/>
    <w:multiLevelType w:val="hybridMultilevel"/>
    <w:tmpl w:val="ED7C7270"/>
    <w:lvl w:ilvl="0" w:tplc="6C7AF1DA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0">
    <w:nsid w:val="753071E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D8B130E"/>
    <w:multiLevelType w:val="hybridMultilevel"/>
    <w:tmpl w:val="64406D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78"/>
    <w:rsid w:val="003C1566"/>
    <w:rsid w:val="00421D63"/>
    <w:rsid w:val="007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778"/>
  </w:style>
  <w:style w:type="paragraph" w:styleId="Nadpis1">
    <w:name w:val="heading 1"/>
    <w:basedOn w:val="Normln"/>
    <w:next w:val="Normln"/>
    <w:link w:val="Nadpis1Char"/>
    <w:qFormat/>
    <w:rsid w:val="00733778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3778"/>
    <w:rPr>
      <w:rFonts w:ascii="Times New Roman" w:eastAsia="Times New Roman" w:hAnsi="Times New Roman" w:cs="Times New Roman"/>
      <w:b/>
      <w:bCs/>
      <w:kern w:val="32"/>
      <w:sz w:val="28"/>
      <w:szCs w:val="32"/>
      <w:u w:val="single"/>
      <w:lang w:eastAsia="cs-CZ"/>
    </w:rPr>
  </w:style>
  <w:style w:type="table" w:customStyle="1" w:styleId="Mkatabulky1">
    <w:name w:val="Mřížka tabulky1"/>
    <w:basedOn w:val="Normlntabulka"/>
    <w:next w:val="Mkatabulky"/>
    <w:rsid w:val="0073377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3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778"/>
  </w:style>
  <w:style w:type="paragraph" w:styleId="Zpat">
    <w:name w:val="footer"/>
    <w:basedOn w:val="Normln"/>
    <w:link w:val="ZpatChar"/>
    <w:uiPriority w:val="99"/>
    <w:unhideWhenUsed/>
    <w:rsid w:val="0073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778"/>
  </w:style>
  <w:style w:type="paragraph" w:styleId="Nadpis1">
    <w:name w:val="heading 1"/>
    <w:basedOn w:val="Normln"/>
    <w:next w:val="Normln"/>
    <w:link w:val="Nadpis1Char"/>
    <w:qFormat/>
    <w:rsid w:val="00733778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3778"/>
    <w:rPr>
      <w:rFonts w:ascii="Times New Roman" w:eastAsia="Times New Roman" w:hAnsi="Times New Roman" w:cs="Times New Roman"/>
      <w:b/>
      <w:bCs/>
      <w:kern w:val="32"/>
      <w:sz w:val="28"/>
      <w:szCs w:val="32"/>
      <w:u w:val="single"/>
      <w:lang w:eastAsia="cs-CZ"/>
    </w:rPr>
  </w:style>
  <w:style w:type="table" w:customStyle="1" w:styleId="Mkatabulky1">
    <w:name w:val="Mřížka tabulky1"/>
    <w:basedOn w:val="Normlntabulka"/>
    <w:next w:val="Mkatabulky"/>
    <w:rsid w:val="0073377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3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778"/>
  </w:style>
  <w:style w:type="paragraph" w:styleId="Zpat">
    <w:name w:val="footer"/>
    <w:basedOn w:val="Normln"/>
    <w:link w:val="ZpatChar"/>
    <w:uiPriority w:val="99"/>
    <w:unhideWhenUsed/>
    <w:rsid w:val="0073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P.hotline@asseco-c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868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Balada</dc:creator>
  <cp:keywords/>
  <dc:description/>
  <cp:lastModifiedBy>Vávrová, Vlasta</cp:lastModifiedBy>
  <cp:revision>2</cp:revision>
  <dcterms:created xsi:type="dcterms:W3CDTF">2019-09-03T12:30:00Z</dcterms:created>
  <dcterms:modified xsi:type="dcterms:W3CDTF">2019-12-13T06:23:00Z</dcterms:modified>
</cp:coreProperties>
</file>