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76" w:rsidRDefault="00574A76" w:rsidP="00C923D2">
      <w:pPr>
        <w:jc w:val="center"/>
        <w:rPr>
          <w:b/>
          <w:sz w:val="36"/>
          <w:szCs w:val="36"/>
        </w:rPr>
      </w:pPr>
    </w:p>
    <w:p w:rsidR="00D5389D" w:rsidRDefault="00C923D2" w:rsidP="00C923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</w:t>
      </w:r>
    </w:p>
    <w:p w:rsidR="00C923D2" w:rsidRDefault="00C923D2" w:rsidP="00C923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poskytování služby – </w:t>
      </w:r>
      <w:r w:rsidR="00292A7E"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>dodávce elektřiny</w:t>
      </w:r>
    </w:p>
    <w:p w:rsidR="00C923D2" w:rsidRPr="00502067" w:rsidRDefault="00296428" w:rsidP="003463E5">
      <w:pPr>
        <w:jc w:val="center"/>
        <w:rPr>
          <w:sz w:val="28"/>
          <w:szCs w:val="28"/>
        </w:rPr>
      </w:pPr>
      <w:r w:rsidRPr="00B91CCF">
        <w:rPr>
          <w:sz w:val="28"/>
          <w:szCs w:val="28"/>
        </w:rPr>
        <w:t>č.</w:t>
      </w:r>
      <w:r w:rsidR="003463E5" w:rsidRPr="00B91CCF">
        <w:rPr>
          <w:sz w:val="28"/>
          <w:szCs w:val="28"/>
        </w:rPr>
        <w:t xml:space="preserve"> </w:t>
      </w:r>
      <w:r w:rsidR="00502067" w:rsidRPr="00502067">
        <w:rPr>
          <w:sz w:val="28"/>
          <w:szCs w:val="28"/>
        </w:rPr>
        <w:t>1262/2016</w:t>
      </w:r>
    </w:p>
    <w:p w:rsidR="00C923D2" w:rsidRDefault="00C923D2" w:rsidP="00C923D2">
      <w:pPr>
        <w:jc w:val="both"/>
      </w:pPr>
    </w:p>
    <w:p w:rsidR="00C923D2" w:rsidRDefault="00C923D2" w:rsidP="00C923D2">
      <w:pPr>
        <w:jc w:val="both"/>
      </w:pPr>
      <w:r>
        <w:rPr>
          <w:b/>
        </w:rPr>
        <w:t xml:space="preserve">I. </w:t>
      </w:r>
      <w:r>
        <w:rPr>
          <w:b/>
          <w:u w:val="single"/>
        </w:rPr>
        <w:t>Smluvní strany</w:t>
      </w:r>
    </w:p>
    <w:p w:rsidR="00C923D2" w:rsidRDefault="00C923D2" w:rsidP="00C923D2">
      <w:pPr>
        <w:widowControl w:val="0"/>
        <w:tabs>
          <w:tab w:val="left" w:pos="227"/>
          <w:tab w:val="left" w:pos="1985"/>
        </w:tabs>
        <w:jc w:val="both"/>
        <w:rPr>
          <w:snapToGrid w:val="0"/>
        </w:rPr>
      </w:pPr>
      <w:r>
        <w:tab/>
      </w:r>
      <w:r w:rsidRPr="00C923D2">
        <w:rPr>
          <w:b/>
        </w:rPr>
        <w:t>1) Dodavatel:</w:t>
      </w:r>
      <w:r>
        <w:rPr>
          <w:b/>
        </w:rPr>
        <w:tab/>
      </w:r>
      <w:r>
        <w:rPr>
          <w:snapToGrid w:val="0"/>
        </w:rPr>
        <w:t>Povodí Ohře, státní podnik</w:t>
      </w:r>
    </w:p>
    <w:p w:rsidR="00C923D2" w:rsidRDefault="00C923D2" w:rsidP="00C923D2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 xml:space="preserve">Bezručova </w:t>
      </w:r>
      <w:proofErr w:type="gramStart"/>
      <w:r>
        <w:rPr>
          <w:snapToGrid w:val="0"/>
        </w:rPr>
        <w:t>4219,  430 03</w:t>
      </w:r>
      <w:proofErr w:type="gramEnd"/>
      <w:r>
        <w:rPr>
          <w:snapToGrid w:val="0"/>
        </w:rPr>
        <w:t xml:space="preserve">  Chomutov</w:t>
      </w:r>
    </w:p>
    <w:p w:rsidR="00C923D2" w:rsidRDefault="00C923D2" w:rsidP="00C923D2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 xml:space="preserve">zastoupený Ing. </w:t>
      </w:r>
      <w:r w:rsidR="00955971">
        <w:rPr>
          <w:snapToGrid w:val="0"/>
        </w:rPr>
        <w:t>Jiřím Nedomou</w:t>
      </w:r>
      <w:r>
        <w:rPr>
          <w:snapToGrid w:val="0"/>
        </w:rPr>
        <w:t>, generálním ředitelem</w:t>
      </w:r>
    </w:p>
    <w:p w:rsidR="00C923D2" w:rsidRDefault="00C923D2" w:rsidP="00C923D2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 xml:space="preserve">ve věcech smluvních Ing. </w:t>
      </w:r>
      <w:r w:rsidR="00FC44E3">
        <w:rPr>
          <w:snapToGrid w:val="0"/>
        </w:rPr>
        <w:t>Janem Fischerem</w:t>
      </w:r>
      <w:r>
        <w:rPr>
          <w:snapToGrid w:val="0"/>
        </w:rPr>
        <w:t xml:space="preserve">, ekonomickým ředitelem </w:t>
      </w:r>
    </w:p>
    <w:p w:rsidR="00C923D2" w:rsidRDefault="00C923D2" w:rsidP="00C923D2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>bankovní spojení: KB, a. s., pobočka Chomutov, č. ú.  9137441/0100</w:t>
      </w:r>
    </w:p>
    <w:p w:rsidR="00C923D2" w:rsidRDefault="00C923D2" w:rsidP="00C923D2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 xml:space="preserve">IČ: 70889988          </w:t>
      </w:r>
      <w:r>
        <w:rPr>
          <w:snapToGrid w:val="0"/>
        </w:rPr>
        <w:tab/>
        <w:t>DIČ: CZ70889988</w:t>
      </w:r>
    </w:p>
    <w:p w:rsidR="00C923D2" w:rsidRDefault="00C923D2" w:rsidP="00C923D2">
      <w:pPr>
        <w:widowControl w:val="0"/>
        <w:tabs>
          <w:tab w:val="left" w:pos="1985"/>
        </w:tabs>
        <w:jc w:val="both"/>
        <w:rPr>
          <w:snapToGrid w:val="0"/>
          <w:sz w:val="16"/>
        </w:rPr>
      </w:pPr>
    </w:p>
    <w:p w:rsidR="00C923D2" w:rsidRDefault="00C923D2" w:rsidP="00C923D2">
      <w:pPr>
        <w:tabs>
          <w:tab w:val="left" w:pos="284"/>
          <w:tab w:val="left" w:pos="1985"/>
        </w:tabs>
        <w:jc w:val="both"/>
        <w:rPr>
          <w:snapToGrid w:val="0"/>
          <w:sz w:val="16"/>
        </w:rPr>
      </w:pPr>
      <w:r>
        <w:rPr>
          <w:snapToGrid w:val="0"/>
          <w:sz w:val="16"/>
        </w:rPr>
        <w:t>Povodí Ohře, státní podnik je zapsán v obchodním rejstříku u Krajského soudu v Ústí nad Labem, v oddílu A, vložce č. 13052</w:t>
      </w:r>
    </w:p>
    <w:p w:rsidR="00C923D2" w:rsidRDefault="00C923D2" w:rsidP="00C923D2">
      <w:pPr>
        <w:tabs>
          <w:tab w:val="left" w:pos="284"/>
          <w:tab w:val="left" w:pos="1985"/>
        </w:tabs>
        <w:jc w:val="both"/>
        <w:rPr>
          <w:snapToGrid w:val="0"/>
        </w:rPr>
      </w:pPr>
    </w:p>
    <w:p w:rsidR="00C923D2" w:rsidRPr="009C56DD" w:rsidRDefault="00C923D2" w:rsidP="00C923D2">
      <w:pPr>
        <w:tabs>
          <w:tab w:val="left" w:pos="284"/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</w:r>
      <w:r>
        <w:rPr>
          <w:b/>
          <w:snapToGrid w:val="0"/>
        </w:rPr>
        <w:t>2) Odběratel:</w:t>
      </w:r>
      <w:r w:rsidR="007D0867">
        <w:rPr>
          <w:b/>
          <w:snapToGrid w:val="0"/>
        </w:rPr>
        <w:tab/>
      </w:r>
      <w:proofErr w:type="spellStart"/>
      <w:r w:rsidR="00DC7E28">
        <w:rPr>
          <w:snapToGrid w:val="0"/>
        </w:rPr>
        <w:t>AllVitality</w:t>
      </w:r>
      <w:proofErr w:type="spellEnd"/>
      <w:r w:rsidR="00DC7E28">
        <w:rPr>
          <w:snapToGrid w:val="0"/>
        </w:rPr>
        <w:t xml:space="preserve"> s.r.o.</w:t>
      </w:r>
    </w:p>
    <w:p w:rsidR="003463E5" w:rsidRPr="009C56DD" w:rsidRDefault="00EE0EE2" w:rsidP="003463E5">
      <w:pPr>
        <w:tabs>
          <w:tab w:val="left" w:pos="284"/>
          <w:tab w:val="left" w:pos="1985"/>
        </w:tabs>
        <w:jc w:val="both"/>
        <w:rPr>
          <w:snapToGrid w:val="0"/>
        </w:rPr>
      </w:pPr>
      <w:r w:rsidRPr="009C56DD">
        <w:rPr>
          <w:snapToGrid w:val="0"/>
        </w:rPr>
        <w:tab/>
      </w:r>
      <w:r w:rsidRPr="009C56DD">
        <w:rPr>
          <w:snapToGrid w:val="0"/>
        </w:rPr>
        <w:tab/>
      </w:r>
      <w:r w:rsidR="00DC7E28">
        <w:rPr>
          <w:snapToGrid w:val="0"/>
        </w:rPr>
        <w:t>Krále Jiřího 1263/29</w:t>
      </w:r>
    </w:p>
    <w:p w:rsidR="003463E5" w:rsidRPr="009C56DD" w:rsidRDefault="003463E5" w:rsidP="003463E5">
      <w:pPr>
        <w:tabs>
          <w:tab w:val="left" w:pos="284"/>
          <w:tab w:val="left" w:pos="1985"/>
        </w:tabs>
        <w:jc w:val="both"/>
        <w:rPr>
          <w:snapToGrid w:val="0"/>
        </w:rPr>
      </w:pPr>
      <w:r w:rsidRPr="009C56DD">
        <w:rPr>
          <w:snapToGrid w:val="0"/>
        </w:rPr>
        <w:tab/>
      </w:r>
      <w:r w:rsidRPr="009C56DD">
        <w:rPr>
          <w:snapToGrid w:val="0"/>
        </w:rPr>
        <w:tab/>
      </w:r>
      <w:proofErr w:type="gramStart"/>
      <w:r w:rsidRPr="009C56DD">
        <w:rPr>
          <w:snapToGrid w:val="0"/>
        </w:rPr>
        <w:t>360 01  Karlovy</w:t>
      </w:r>
      <w:proofErr w:type="gramEnd"/>
      <w:r w:rsidRPr="009C56DD">
        <w:rPr>
          <w:snapToGrid w:val="0"/>
        </w:rPr>
        <w:t xml:space="preserve"> Vary</w:t>
      </w:r>
    </w:p>
    <w:p w:rsidR="003463E5" w:rsidRDefault="00FC44E3" w:rsidP="003463E5">
      <w:pPr>
        <w:tabs>
          <w:tab w:val="left" w:pos="284"/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zastoupená</w:t>
      </w:r>
      <w:r w:rsidR="003463E5" w:rsidRPr="009C56DD">
        <w:rPr>
          <w:snapToGrid w:val="0"/>
        </w:rPr>
        <w:t xml:space="preserve"> </w:t>
      </w:r>
      <w:proofErr w:type="spellStart"/>
      <w:r w:rsidR="00DC7E28" w:rsidRPr="00DC7E28">
        <w:rPr>
          <w:bCs/>
        </w:rPr>
        <w:t>Juri</w:t>
      </w:r>
      <w:proofErr w:type="spellEnd"/>
      <w:r w:rsidR="00DC7E28" w:rsidRPr="00DC7E28">
        <w:rPr>
          <w:bCs/>
        </w:rPr>
        <w:t xml:space="preserve"> </w:t>
      </w:r>
      <w:proofErr w:type="spellStart"/>
      <w:r w:rsidR="00DC7E28" w:rsidRPr="00DC7E28">
        <w:rPr>
          <w:bCs/>
        </w:rPr>
        <w:t>Jerontjew</w:t>
      </w:r>
      <w:proofErr w:type="spellEnd"/>
      <w:r>
        <w:rPr>
          <w:bCs/>
        </w:rPr>
        <w:t>, jednatel společnosti</w:t>
      </w:r>
    </w:p>
    <w:p w:rsidR="003463E5" w:rsidRDefault="003463E5" w:rsidP="003463E5">
      <w:pPr>
        <w:tabs>
          <w:tab w:val="left" w:pos="284"/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 xml:space="preserve">IČ: </w:t>
      </w:r>
      <w:r w:rsidR="00DC7E28" w:rsidRPr="00DC7E28">
        <w:rPr>
          <w:bCs/>
        </w:rPr>
        <w:t>04498879</w:t>
      </w:r>
      <w:r>
        <w:rPr>
          <w:snapToGrid w:val="0"/>
        </w:rPr>
        <w:tab/>
      </w:r>
    </w:p>
    <w:p w:rsidR="00DC7E28" w:rsidRDefault="00DC7E28" w:rsidP="003463E5">
      <w:pPr>
        <w:tabs>
          <w:tab w:val="left" w:pos="284"/>
          <w:tab w:val="left" w:pos="1985"/>
        </w:tabs>
        <w:jc w:val="both"/>
        <w:rPr>
          <w:b/>
          <w:snapToGrid w:val="0"/>
        </w:rPr>
      </w:pPr>
    </w:p>
    <w:p w:rsidR="009C56DD" w:rsidRDefault="00DC7E28" w:rsidP="00C923D2">
      <w:pPr>
        <w:tabs>
          <w:tab w:val="left" w:pos="284"/>
          <w:tab w:val="left" w:pos="1985"/>
        </w:tabs>
        <w:jc w:val="both"/>
        <w:rPr>
          <w:bCs/>
          <w:sz w:val="16"/>
          <w:szCs w:val="16"/>
        </w:rPr>
      </w:pPr>
      <w:proofErr w:type="spellStart"/>
      <w:r w:rsidRPr="00DC7E28">
        <w:rPr>
          <w:bCs/>
          <w:sz w:val="16"/>
          <w:szCs w:val="16"/>
        </w:rPr>
        <w:t>AllVitality</w:t>
      </w:r>
      <w:proofErr w:type="spellEnd"/>
      <w:r w:rsidRPr="00DC7E28">
        <w:rPr>
          <w:bCs/>
          <w:sz w:val="16"/>
          <w:szCs w:val="16"/>
        </w:rPr>
        <w:t xml:space="preserve"> s.r.o. je zapsána v obchodním rejstříku u Krajského soudu v Plzni v oddílu C, vložce 31798</w:t>
      </w:r>
    </w:p>
    <w:p w:rsidR="00DC7E28" w:rsidRPr="00DC7E28" w:rsidRDefault="00DC7E28" w:rsidP="00C923D2">
      <w:pPr>
        <w:tabs>
          <w:tab w:val="left" w:pos="284"/>
          <w:tab w:val="left" w:pos="1985"/>
        </w:tabs>
        <w:jc w:val="both"/>
        <w:rPr>
          <w:snapToGrid w:val="0"/>
          <w:sz w:val="16"/>
          <w:szCs w:val="16"/>
        </w:rPr>
      </w:pPr>
    </w:p>
    <w:p w:rsidR="00C923D2" w:rsidRDefault="00C923D2" w:rsidP="00C923D2">
      <w:pPr>
        <w:tabs>
          <w:tab w:val="left" w:pos="284"/>
          <w:tab w:val="left" w:pos="1985"/>
        </w:tabs>
        <w:jc w:val="both"/>
        <w:rPr>
          <w:snapToGrid w:val="0"/>
        </w:rPr>
      </w:pPr>
      <w:r>
        <w:rPr>
          <w:b/>
          <w:snapToGrid w:val="0"/>
        </w:rPr>
        <w:t xml:space="preserve">II. </w:t>
      </w:r>
      <w:r>
        <w:rPr>
          <w:b/>
          <w:snapToGrid w:val="0"/>
          <w:u w:val="single"/>
        </w:rPr>
        <w:t>Předmět smlouvy</w:t>
      </w:r>
    </w:p>
    <w:p w:rsidR="00C923D2" w:rsidRDefault="00C50D39" w:rsidP="00C923D2">
      <w:pPr>
        <w:numPr>
          <w:ilvl w:val="0"/>
          <w:numId w:val="2"/>
        </w:numPr>
        <w:tabs>
          <w:tab w:val="left" w:pos="284"/>
          <w:tab w:val="left" w:pos="1985"/>
        </w:tabs>
        <w:jc w:val="both"/>
      </w:pPr>
      <w:r>
        <w:rPr>
          <w:snapToGrid w:val="0"/>
        </w:rPr>
        <w:t xml:space="preserve">Zařízení vodního díla Jesenice je souborem majetku ve vlastnictví státu, ke kterému svědčí dodavateli právo hospodařit. </w:t>
      </w:r>
      <w:r w:rsidR="00C923D2">
        <w:rPr>
          <w:snapToGrid w:val="0"/>
        </w:rPr>
        <w:t xml:space="preserve">Součástí tohoto majetku jsou i </w:t>
      </w:r>
      <w:proofErr w:type="gramStart"/>
      <w:r w:rsidR="00C923D2">
        <w:rPr>
          <w:snapToGrid w:val="0"/>
        </w:rPr>
        <w:t>nainstalované</w:t>
      </w:r>
      <w:r w:rsidR="00C923D2">
        <w:t xml:space="preserve">  vnitřní</w:t>
      </w:r>
      <w:proofErr w:type="gramEnd"/>
      <w:r w:rsidR="00C923D2">
        <w:t xml:space="preserve"> rozvody elektrické energie.</w:t>
      </w:r>
    </w:p>
    <w:p w:rsidR="00C923D2" w:rsidRDefault="00C923D2" w:rsidP="00C923D2">
      <w:pPr>
        <w:numPr>
          <w:ilvl w:val="0"/>
          <w:numId w:val="2"/>
        </w:numPr>
        <w:tabs>
          <w:tab w:val="left" w:pos="284"/>
          <w:tab w:val="left" w:pos="1985"/>
        </w:tabs>
        <w:jc w:val="both"/>
      </w:pPr>
      <w:r>
        <w:t>Odběratel je vlastníkem cha</w:t>
      </w:r>
      <w:r w:rsidR="006D4C04">
        <w:t>t</w:t>
      </w:r>
      <w:r>
        <w:t xml:space="preserve">y umístěné na parcele č. </w:t>
      </w:r>
      <w:r w:rsidR="002A46D0">
        <w:t>917/</w:t>
      </w:r>
      <w:r w:rsidR="009C7335">
        <w:t>3</w:t>
      </w:r>
      <w:r>
        <w:t xml:space="preserve"> v </w:t>
      </w:r>
      <w:proofErr w:type="gramStart"/>
      <w:r>
        <w:t>k.ú.</w:t>
      </w:r>
      <w:proofErr w:type="gramEnd"/>
      <w:r>
        <w:t xml:space="preserve"> </w:t>
      </w:r>
      <w:r w:rsidR="00C50D39">
        <w:t>Jesenice.</w:t>
      </w:r>
    </w:p>
    <w:p w:rsidR="00C923D2" w:rsidRDefault="00C923D2" w:rsidP="00C923D2">
      <w:pPr>
        <w:numPr>
          <w:ilvl w:val="0"/>
          <w:numId w:val="2"/>
        </w:numPr>
        <w:tabs>
          <w:tab w:val="left" w:pos="284"/>
          <w:tab w:val="left" w:pos="1985"/>
        </w:tabs>
        <w:jc w:val="both"/>
      </w:pPr>
      <w:r>
        <w:t>Obě smluvní strany se dohodly, že dodavatel umožní odběrateli připojení na vnitřní elektrorozvod dodavatele situovaný v lokalitě uvedené v čl. II.</w:t>
      </w:r>
      <w:r w:rsidR="00231416">
        <w:t>,</w:t>
      </w:r>
      <w:r w:rsidR="005A16CF">
        <w:t xml:space="preserve"> </w:t>
      </w:r>
      <w:proofErr w:type="gramStart"/>
      <w:r w:rsidR="005A16CF">
        <w:t xml:space="preserve">bod 1 </w:t>
      </w:r>
      <w:r>
        <w:t xml:space="preserve"> a umožní</w:t>
      </w:r>
      <w:proofErr w:type="gramEnd"/>
      <w:r>
        <w:t xml:space="preserve"> tak odběrateli odběr elektrické energie. Smlouva je uzavřena pro dodávku</w:t>
      </w:r>
      <w:r w:rsidR="00231416">
        <w:t xml:space="preserve"> elektřiny do odběrného místa, které je uvedené v čl. II., bod 2</w:t>
      </w:r>
      <w:r w:rsidR="00FC4919">
        <w:t>).</w:t>
      </w:r>
    </w:p>
    <w:p w:rsidR="00BA39D9" w:rsidRPr="00BA39D9" w:rsidRDefault="00231416" w:rsidP="00BA39D9">
      <w:pPr>
        <w:numPr>
          <w:ilvl w:val="0"/>
          <w:numId w:val="2"/>
        </w:numPr>
        <w:tabs>
          <w:tab w:val="left" w:pos="284"/>
        </w:tabs>
        <w:jc w:val="both"/>
        <w:rPr>
          <w:color w:val="0000FF"/>
        </w:rPr>
      </w:pPr>
      <w:r>
        <w:t>Míst</w:t>
      </w:r>
      <w:r w:rsidR="007D5BE4">
        <w:t>o</w:t>
      </w:r>
      <w:r>
        <w:t xml:space="preserve"> přechodu z elektrického rozvodu dodavatele na elektrický rozvod odběratele je</w:t>
      </w:r>
      <w:r w:rsidR="00722FFE">
        <w:t>:</w:t>
      </w:r>
    </w:p>
    <w:p w:rsidR="0067104E" w:rsidRPr="003B4214" w:rsidRDefault="004D3E5B" w:rsidP="00BA39D9">
      <w:pPr>
        <w:tabs>
          <w:tab w:val="left" w:pos="284"/>
          <w:tab w:val="left" w:pos="1080"/>
          <w:tab w:val="left" w:pos="1985"/>
        </w:tabs>
        <w:ind w:left="720"/>
        <w:jc w:val="both"/>
      </w:pPr>
      <w:r w:rsidRPr="003B4214">
        <w:t xml:space="preserve">v pojistkovém pilíři u bočního vchodu do </w:t>
      </w:r>
      <w:r w:rsidR="00C50D39">
        <w:t>objektu skladu.</w:t>
      </w:r>
    </w:p>
    <w:p w:rsidR="00555D6C" w:rsidRPr="003B4214" w:rsidRDefault="00BA39D9" w:rsidP="006D4C04">
      <w:pPr>
        <w:tabs>
          <w:tab w:val="left" w:pos="720"/>
          <w:tab w:val="left" w:pos="1985"/>
        </w:tabs>
        <w:ind w:left="540" w:hanging="180"/>
        <w:jc w:val="both"/>
      </w:pPr>
      <w:r w:rsidRPr="003B4214">
        <w:rPr>
          <w:b/>
        </w:rPr>
        <w:t>5</w:t>
      </w:r>
      <w:r w:rsidRPr="003B4214">
        <w:t>)</w:t>
      </w:r>
      <w:r w:rsidRPr="003B4214">
        <w:tab/>
      </w:r>
      <w:r w:rsidR="00231416" w:rsidRPr="003B4214">
        <w:t xml:space="preserve">Měrným místem pro měření dodaného množství el. </w:t>
      </w:r>
      <w:proofErr w:type="gramStart"/>
      <w:r w:rsidR="00231416" w:rsidRPr="003B4214">
        <w:t>energie</w:t>
      </w:r>
      <w:proofErr w:type="gramEnd"/>
      <w:r w:rsidR="00231416" w:rsidRPr="003B4214">
        <w:t xml:space="preserve"> </w:t>
      </w:r>
      <w:r w:rsidR="00555D6C" w:rsidRPr="003B4214">
        <w:t>je</w:t>
      </w:r>
      <w:r w:rsidR="006D4C04">
        <w:t xml:space="preserve"> </w:t>
      </w:r>
      <w:r w:rsidR="00555D6C" w:rsidRPr="003B4214">
        <w:t xml:space="preserve">elektroměrový rozvaděč, umístěný </w:t>
      </w:r>
      <w:r w:rsidR="006D4C04">
        <w:t>na hranici pozemku</w:t>
      </w:r>
      <w:r w:rsidR="00C50D39">
        <w:t>.</w:t>
      </w:r>
    </w:p>
    <w:p w:rsidR="00555D6C" w:rsidRPr="003B4214" w:rsidRDefault="00555D6C" w:rsidP="00555D6C">
      <w:pPr>
        <w:tabs>
          <w:tab w:val="left" w:pos="284"/>
          <w:tab w:val="left" w:pos="1080"/>
        </w:tabs>
        <w:ind w:left="720"/>
        <w:jc w:val="both"/>
      </w:pPr>
    </w:p>
    <w:p w:rsidR="00231416" w:rsidRPr="003B4214" w:rsidRDefault="00231416" w:rsidP="00231416">
      <w:pPr>
        <w:tabs>
          <w:tab w:val="left" w:pos="284"/>
          <w:tab w:val="left" w:pos="1985"/>
        </w:tabs>
        <w:ind w:left="720"/>
        <w:jc w:val="both"/>
      </w:pPr>
      <w:r w:rsidRPr="003B4214">
        <w:t>Odb</w:t>
      </w:r>
      <w:r w:rsidR="003871F2" w:rsidRPr="003B4214">
        <w:t xml:space="preserve">ěratel má instalovanou soustavu 3x </w:t>
      </w:r>
      <w:r w:rsidR="00955971" w:rsidRPr="003B4214">
        <w:t>230</w:t>
      </w:r>
      <w:r w:rsidR="003871F2" w:rsidRPr="003B4214">
        <w:t xml:space="preserve"> V, jištění 32 A.</w:t>
      </w:r>
    </w:p>
    <w:p w:rsidR="00231416" w:rsidRPr="003B4214" w:rsidRDefault="00231416" w:rsidP="00231416">
      <w:pPr>
        <w:tabs>
          <w:tab w:val="left" w:pos="284"/>
          <w:tab w:val="left" w:pos="1985"/>
        </w:tabs>
        <w:jc w:val="both"/>
      </w:pPr>
    </w:p>
    <w:p w:rsidR="00955971" w:rsidRPr="003B4214" w:rsidRDefault="00955971" w:rsidP="00955971">
      <w:pPr>
        <w:tabs>
          <w:tab w:val="left" w:pos="284"/>
          <w:tab w:val="left" w:pos="1985"/>
        </w:tabs>
        <w:jc w:val="both"/>
      </w:pPr>
      <w:r w:rsidRPr="003B4214">
        <w:t xml:space="preserve">III. </w:t>
      </w:r>
      <w:r w:rsidRPr="003B4214">
        <w:rPr>
          <w:u w:val="single"/>
        </w:rPr>
        <w:t>Doba platnosti smlouvy</w:t>
      </w:r>
    </w:p>
    <w:p w:rsidR="00955971" w:rsidRPr="003B4214" w:rsidRDefault="00955971" w:rsidP="00955971">
      <w:pPr>
        <w:tabs>
          <w:tab w:val="left" w:pos="284"/>
          <w:tab w:val="left" w:pos="1985"/>
        </w:tabs>
        <w:jc w:val="both"/>
      </w:pPr>
      <w:r w:rsidRPr="003B4214">
        <w:tab/>
      </w:r>
      <w:r w:rsidR="00FC4919">
        <w:t xml:space="preserve">  </w:t>
      </w:r>
      <w:r w:rsidRPr="003B4214">
        <w:t>Smluvní strany uzavírají tuto smlouvu na dobu neurčitou. Smlouva může být ukončena:</w:t>
      </w:r>
    </w:p>
    <w:p w:rsidR="00955971" w:rsidRPr="003B4214" w:rsidRDefault="00955971" w:rsidP="00955971">
      <w:pPr>
        <w:numPr>
          <w:ilvl w:val="0"/>
          <w:numId w:val="3"/>
        </w:numPr>
        <w:tabs>
          <w:tab w:val="left" w:pos="284"/>
          <w:tab w:val="left" w:pos="1985"/>
        </w:tabs>
        <w:jc w:val="both"/>
      </w:pPr>
      <w:r w:rsidRPr="003B4214">
        <w:t>dohodou smluvních stran,</w:t>
      </w:r>
    </w:p>
    <w:p w:rsidR="00955971" w:rsidRPr="003B4214" w:rsidRDefault="00955971" w:rsidP="00955971">
      <w:pPr>
        <w:numPr>
          <w:ilvl w:val="0"/>
          <w:numId w:val="3"/>
        </w:numPr>
        <w:tabs>
          <w:tab w:val="left" w:pos="284"/>
          <w:tab w:val="left" w:pos="1985"/>
        </w:tabs>
        <w:jc w:val="both"/>
      </w:pPr>
      <w:r w:rsidRPr="003B4214">
        <w:t>výpovědí ke konci kalendářního čtvrtletí, přičemž výpovědní lhůta je stanovena pro obě strany v délce tří měsíců (§</w:t>
      </w:r>
      <w:r w:rsidR="00A36155">
        <w:rPr>
          <w:color w:val="000000"/>
        </w:rPr>
        <w:t>1999</w:t>
      </w:r>
      <w:r w:rsidRPr="003B4214">
        <w:t xml:space="preserve"> občanského zákoníku),</w:t>
      </w:r>
    </w:p>
    <w:p w:rsidR="00955971" w:rsidRPr="003B4214" w:rsidRDefault="00955971" w:rsidP="00955971">
      <w:pPr>
        <w:numPr>
          <w:ilvl w:val="0"/>
          <w:numId w:val="3"/>
        </w:numPr>
        <w:tabs>
          <w:tab w:val="left" w:pos="284"/>
          <w:tab w:val="left" w:pos="1985"/>
        </w:tabs>
        <w:jc w:val="both"/>
      </w:pPr>
      <w:r w:rsidRPr="003B4214">
        <w:t>odstoupením od smlouvy při jejím podstatném porušení druhou smluvní stranou.</w:t>
      </w:r>
    </w:p>
    <w:p w:rsidR="00955971" w:rsidRPr="003B4214" w:rsidRDefault="00955971" w:rsidP="00955971">
      <w:pPr>
        <w:tabs>
          <w:tab w:val="left" w:pos="360"/>
          <w:tab w:val="left" w:pos="1985"/>
        </w:tabs>
        <w:jc w:val="both"/>
      </w:pPr>
    </w:p>
    <w:p w:rsidR="00955971" w:rsidRPr="003B4214" w:rsidRDefault="00955971" w:rsidP="00955971">
      <w:pPr>
        <w:tabs>
          <w:tab w:val="left" w:pos="360"/>
          <w:tab w:val="left" w:pos="1985"/>
        </w:tabs>
        <w:jc w:val="both"/>
        <w:rPr>
          <w:u w:val="single"/>
        </w:rPr>
      </w:pPr>
      <w:r w:rsidRPr="003B4214">
        <w:t xml:space="preserve">IV. </w:t>
      </w:r>
      <w:r w:rsidRPr="003B4214">
        <w:rPr>
          <w:u w:val="single"/>
        </w:rPr>
        <w:t>Platební a cenové ujednání</w:t>
      </w:r>
    </w:p>
    <w:p w:rsidR="00E31864" w:rsidRPr="003B4214" w:rsidRDefault="00955971" w:rsidP="00955971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jc w:val="both"/>
      </w:pPr>
      <w:r w:rsidRPr="003B4214">
        <w:rPr>
          <w:b/>
        </w:rPr>
        <w:t>1)</w:t>
      </w:r>
      <w:r w:rsidRPr="003B4214">
        <w:tab/>
        <w:t>Cena spotřebované elektřiny je stanovena dohodou a to jako roční cena dle skutečných nákladů dodavatele na elektřinu za běžný rok</w:t>
      </w:r>
      <w:r w:rsidR="00A40CB1" w:rsidRPr="003B4214">
        <w:t xml:space="preserve">. </w:t>
      </w:r>
    </w:p>
    <w:p w:rsidR="00574A76" w:rsidRDefault="00574A76" w:rsidP="00E31864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jc w:val="both"/>
        <w:rPr>
          <w:b/>
        </w:rPr>
      </w:pPr>
    </w:p>
    <w:p w:rsidR="00574A76" w:rsidRDefault="00574A76" w:rsidP="00E31864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jc w:val="both"/>
        <w:rPr>
          <w:b/>
        </w:rPr>
      </w:pPr>
    </w:p>
    <w:p w:rsidR="00A40CB1" w:rsidRPr="0097028D" w:rsidRDefault="00E31864" w:rsidP="00E31864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jc w:val="both"/>
      </w:pPr>
      <w:r w:rsidRPr="003B4214">
        <w:rPr>
          <w:b/>
        </w:rPr>
        <w:t>2)</w:t>
      </w:r>
      <w:r w:rsidRPr="003B4214">
        <w:tab/>
      </w:r>
      <w:r w:rsidR="00A40CB1" w:rsidRPr="003B4214">
        <w:t>K ceně bude připočtena DPH podle zákona č. 235/2004 Sb</w:t>
      </w:r>
      <w:r w:rsidR="00A40CB1" w:rsidRPr="0097028D">
        <w:t>. v platném znění.</w:t>
      </w:r>
    </w:p>
    <w:p w:rsidR="00574A76" w:rsidRDefault="00E31864" w:rsidP="00574A76">
      <w:pPr>
        <w:tabs>
          <w:tab w:val="left" w:pos="360"/>
          <w:tab w:val="left" w:pos="720"/>
          <w:tab w:val="left" w:pos="1985"/>
        </w:tabs>
        <w:ind w:left="720" w:hanging="360"/>
        <w:jc w:val="both"/>
        <w:rPr>
          <w:b/>
        </w:rPr>
      </w:pPr>
      <w:r w:rsidRPr="0097028D">
        <w:rPr>
          <w:b/>
        </w:rPr>
        <w:t>3)</w:t>
      </w:r>
      <w:r w:rsidRPr="0097028D">
        <w:tab/>
      </w:r>
      <w:r w:rsidR="0084483E" w:rsidRPr="0097028D">
        <w:t xml:space="preserve">Spotřeba elektřiny bude hrazena </w:t>
      </w:r>
      <w:r w:rsidR="000738C2">
        <w:t>pololetně</w:t>
      </w:r>
      <w:r w:rsidR="0084483E" w:rsidRPr="0097028D">
        <w:t xml:space="preserve"> dle skutečných odběrů</w:t>
      </w:r>
      <w:r w:rsidR="00143F27" w:rsidRPr="0097028D">
        <w:t>. Odečty elektřiny budou provedeny na</w:t>
      </w:r>
      <w:r w:rsidR="0084483E" w:rsidRPr="0097028D">
        <w:t xml:space="preserve"> instalovaném p</w:t>
      </w:r>
      <w:r w:rsidR="00143F27" w:rsidRPr="0097028D">
        <w:t>odružném elektroměru odběratele. Vyúčtování bude provedeno</w:t>
      </w:r>
      <w:r w:rsidR="0084483E" w:rsidRPr="0097028D">
        <w:t xml:space="preserve"> na základě daňových dokladů, vystavených vždy do </w:t>
      </w:r>
      <w:proofErr w:type="gramStart"/>
      <w:r w:rsidR="0084483E" w:rsidRPr="0097028D">
        <w:t>15-ti</w:t>
      </w:r>
      <w:proofErr w:type="gramEnd"/>
      <w:r w:rsidR="0084483E" w:rsidRPr="0097028D">
        <w:t xml:space="preserve"> dnů ode dne uskutečnění zdanitelného</w:t>
      </w:r>
      <w:r w:rsidR="00143F27" w:rsidRPr="0097028D">
        <w:t xml:space="preserve"> plnění,</w:t>
      </w:r>
      <w:r w:rsidR="0084483E" w:rsidRPr="0097028D">
        <w:t xml:space="preserve"> se splatností 14-ti dnů od data vystavení.</w:t>
      </w:r>
      <w:r w:rsidR="00143F27" w:rsidRPr="0097028D">
        <w:t xml:space="preserve"> Den zdanitelného plnění je vždy </w:t>
      </w:r>
      <w:proofErr w:type="gramStart"/>
      <w:r w:rsidR="000738C2">
        <w:t>30.6</w:t>
      </w:r>
      <w:proofErr w:type="gramEnd"/>
      <w:r w:rsidR="000738C2">
        <w:t xml:space="preserve">. a </w:t>
      </w:r>
      <w:r w:rsidR="00143F27" w:rsidRPr="0097028D">
        <w:t>31.12. v roce.</w:t>
      </w:r>
    </w:p>
    <w:p w:rsidR="00E31864" w:rsidRPr="0097028D" w:rsidRDefault="00574A76" w:rsidP="00925A42">
      <w:pPr>
        <w:tabs>
          <w:tab w:val="left" w:pos="360"/>
          <w:tab w:val="left" w:pos="720"/>
          <w:tab w:val="left" w:pos="1985"/>
        </w:tabs>
        <w:jc w:val="both"/>
      </w:pPr>
      <w:r>
        <w:rPr>
          <w:b/>
        </w:rPr>
        <w:tab/>
      </w:r>
      <w:r w:rsidR="00E31864" w:rsidRPr="0097028D">
        <w:rPr>
          <w:b/>
        </w:rPr>
        <w:t>4)</w:t>
      </w:r>
      <w:r w:rsidR="00E31864" w:rsidRPr="0097028D">
        <w:tab/>
        <w:t>Za zaplacení se považuje den připsání celé výše platby dle daňového dokladu na účet.</w:t>
      </w:r>
    </w:p>
    <w:p w:rsidR="0084483E" w:rsidRPr="0097028D" w:rsidRDefault="00E31864" w:rsidP="009B7AF1">
      <w:pPr>
        <w:tabs>
          <w:tab w:val="left" w:pos="360"/>
          <w:tab w:val="left" w:pos="720"/>
          <w:tab w:val="left" w:pos="1985"/>
        </w:tabs>
        <w:ind w:left="720" w:hanging="360"/>
        <w:jc w:val="both"/>
      </w:pPr>
      <w:r w:rsidRPr="0097028D">
        <w:rPr>
          <w:b/>
        </w:rPr>
        <w:t>5)</w:t>
      </w:r>
      <w:r w:rsidR="00570DB5" w:rsidRPr="0097028D">
        <w:rPr>
          <w:b/>
        </w:rPr>
        <w:tab/>
      </w:r>
      <w:r w:rsidRPr="0097028D">
        <w:t>Dostane-li se odběratel do prodlení s placením, je povinen zaplatit dodavateli smluvní pokutu ve výši 0,</w:t>
      </w:r>
      <w:r w:rsidR="002111DB">
        <w:t>3</w:t>
      </w:r>
      <w:r w:rsidRPr="0097028D">
        <w:t xml:space="preserve"> % z dlužné částky za každý den prodlení.</w:t>
      </w:r>
      <w:r w:rsidR="009B7AF1" w:rsidRPr="0097028D">
        <w:t xml:space="preserve"> V případě prodlení více jak 30 dnů od splatnosti si dodavatel vyhrazuje p</w:t>
      </w:r>
      <w:r w:rsidR="00CB6407" w:rsidRPr="0097028D">
        <w:t xml:space="preserve">rávo na přerušení dodávky el. </w:t>
      </w:r>
      <w:proofErr w:type="gramStart"/>
      <w:r w:rsidR="009B7AF1" w:rsidRPr="0097028D">
        <w:t>energii</w:t>
      </w:r>
      <w:proofErr w:type="gramEnd"/>
      <w:r w:rsidR="009B7AF1" w:rsidRPr="0097028D">
        <w:t xml:space="preserve"> a odstoupení od smlouvy.</w:t>
      </w:r>
    </w:p>
    <w:p w:rsidR="009B7AF1" w:rsidRPr="0097028D" w:rsidRDefault="000C27A8" w:rsidP="000C27A8">
      <w:pPr>
        <w:tabs>
          <w:tab w:val="left" w:pos="720"/>
          <w:tab w:val="left" w:pos="1985"/>
        </w:tabs>
        <w:ind w:left="720" w:hanging="360"/>
        <w:jc w:val="both"/>
      </w:pPr>
      <w:r w:rsidRPr="0097028D">
        <w:rPr>
          <w:b/>
        </w:rPr>
        <w:t>6)</w:t>
      </w:r>
      <w:r w:rsidRPr="0097028D">
        <w:tab/>
      </w:r>
      <w:r w:rsidR="009B7AF1" w:rsidRPr="0097028D">
        <w:t>Při změně vlastníka na straně odběratele je dosavadní odběratel povinen</w:t>
      </w:r>
      <w:r w:rsidRPr="0097028D">
        <w:t xml:space="preserve"> tuto změnu nahlásit okamžitě</w:t>
      </w:r>
      <w:r w:rsidR="009B7AF1" w:rsidRPr="0097028D">
        <w:t xml:space="preserve"> po jejím uskutečnění.</w:t>
      </w:r>
      <w:r w:rsidRPr="0097028D">
        <w:t xml:space="preserve"> Dodavatel vyměří </w:t>
      </w:r>
      <w:r w:rsidR="00A36155">
        <w:t>bývalému vlastníkovi</w:t>
      </w:r>
      <w:bookmarkStart w:id="0" w:name="_GoBack"/>
      <w:bookmarkEnd w:id="0"/>
      <w:r w:rsidR="00A36155">
        <w:t xml:space="preserve"> </w:t>
      </w:r>
      <w:r w:rsidRPr="0097028D">
        <w:t xml:space="preserve">zálohu za spotřebovanou el. </w:t>
      </w:r>
      <w:proofErr w:type="gramStart"/>
      <w:r w:rsidRPr="0097028D">
        <w:t>energii</w:t>
      </w:r>
      <w:proofErr w:type="gramEnd"/>
      <w:r w:rsidRPr="0097028D">
        <w:t>,</w:t>
      </w:r>
      <w:r w:rsidR="00746A9C" w:rsidRPr="0097028D">
        <w:t xml:space="preserve"> splatnost je 14 dnů od vystavení</w:t>
      </w:r>
      <w:r w:rsidR="00CB6407" w:rsidRPr="0097028D">
        <w:t>. Ř</w:t>
      </w:r>
      <w:r w:rsidRPr="0097028D">
        <w:t xml:space="preserve">ádné vyúčtování bude provedeno ke konci </w:t>
      </w:r>
      <w:r w:rsidR="00CB6407" w:rsidRPr="0097028D">
        <w:t xml:space="preserve">běžného </w:t>
      </w:r>
      <w:r w:rsidRPr="0097028D">
        <w:t>roku</w:t>
      </w:r>
      <w:r w:rsidR="00CB6407" w:rsidRPr="0097028D">
        <w:t xml:space="preserve"> dle bodu 1, 2 a 3 tohoto od</w:t>
      </w:r>
      <w:r w:rsidR="00BA5E3D" w:rsidRPr="0097028D">
        <w:t>s</w:t>
      </w:r>
      <w:r w:rsidR="00CB6407" w:rsidRPr="0097028D">
        <w:t>tavce.</w:t>
      </w:r>
    </w:p>
    <w:p w:rsidR="009B7AF1" w:rsidRPr="0097028D" w:rsidRDefault="009B7AF1" w:rsidP="00E31864">
      <w:pPr>
        <w:tabs>
          <w:tab w:val="left" w:pos="360"/>
          <w:tab w:val="left" w:pos="720"/>
          <w:tab w:val="left" w:pos="1985"/>
        </w:tabs>
        <w:ind w:left="720" w:hanging="360"/>
        <w:jc w:val="both"/>
      </w:pPr>
    </w:p>
    <w:p w:rsidR="007150B3" w:rsidRDefault="007150B3" w:rsidP="00231416">
      <w:pPr>
        <w:tabs>
          <w:tab w:val="left" w:pos="360"/>
          <w:tab w:val="left" w:pos="1985"/>
        </w:tabs>
        <w:jc w:val="both"/>
      </w:pPr>
      <w:r>
        <w:rPr>
          <w:b/>
        </w:rPr>
        <w:t xml:space="preserve">V. </w:t>
      </w:r>
      <w:r>
        <w:rPr>
          <w:b/>
          <w:u w:val="single"/>
        </w:rPr>
        <w:t>Další ujednání</w:t>
      </w:r>
    </w:p>
    <w:p w:rsidR="007150B3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 xml:space="preserve">Na odběrném zařízení, kterým prochází neměřená el. </w:t>
      </w:r>
      <w:proofErr w:type="gramStart"/>
      <w:r>
        <w:t>energie</w:t>
      </w:r>
      <w:proofErr w:type="gramEnd"/>
      <w:r>
        <w:t>, nesmí být prováděny žádné zásahy bez předchozího písemného souhlasu dodavatele.</w:t>
      </w:r>
    </w:p>
    <w:p w:rsidR="007150B3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 w:rsidRPr="007150B3">
        <w:t>Měřící</w:t>
      </w:r>
      <w:r>
        <w:t xml:space="preserve"> zařízení musí být </w:t>
      </w:r>
      <w:r w:rsidR="006D4C04">
        <w:t xml:space="preserve">umístěno na hranici pozemku v elektroměrovém rozvaděči, který bude přístupný z důvodu odečtu elektroměru. Měřící zařízení bude </w:t>
      </w:r>
      <w:r>
        <w:t>zapojeno podle platných předpisů a je nepřípustný jakýkoliv zásah do tohoto zařízení (nepoškozené plomby).</w:t>
      </w:r>
      <w:r w:rsidR="006D4C04">
        <w:t xml:space="preserve"> </w:t>
      </w:r>
    </w:p>
    <w:p w:rsidR="007150B3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 xml:space="preserve">Dodavatel nenese žádnou odpovědnost za případné poškození elektrospotřebičů odběratele, které mohou nastat provozem či výpadkem el. </w:t>
      </w:r>
      <w:proofErr w:type="gramStart"/>
      <w:r>
        <w:t>energie</w:t>
      </w:r>
      <w:proofErr w:type="gramEnd"/>
      <w:r>
        <w:t xml:space="preserve"> v objektu dodavatele. Může dojít k přerušení dodávky z jiných objektivních důvodů.</w:t>
      </w:r>
    </w:p>
    <w:p w:rsidR="007150B3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>Odběratel je povinen projednat s dodavatelem připojení elektrospotřebičů s příkonem větším než 3 kW.</w:t>
      </w:r>
    </w:p>
    <w:p w:rsidR="007150B3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 xml:space="preserve">Má-li odběratel nebo dodavatel pochybnosti o správnosti měření nebo zjistí-li na něm závadu, má právo je nechat přezkoušet. Je-li na měřícím zařízení zjištěna závada, hradí náklady spojené s jeho přezkoušením a výměnou majitel měřícího zařízení. V opačném případě hradí tyto náklady ten, jehož pochybnost </w:t>
      </w:r>
      <w:r w:rsidR="003B4214">
        <w:t>zůstala</w:t>
      </w:r>
      <w:r>
        <w:t xml:space="preserve"> neprokázána.</w:t>
      </w:r>
    </w:p>
    <w:p w:rsidR="007150B3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 xml:space="preserve">Odběrné místo musí odpovídat platným elektrotechnickým normám pro bezpečný provoz, což odběratel prokazuje předložením platné revize el. </w:t>
      </w:r>
      <w:proofErr w:type="gramStart"/>
      <w:r>
        <w:t>přípojky</w:t>
      </w:r>
      <w:proofErr w:type="gramEnd"/>
      <w:r>
        <w:t>.</w:t>
      </w:r>
    </w:p>
    <w:p w:rsidR="007150B3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>Odběratel nesmí umožnit odběr elektrické energie dalším subjektům.</w:t>
      </w:r>
    </w:p>
    <w:p w:rsidR="00270415" w:rsidRDefault="007150B3" w:rsidP="007150B3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>Napojením na vnitřní rozvod dodavatele se odběratel</w:t>
      </w:r>
      <w:r w:rsidR="00270415">
        <w:t xml:space="preserve"> nestává konečným zákazníkem ve smyslu zák. č. 458/2000 Sb. (energetický zákon).</w:t>
      </w:r>
    </w:p>
    <w:p w:rsidR="00270415" w:rsidRDefault="00270415" w:rsidP="00270415">
      <w:pPr>
        <w:tabs>
          <w:tab w:val="left" w:pos="360"/>
          <w:tab w:val="left" w:pos="1985"/>
        </w:tabs>
        <w:jc w:val="both"/>
      </w:pPr>
    </w:p>
    <w:p w:rsidR="00270415" w:rsidRDefault="00270415" w:rsidP="00270415">
      <w:pPr>
        <w:tabs>
          <w:tab w:val="left" w:pos="360"/>
          <w:tab w:val="left" w:pos="1985"/>
        </w:tabs>
        <w:jc w:val="both"/>
      </w:pPr>
      <w:r>
        <w:rPr>
          <w:b/>
        </w:rPr>
        <w:t xml:space="preserve">VI. </w:t>
      </w:r>
      <w:r>
        <w:rPr>
          <w:b/>
          <w:u w:val="single"/>
        </w:rPr>
        <w:t>Závěrečná ustanovení</w:t>
      </w:r>
    </w:p>
    <w:p w:rsidR="00270415" w:rsidRDefault="00270415" w:rsidP="00270415">
      <w:pPr>
        <w:numPr>
          <w:ilvl w:val="0"/>
          <w:numId w:val="5"/>
        </w:numPr>
        <w:tabs>
          <w:tab w:val="left" w:pos="360"/>
          <w:tab w:val="left" w:pos="1985"/>
        </w:tabs>
        <w:jc w:val="both"/>
      </w:pPr>
      <w:r>
        <w:t xml:space="preserve">Prodlení s platbami podle čl. IV znamená podstatné porušení této smlouvy s právem dodavatele od smlouvy odstoupit s okamžitou účinností. Z téhož důvodu může okamžitě přerušit dodávku el. </w:t>
      </w:r>
      <w:proofErr w:type="gramStart"/>
      <w:r>
        <w:t>energie</w:t>
      </w:r>
      <w:proofErr w:type="gramEnd"/>
      <w:r>
        <w:t>.</w:t>
      </w:r>
    </w:p>
    <w:p w:rsidR="00270415" w:rsidRDefault="00270415" w:rsidP="00270415">
      <w:pPr>
        <w:numPr>
          <w:ilvl w:val="0"/>
          <w:numId w:val="5"/>
        </w:numPr>
        <w:tabs>
          <w:tab w:val="left" w:pos="360"/>
          <w:tab w:val="left" w:pos="1985"/>
        </w:tabs>
        <w:jc w:val="both"/>
      </w:pPr>
      <w:r>
        <w:t>Tato smlouva je závazná i pro právní nástupce. V případě prodeje majetku dodavatele v dané lokalitě přecházejí práva a povinnosti z této smluvní smlouvy na nového vlastníka tohoto majetku. Při změně vlastníka na straně odběratele je dosavadní odběratel povinen tu</w:t>
      </w:r>
      <w:r w:rsidR="000C27A8">
        <w:t>to změnu nahlásit okamžitě po</w:t>
      </w:r>
      <w:r>
        <w:t xml:space="preserve"> jejím uskutečnění.</w:t>
      </w:r>
    </w:p>
    <w:p w:rsidR="00231416" w:rsidRDefault="00270415" w:rsidP="00270415">
      <w:pPr>
        <w:numPr>
          <w:ilvl w:val="0"/>
          <w:numId w:val="5"/>
        </w:numPr>
        <w:tabs>
          <w:tab w:val="left" w:pos="360"/>
          <w:tab w:val="left" w:pos="1985"/>
        </w:tabs>
        <w:jc w:val="both"/>
      </w:pPr>
      <w:r>
        <w:t>Tuto smlouvu lze měnit jen na podkladě písemných vzájemně odsouhlasených dodatků.</w:t>
      </w:r>
      <w:r w:rsidR="00231416" w:rsidRPr="007150B3">
        <w:tab/>
      </w:r>
    </w:p>
    <w:p w:rsidR="00270415" w:rsidRDefault="00270415" w:rsidP="00270415">
      <w:pPr>
        <w:numPr>
          <w:ilvl w:val="0"/>
          <w:numId w:val="5"/>
        </w:numPr>
        <w:tabs>
          <w:tab w:val="left" w:pos="360"/>
          <w:tab w:val="left" w:pos="1985"/>
        </w:tabs>
        <w:jc w:val="both"/>
      </w:pPr>
      <w:r>
        <w:t>Tato smlouva je uzavřena v právním režimu občanského zákoníku.</w:t>
      </w:r>
    </w:p>
    <w:p w:rsidR="00F742F1" w:rsidRDefault="00F742F1" w:rsidP="00F742F1">
      <w:pPr>
        <w:tabs>
          <w:tab w:val="left" w:pos="360"/>
          <w:tab w:val="left" w:pos="1985"/>
        </w:tabs>
        <w:ind w:left="735"/>
        <w:jc w:val="both"/>
      </w:pPr>
    </w:p>
    <w:p w:rsidR="00270415" w:rsidRDefault="00270415" w:rsidP="00270415">
      <w:pPr>
        <w:numPr>
          <w:ilvl w:val="0"/>
          <w:numId w:val="5"/>
        </w:numPr>
        <w:tabs>
          <w:tab w:val="left" w:pos="360"/>
          <w:tab w:val="left" w:pos="1985"/>
        </w:tabs>
        <w:jc w:val="both"/>
      </w:pPr>
      <w:r w:rsidRPr="00F742F1">
        <w:t>Tato</w:t>
      </w:r>
      <w:r>
        <w:t xml:space="preserve"> smlouva je vyhotovena ve dvou výtiscích, z nichž jeden obdrží dodavatel a jeden odběratel.</w:t>
      </w:r>
    </w:p>
    <w:p w:rsidR="00574A76" w:rsidRDefault="00574A76" w:rsidP="00574A76">
      <w:pPr>
        <w:pStyle w:val="Odstavecseseznamem"/>
        <w:widowControl w:val="0"/>
        <w:numPr>
          <w:ilvl w:val="0"/>
          <w:numId w:val="5"/>
        </w:numPr>
        <w:tabs>
          <w:tab w:val="left" w:pos="284"/>
          <w:tab w:val="left" w:pos="360"/>
          <w:tab w:val="left" w:pos="198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Povodí Ohře, státní podnik, má na základě zákona č. 340/2015 Sb. </w:t>
      </w:r>
      <w:r w:rsidRPr="001C2CBE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  <w:sz w:val="24"/>
          <w:szCs w:val="24"/>
        </w:rPr>
        <w:t>, stanovenu povinnost uveřejňovat soukromoprávní smlouvy prostřednictvím registru smluv. Smluvní strany tímto bez výhrad souhlasí s uveřejněním celého textu smlouvy prostřednictvím registru smluv.</w:t>
      </w:r>
      <w:r w:rsidRPr="00BD3B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4A76" w:rsidRDefault="00574A76" w:rsidP="00574A76">
      <w:pPr>
        <w:numPr>
          <w:ilvl w:val="0"/>
          <w:numId w:val="5"/>
        </w:numPr>
        <w:tabs>
          <w:tab w:val="left" w:pos="360"/>
          <w:tab w:val="left" w:pos="1985"/>
        </w:tabs>
        <w:jc w:val="both"/>
      </w:pPr>
      <w:r>
        <w:t>Smluvní strany prohlašují, že si tuto smlouvu před jejím podpisem přečetly, že smlouvu uzavřely po vzájemném projednání, což stvrzují svým podpisem.</w:t>
      </w:r>
    </w:p>
    <w:p w:rsidR="00270415" w:rsidRDefault="00270415" w:rsidP="00270415">
      <w:pPr>
        <w:tabs>
          <w:tab w:val="left" w:pos="360"/>
          <w:tab w:val="left" w:pos="1985"/>
        </w:tabs>
        <w:jc w:val="both"/>
      </w:pPr>
    </w:p>
    <w:p w:rsidR="004F6A72" w:rsidRDefault="004F6A72" w:rsidP="00270415">
      <w:pPr>
        <w:tabs>
          <w:tab w:val="left" w:pos="360"/>
          <w:tab w:val="left" w:pos="1985"/>
        </w:tabs>
        <w:jc w:val="both"/>
      </w:pPr>
    </w:p>
    <w:p w:rsidR="00574A76" w:rsidRDefault="00574A76" w:rsidP="00270415">
      <w:pPr>
        <w:tabs>
          <w:tab w:val="left" w:pos="360"/>
          <w:tab w:val="left" w:pos="1985"/>
        </w:tabs>
        <w:jc w:val="both"/>
      </w:pPr>
    </w:p>
    <w:p w:rsidR="00574A76" w:rsidRDefault="00574A76" w:rsidP="00270415">
      <w:pPr>
        <w:tabs>
          <w:tab w:val="left" w:pos="360"/>
          <w:tab w:val="left" w:pos="1985"/>
        </w:tabs>
        <w:jc w:val="both"/>
      </w:pPr>
    </w:p>
    <w:p w:rsidR="00574A76" w:rsidRDefault="00574A76" w:rsidP="00270415">
      <w:pPr>
        <w:tabs>
          <w:tab w:val="left" w:pos="360"/>
          <w:tab w:val="left" w:pos="1985"/>
        </w:tabs>
        <w:jc w:val="both"/>
      </w:pPr>
    </w:p>
    <w:p w:rsidR="00574A76" w:rsidRDefault="00574A76" w:rsidP="00270415">
      <w:pPr>
        <w:tabs>
          <w:tab w:val="left" w:pos="360"/>
          <w:tab w:val="left" w:pos="1985"/>
        </w:tabs>
        <w:jc w:val="both"/>
      </w:pPr>
    </w:p>
    <w:p w:rsidR="007D5BE4" w:rsidRDefault="00270415" w:rsidP="00270415">
      <w:pPr>
        <w:tabs>
          <w:tab w:val="left" w:pos="360"/>
          <w:tab w:val="left" w:pos="1985"/>
        </w:tabs>
        <w:jc w:val="both"/>
      </w:pPr>
      <w:proofErr w:type="gramStart"/>
      <w:r>
        <w:t>V ..................................................  dne</w:t>
      </w:r>
      <w:proofErr w:type="gramEnd"/>
      <w:r>
        <w:t xml:space="preserve"> ................................................</w:t>
      </w:r>
    </w:p>
    <w:p w:rsidR="004F6A72" w:rsidRDefault="004F6A72" w:rsidP="00270415">
      <w:pPr>
        <w:tabs>
          <w:tab w:val="left" w:pos="360"/>
          <w:tab w:val="left" w:pos="1985"/>
        </w:tabs>
        <w:jc w:val="both"/>
      </w:pPr>
    </w:p>
    <w:p w:rsidR="003463E5" w:rsidRDefault="003463E5" w:rsidP="00270415">
      <w:pPr>
        <w:tabs>
          <w:tab w:val="left" w:pos="360"/>
          <w:tab w:val="left" w:pos="1985"/>
        </w:tabs>
        <w:jc w:val="both"/>
      </w:pPr>
    </w:p>
    <w:p w:rsidR="00574A76" w:rsidRDefault="00574A76" w:rsidP="00270415">
      <w:pPr>
        <w:tabs>
          <w:tab w:val="left" w:pos="360"/>
          <w:tab w:val="left" w:pos="1985"/>
        </w:tabs>
        <w:jc w:val="both"/>
      </w:pPr>
    </w:p>
    <w:p w:rsidR="00574A76" w:rsidRDefault="00574A76" w:rsidP="00270415">
      <w:pPr>
        <w:tabs>
          <w:tab w:val="left" w:pos="360"/>
          <w:tab w:val="left" w:pos="1985"/>
        </w:tabs>
        <w:jc w:val="both"/>
      </w:pPr>
    </w:p>
    <w:p w:rsidR="004F6A72" w:rsidRDefault="004F6A72" w:rsidP="00270415">
      <w:pPr>
        <w:tabs>
          <w:tab w:val="left" w:pos="360"/>
          <w:tab w:val="left" w:pos="1985"/>
        </w:tabs>
        <w:jc w:val="both"/>
      </w:pPr>
    </w:p>
    <w:p w:rsidR="00270415" w:rsidRDefault="00270415" w:rsidP="00270415">
      <w:pPr>
        <w:tabs>
          <w:tab w:val="left" w:pos="360"/>
          <w:tab w:val="left" w:pos="1985"/>
        </w:tabs>
        <w:jc w:val="both"/>
      </w:pPr>
      <w:r>
        <w:t>...........................................................................           .................................................................</w:t>
      </w:r>
    </w:p>
    <w:p w:rsidR="008130B4" w:rsidRDefault="008130B4" w:rsidP="008130B4">
      <w:pPr>
        <w:widowControl w:val="0"/>
        <w:tabs>
          <w:tab w:val="left" w:pos="1985"/>
        </w:tabs>
        <w:jc w:val="both"/>
        <w:rPr>
          <w:snapToGrid w:val="0"/>
        </w:rPr>
      </w:pPr>
      <w:r w:rsidRPr="008130B4">
        <w:rPr>
          <w:snapToGrid w:val="0"/>
          <w:sz w:val="22"/>
          <w:szCs w:val="22"/>
        </w:rPr>
        <w:t xml:space="preserve">Ing. </w:t>
      </w:r>
      <w:r w:rsidR="00FC44E3">
        <w:rPr>
          <w:snapToGrid w:val="0"/>
          <w:sz w:val="22"/>
          <w:szCs w:val="22"/>
        </w:rPr>
        <w:t>Jan Fischer</w:t>
      </w:r>
      <w:r w:rsidRPr="008130B4">
        <w:rPr>
          <w:snapToGrid w:val="0"/>
          <w:sz w:val="22"/>
          <w:szCs w:val="22"/>
        </w:rPr>
        <w:t>, ekonomický ředitel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C44E3">
        <w:rPr>
          <w:snapToGrid w:val="0"/>
          <w:sz w:val="22"/>
          <w:szCs w:val="22"/>
        </w:rPr>
        <w:tab/>
      </w:r>
      <w:proofErr w:type="spellStart"/>
      <w:r w:rsidR="00FC44E3" w:rsidRPr="00DC7E28">
        <w:rPr>
          <w:bCs/>
        </w:rPr>
        <w:t>Juri</w:t>
      </w:r>
      <w:proofErr w:type="spellEnd"/>
      <w:r w:rsidR="00FC44E3" w:rsidRPr="00DC7E28">
        <w:rPr>
          <w:bCs/>
        </w:rPr>
        <w:t xml:space="preserve"> </w:t>
      </w:r>
      <w:proofErr w:type="spellStart"/>
      <w:r w:rsidR="00FC44E3" w:rsidRPr="00DC7E28">
        <w:rPr>
          <w:bCs/>
        </w:rPr>
        <w:t>Jerontjew</w:t>
      </w:r>
      <w:proofErr w:type="spellEnd"/>
      <w:r w:rsidR="00FC44E3">
        <w:rPr>
          <w:bCs/>
        </w:rPr>
        <w:t>, jednatel</w:t>
      </w:r>
    </w:p>
    <w:sectPr w:rsidR="008130B4" w:rsidSect="00574A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59B"/>
    <w:multiLevelType w:val="hybridMultilevel"/>
    <w:tmpl w:val="9F1ED6F6"/>
    <w:lvl w:ilvl="0" w:tplc="B300A8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D57E4"/>
    <w:multiLevelType w:val="hybridMultilevel"/>
    <w:tmpl w:val="4740D2E8"/>
    <w:lvl w:ilvl="0" w:tplc="94FAA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4771D8"/>
    <w:multiLevelType w:val="hybridMultilevel"/>
    <w:tmpl w:val="8BF01A68"/>
    <w:lvl w:ilvl="0" w:tplc="B49AF69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064AB"/>
    <w:multiLevelType w:val="hybridMultilevel"/>
    <w:tmpl w:val="4DC4B736"/>
    <w:lvl w:ilvl="0" w:tplc="225A53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A2A7B"/>
    <w:multiLevelType w:val="hybridMultilevel"/>
    <w:tmpl w:val="DAB29232"/>
    <w:lvl w:ilvl="0" w:tplc="244E44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D4"/>
    <w:rsid w:val="000738C2"/>
    <w:rsid w:val="000B1D7E"/>
    <w:rsid w:val="000C27A8"/>
    <w:rsid w:val="000D24FD"/>
    <w:rsid w:val="00135A1D"/>
    <w:rsid w:val="00143F27"/>
    <w:rsid w:val="001917FC"/>
    <w:rsid w:val="00192613"/>
    <w:rsid w:val="002111DB"/>
    <w:rsid w:val="00231416"/>
    <w:rsid w:val="00270415"/>
    <w:rsid w:val="00292A7E"/>
    <w:rsid w:val="00296428"/>
    <w:rsid w:val="002A46D0"/>
    <w:rsid w:val="0032762F"/>
    <w:rsid w:val="003463E5"/>
    <w:rsid w:val="003871F2"/>
    <w:rsid w:val="003B4214"/>
    <w:rsid w:val="003B5EBF"/>
    <w:rsid w:val="003D6911"/>
    <w:rsid w:val="004D3E5B"/>
    <w:rsid w:val="004F6A72"/>
    <w:rsid w:val="00502067"/>
    <w:rsid w:val="00555D6C"/>
    <w:rsid w:val="00570DB5"/>
    <w:rsid w:val="00574A76"/>
    <w:rsid w:val="005959D5"/>
    <w:rsid w:val="005A16CF"/>
    <w:rsid w:val="005C3BBE"/>
    <w:rsid w:val="005D7DDD"/>
    <w:rsid w:val="0067104E"/>
    <w:rsid w:val="006D4C04"/>
    <w:rsid w:val="006F6D7B"/>
    <w:rsid w:val="0070054D"/>
    <w:rsid w:val="007150B3"/>
    <w:rsid w:val="00722FFE"/>
    <w:rsid w:val="00746A9C"/>
    <w:rsid w:val="007732BF"/>
    <w:rsid w:val="00780CEA"/>
    <w:rsid w:val="007B0DC8"/>
    <w:rsid w:val="007C4592"/>
    <w:rsid w:val="007D0867"/>
    <w:rsid w:val="007D5BE4"/>
    <w:rsid w:val="008130B4"/>
    <w:rsid w:val="0084483E"/>
    <w:rsid w:val="008762DC"/>
    <w:rsid w:val="008D5A84"/>
    <w:rsid w:val="00925A42"/>
    <w:rsid w:val="00955971"/>
    <w:rsid w:val="0097028D"/>
    <w:rsid w:val="009942D3"/>
    <w:rsid w:val="009B7AF1"/>
    <w:rsid w:val="009C56DD"/>
    <w:rsid w:val="009C7335"/>
    <w:rsid w:val="009F5B49"/>
    <w:rsid w:val="00A36155"/>
    <w:rsid w:val="00A40CB1"/>
    <w:rsid w:val="00B034B8"/>
    <w:rsid w:val="00B91CCF"/>
    <w:rsid w:val="00BA39D9"/>
    <w:rsid w:val="00BA5E3D"/>
    <w:rsid w:val="00BB7913"/>
    <w:rsid w:val="00C11999"/>
    <w:rsid w:val="00C21CD4"/>
    <w:rsid w:val="00C4248B"/>
    <w:rsid w:val="00C50D39"/>
    <w:rsid w:val="00C87B33"/>
    <w:rsid w:val="00C923D2"/>
    <w:rsid w:val="00C97B66"/>
    <w:rsid w:val="00CB6407"/>
    <w:rsid w:val="00CC14A1"/>
    <w:rsid w:val="00D5389D"/>
    <w:rsid w:val="00D9054F"/>
    <w:rsid w:val="00DB4171"/>
    <w:rsid w:val="00DC7E28"/>
    <w:rsid w:val="00E31864"/>
    <w:rsid w:val="00E67332"/>
    <w:rsid w:val="00E7476D"/>
    <w:rsid w:val="00EB61FC"/>
    <w:rsid w:val="00EE0EE2"/>
    <w:rsid w:val="00F3260E"/>
    <w:rsid w:val="00F742F1"/>
    <w:rsid w:val="00FC44E3"/>
    <w:rsid w:val="00F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A7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A7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935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POH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Majerhoferova</dc:creator>
  <cp:lastModifiedBy>Vorisek Jiri</cp:lastModifiedBy>
  <cp:revision>15</cp:revision>
  <dcterms:created xsi:type="dcterms:W3CDTF">2016-12-09T08:11:00Z</dcterms:created>
  <dcterms:modified xsi:type="dcterms:W3CDTF">2016-12-20T09:46:00Z</dcterms:modified>
</cp:coreProperties>
</file>