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71" w:rsidRDefault="00114E8D">
      <w:pPr>
        <w:pStyle w:val="Style1"/>
        <w:widowControl/>
        <w:jc w:val="both"/>
        <w:rPr>
          <w:rStyle w:val="FontStyle18"/>
        </w:rPr>
      </w:pPr>
      <w:bookmarkStart w:id="0" w:name="_GoBack"/>
      <w:bookmarkEnd w:id="0"/>
      <w:r>
        <w:rPr>
          <w:rStyle w:val="FontStyle18"/>
        </w:rPr>
        <w:t>Dodavatel:</w:t>
      </w:r>
    </w:p>
    <w:p w:rsidR="00520671" w:rsidRDefault="00152C7E">
      <w:pPr>
        <w:pStyle w:val="Style2"/>
        <w:widowControl/>
        <w:spacing w:line="823" w:lineRule="exact"/>
        <w:jc w:val="both"/>
        <w:rPr>
          <w:rStyle w:val="FontStyle15"/>
          <w:position w:val="-11"/>
        </w:rPr>
      </w:pPr>
      <w:r>
        <w:rPr>
          <w:rStyle w:val="FontStyle15"/>
          <w:position w:val="-11"/>
        </w:rPr>
        <w:t>^</w:t>
      </w:r>
      <w:proofErr w:type="spellStart"/>
      <w:r>
        <w:rPr>
          <w:rStyle w:val="FontStyle15"/>
          <w:position w:val="-11"/>
        </w:rPr>
        <w:t>Kuběnský</w:t>
      </w:r>
      <w:proofErr w:type="spellEnd"/>
    </w:p>
    <w:p w:rsidR="00520671" w:rsidRDefault="00114E8D">
      <w:pPr>
        <w:pStyle w:val="Style3"/>
        <w:widowControl/>
        <w:spacing w:line="278" w:lineRule="exact"/>
        <w:rPr>
          <w:rStyle w:val="FontStyle17"/>
          <w:u w:val="single"/>
          <w:lang w:val="en-US"/>
        </w:rPr>
      </w:pPr>
      <w:r>
        <w:rPr>
          <w:rStyle w:val="FontStyle16"/>
        </w:rPr>
        <w:t xml:space="preserve">architektonické a expoziční osvětlení / </w:t>
      </w:r>
      <w:proofErr w:type="spellStart"/>
      <w:r>
        <w:rPr>
          <w:rStyle w:val="FontStyle21"/>
        </w:rPr>
        <w:t>Kuběnský</w:t>
      </w:r>
      <w:proofErr w:type="spellEnd"/>
      <w:r>
        <w:rPr>
          <w:rStyle w:val="FontStyle21"/>
        </w:rPr>
        <w:t xml:space="preserve"> spol. s r.o. Rybná 716/24, Staré Město 110 00 Praha 1 IČ: 043 35 759 DIČ: CZ 043 35 759 e-mail:</w:t>
      </w:r>
      <w:r>
        <w:rPr>
          <w:rStyle w:val="FontStyle21"/>
          <w:lang w:val="en-US"/>
        </w:rPr>
        <w:t xml:space="preserve"> </w:t>
      </w:r>
      <w:hyperlink r:id="rId7" w:history="1">
        <w:r>
          <w:rPr>
            <w:rStyle w:val="Hypertextovodkaz"/>
            <w:rFonts w:cs="Arial Narrow"/>
            <w:sz w:val="20"/>
            <w:szCs w:val="20"/>
            <w:lang w:val="en-US"/>
          </w:rPr>
          <w:t xml:space="preserve">info@kubensky.cz </w:t>
        </w:r>
      </w:hyperlink>
      <w:hyperlink r:id="rId8" w:history="1">
        <w:r>
          <w:rPr>
            <w:rStyle w:val="Hypertextovodkaz"/>
            <w:rFonts w:cs="Arial Narrow"/>
            <w:sz w:val="18"/>
            <w:szCs w:val="18"/>
            <w:lang w:val="en-US"/>
          </w:rPr>
          <w:t>www.kubensky.cz</w:t>
        </w:r>
      </w:hyperlink>
    </w:p>
    <w:p w:rsidR="00520671" w:rsidRDefault="00114E8D">
      <w:pPr>
        <w:pStyle w:val="Style5"/>
        <w:widowControl/>
        <w:spacing w:before="10"/>
        <w:rPr>
          <w:rStyle w:val="FontStyle18"/>
        </w:rPr>
      </w:pPr>
      <w:r>
        <w:rPr>
          <w:rStyle w:val="FontStyle17"/>
          <w:u w:val="single"/>
          <w:lang w:val="en-US"/>
        </w:rPr>
        <w:br w:type="column"/>
      </w:r>
      <w:r>
        <w:rPr>
          <w:rStyle w:val="FontStyle18"/>
        </w:rPr>
        <w:lastRenderedPageBreak/>
        <w:t>Odběratel:</w:t>
      </w:r>
    </w:p>
    <w:p w:rsidR="00520671" w:rsidRDefault="00520671">
      <w:pPr>
        <w:pStyle w:val="Style5"/>
        <w:widowControl/>
        <w:spacing w:line="240" w:lineRule="exact"/>
        <w:rPr>
          <w:sz w:val="20"/>
          <w:szCs w:val="20"/>
        </w:rPr>
      </w:pPr>
    </w:p>
    <w:p w:rsidR="00520671" w:rsidRDefault="00114E8D">
      <w:pPr>
        <w:pStyle w:val="Style5"/>
        <w:widowControl/>
        <w:spacing w:before="48" w:line="278" w:lineRule="exact"/>
        <w:rPr>
          <w:rStyle w:val="FontStyle18"/>
        </w:rPr>
      </w:pPr>
      <w:r>
        <w:rPr>
          <w:rStyle w:val="FontStyle18"/>
        </w:rPr>
        <w:t>Dům Kultury Teplice</w:t>
      </w:r>
    </w:p>
    <w:p w:rsidR="00520671" w:rsidRDefault="00114E8D">
      <w:pPr>
        <w:pStyle w:val="Style3"/>
        <w:widowControl/>
        <w:spacing w:before="2" w:line="278" w:lineRule="exact"/>
        <w:rPr>
          <w:rStyle w:val="FontStyle21"/>
        </w:rPr>
      </w:pPr>
      <w:r>
        <w:rPr>
          <w:rStyle w:val="FontStyle21"/>
        </w:rPr>
        <w:t>příspěvková organizace Mírové náměstí 2950 41501 Teplice</w:t>
      </w:r>
    </w:p>
    <w:p w:rsidR="00520671" w:rsidRDefault="00520671">
      <w:pPr>
        <w:pStyle w:val="Style3"/>
        <w:widowControl/>
        <w:spacing w:before="2" w:line="278" w:lineRule="exact"/>
        <w:rPr>
          <w:rStyle w:val="FontStyle21"/>
        </w:rPr>
        <w:sectPr w:rsidR="005206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928" w:right="3711" w:bottom="1440" w:left="1062" w:header="708" w:footer="708" w:gutter="0"/>
          <w:cols w:num="2" w:space="708" w:equalWidth="0">
            <w:col w:w="4706" w:space="506"/>
            <w:col w:w="1920"/>
          </w:cols>
          <w:noEndnote/>
        </w:sectPr>
      </w:pPr>
    </w:p>
    <w:p w:rsidR="00520671" w:rsidRDefault="00520671">
      <w:pPr>
        <w:widowControl/>
        <w:spacing w:before="79" w:line="240" w:lineRule="exact"/>
        <w:rPr>
          <w:sz w:val="20"/>
          <w:szCs w:val="20"/>
        </w:rPr>
      </w:pPr>
    </w:p>
    <w:p w:rsidR="00520671" w:rsidRDefault="00520671">
      <w:pPr>
        <w:pStyle w:val="Style3"/>
        <w:widowControl/>
        <w:spacing w:before="2" w:line="278" w:lineRule="exact"/>
        <w:rPr>
          <w:rStyle w:val="FontStyle21"/>
        </w:rPr>
        <w:sectPr w:rsidR="00520671">
          <w:type w:val="continuous"/>
          <w:pgSz w:w="11905" w:h="16837"/>
          <w:pgMar w:top="928" w:right="1604" w:bottom="1440" w:left="1093" w:header="708" w:footer="708" w:gutter="0"/>
          <w:cols w:space="60"/>
          <w:noEndnote/>
        </w:sectPr>
      </w:pPr>
    </w:p>
    <w:p w:rsidR="00520671" w:rsidRDefault="00114E8D">
      <w:pPr>
        <w:pStyle w:val="Style3"/>
        <w:widowControl/>
        <w:spacing w:line="240" w:lineRule="auto"/>
        <w:jc w:val="both"/>
        <w:rPr>
          <w:rStyle w:val="FontStyle21"/>
        </w:rPr>
      </w:pPr>
      <w:r>
        <w:rPr>
          <w:rStyle w:val="FontStyle21"/>
        </w:rPr>
        <w:lastRenderedPageBreak/>
        <w:t>Cenová nabídka:</w:t>
      </w:r>
    </w:p>
    <w:p w:rsidR="00520671" w:rsidRDefault="00114E8D">
      <w:pPr>
        <w:pStyle w:val="Style8"/>
        <w:widowControl/>
        <w:spacing w:before="5"/>
        <w:jc w:val="both"/>
        <w:rPr>
          <w:rStyle w:val="FontStyle21"/>
        </w:rPr>
      </w:pPr>
      <w:r>
        <w:rPr>
          <w:rStyle w:val="FontStyle21"/>
        </w:rPr>
        <w:br w:type="column"/>
      </w:r>
      <w:proofErr w:type="gramStart"/>
      <w:r>
        <w:rPr>
          <w:rStyle w:val="FontStyle21"/>
        </w:rPr>
        <w:lastRenderedPageBreak/>
        <w:t>20.06.2019</w:t>
      </w:r>
      <w:proofErr w:type="gramEnd"/>
    </w:p>
    <w:p w:rsidR="00520671" w:rsidRDefault="00520671">
      <w:pPr>
        <w:pStyle w:val="Style8"/>
        <w:widowControl/>
        <w:spacing w:before="5"/>
        <w:jc w:val="both"/>
        <w:rPr>
          <w:rStyle w:val="FontStyle21"/>
        </w:rPr>
        <w:sectPr w:rsidR="00520671">
          <w:type w:val="continuous"/>
          <w:pgSz w:w="11905" w:h="16837"/>
          <w:pgMar w:top="928" w:right="1604" w:bottom="1440" w:left="1093" w:header="708" w:footer="708" w:gutter="0"/>
          <w:cols w:num="2" w:space="708" w:equalWidth="0">
            <w:col w:w="1327" w:space="6991"/>
            <w:col w:w="890"/>
          </w:cols>
          <w:noEndnote/>
        </w:sectPr>
      </w:pPr>
    </w:p>
    <w:p w:rsidR="00520671" w:rsidRDefault="00114E8D">
      <w:pPr>
        <w:pStyle w:val="Style3"/>
        <w:widowControl/>
        <w:spacing w:line="240" w:lineRule="auto"/>
        <w:rPr>
          <w:rStyle w:val="FontStyle21"/>
        </w:rPr>
      </w:pPr>
      <w:r>
        <w:rPr>
          <w:noProof/>
        </w:rPr>
        <mc:AlternateContent>
          <mc:Choice Requires="wpg">
            <w:drawing>
              <wp:anchor distT="74930" distB="207010" distL="24130" distR="24130" simplePos="0" relativeHeight="25165824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199390</wp:posOffset>
                </wp:positionV>
                <wp:extent cx="6239510" cy="2514600"/>
                <wp:effectExtent l="8890" t="8890" r="9525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2514600"/>
                          <a:chOff x="1032" y="5126"/>
                          <a:chExt cx="9826" cy="39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5318"/>
                            <a:ext cx="9826" cy="3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4531"/>
                                <w:gridCol w:w="629"/>
                                <w:gridCol w:w="1987"/>
                                <w:gridCol w:w="1978"/>
                              </w:tblGrid>
                              <w:tr w:rsidR="00520671"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20671" w:rsidRDefault="00114E8D">
                                    <w:pPr>
                                      <w:pStyle w:val="Style1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Poz</w:t>
                                    </w:r>
                                    <w:proofErr w:type="spellEnd"/>
                                    <w:r>
                                      <w:rPr>
                                        <w:rStyle w:val="FontStyle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20671" w:rsidRDefault="00114E8D">
                                    <w:pPr>
                                      <w:pStyle w:val="Style12"/>
                                      <w:widowControl/>
                                      <w:spacing w:line="240" w:lineRule="auto"/>
                                      <w:ind w:left="1867" w:firstLine="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Položka</w:t>
                                    </w:r>
                                  </w:p>
                                </w:tc>
                                <w:tc>
                                  <w:tcPr>
                                    <w:tcW w:w="6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20671" w:rsidRDefault="00114E8D">
                                    <w:pPr>
                                      <w:pStyle w:val="Style12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ks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20671" w:rsidRDefault="00114E8D">
                                    <w:pPr>
                                      <w:pStyle w:val="Style12"/>
                                      <w:widowControl/>
                                      <w:ind w:left="722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Cena v Kč za kus bez DPH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20671" w:rsidRDefault="00114E8D">
                                    <w:pPr>
                                      <w:pStyle w:val="Style13"/>
                                      <w:widowControl/>
                                      <w:ind w:right="24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Cena v Kč za položku celkem bez DPH</w:t>
                                    </w:r>
                                  </w:p>
                                </w:tc>
                              </w:tr>
                              <w:tr w:rsidR="00520671"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S1</w:t>
                                    </w:r>
                                  </w:p>
                                </w:tc>
                                <w:tc>
                                  <w:tcPr>
                                    <w:tcW w:w="45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9"/>
                                      </w:rPr>
                                      <w:t>Logotec</w:t>
                                    </w:r>
                                    <w:proofErr w:type="spellEnd"/>
                                    <w:r>
                                      <w:rPr>
                                        <w:rStyle w:val="FontStyle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19"/>
                                      </w:rPr>
                                      <w:t>Lens</w:t>
                                    </w:r>
                                    <w:proofErr w:type="spellEnd"/>
                                    <w:r>
                                      <w:rPr>
                                        <w:rStyle w:val="FontStyle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19"/>
                                      </w:rPr>
                                      <w:t>wallwasher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left="73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15 259,35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right="274"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61 037,40</w:t>
                                    </w:r>
                                  </w:p>
                                </w:tc>
                              </w:tr>
                              <w:tr w:rsidR="00520671"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S2</w:t>
                                    </w:r>
                                  </w:p>
                                </w:tc>
                                <w:tc>
                                  <w:tcPr>
                                    <w:tcW w:w="45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9"/>
                                      </w:rPr>
                                      <w:t>Logotec</w:t>
                                    </w:r>
                                    <w:proofErr w:type="spellEnd"/>
                                    <w:r>
                                      <w:rPr>
                                        <w:rStyle w:val="FontStyle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19"/>
                                      </w:rPr>
                                      <w:t>Spotlight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left="725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13 865,55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right="274"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13 865,55</w:t>
                                    </w:r>
                                  </w:p>
                                </w:tc>
                              </w:tr>
                              <w:tr w:rsidR="00520671"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S3</w:t>
                                    </w:r>
                                  </w:p>
                                </w:tc>
                                <w:tc>
                                  <w:tcPr>
                                    <w:tcW w:w="45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9"/>
                                      </w:rPr>
                                      <w:t>Pollux</w:t>
                                    </w:r>
                                    <w:proofErr w:type="spellEnd"/>
                                    <w:r>
                                      <w:rPr>
                                        <w:rStyle w:val="FontStyle1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FontStyle19"/>
                                      </w:rPr>
                                      <w:t>Spotlight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left="73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13 865,55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right="269"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69 327,75</w:t>
                                    </w:r>
                                  </w:p>
                                </w:tc>
                              </w:tr>
                              <w:tr w:rsidR="00520671"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52067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52067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52067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52067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52067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520671">
                                <w:tc>
                                  <w:tcPr>
                                    <w:tcW w:w="784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Cena celkem v Kč bez DPH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right="245"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144 230,70</w:t>
                                    </w:r>
                                  </w:p>
                                </w:tc>
                              </w:tr>
                              <w:tr w:rsidR="00520671">
                                <w:tc>
                                  <w:tcPr>
                                    <w:tcW w:w="784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Výše DPH 21% v Kč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right="245"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30 288,45</w:t>
                                    </w:r>
                                  </w:p>
                                </w:tc>
                              </w:tr>
                              <w:tr w:rsidR="00520671">
                                <w:tc>
                                  <w:tcPr>
                                    <w:tcW w:w="784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Cena celkem v Kč vč. DPH 21%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20671" w:rsidRDefault="00114E8D">
                                    <w:pPr>
                                      <w:pStyle w:val="Style11"/>
                                      <w:widowControl/>
                                      <w:ind w:right="240"/>
                                      <w:jc w:val="righ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174 519,15</w:t>
                                    </w:r>
                                  </w:p>
                                </w:tc>
                              </w:tr>
                            </w:tbl>
                            <w:p w:rsidR="0064335D" w:rsidRDefault="006433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5126"/>
                            <a:ext cx="5097" cy="2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0671" w:rsidRDefault="00114E8D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241 Dům kultury Teplice, Galerie Zahradní dům - dokup svítidel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8853"/>
                            <a:ext cx="3300" cy="2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0671" w:rsidRDefault="00114E8D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Kondice dodání: </w:t>
                              </w:r>
                              <w:proofErr w:type="spellStart"/>
                              <w:r>
                                <w:rPr>
                                  <w:rStyle w:val="FontStyle21"/>
                                </w:rPr>
                                <w:t>exx</w:t>
                              </w:r>
                              <w:proofErr w:type="spellEnd"/>
                              <w:r>
                                <w:rPr>
                                  <w:rStyle w:val="FontStyle21"/>
                                </w:rPr>
                                <w:t xml:space="preserve"> Německo P100T10d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55pt;margin-top:15.7pt;width:491.3pt;height:198pt;z-index:251658240;mso-wrap-distance-left:1.9pt;mso-wrap-distance-top:5.9pt;mso-wrap-distance-right:1.9pt;mso-wrap-distance-bottom:16.3pt;mso-position-horizontal-relative:margin" coordorigin="1032,5126" coordsize="9826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32;top:5318;width:9826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4531"/>
                          <w:gridCol w:w="629"/>
                          <w:gridCol w:w="1987"/>
                          <w:gridCol w:w="1978"/>
                        </w:tblGrid>
                        <w:tr w:rsidR="00520671"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20671" w:rsidRDefault="00114E8D">
                              <w:pPr>
                                <w:pStyle w:val="Style1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Poz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20671" w:rsidRDefault="00114E8D">
                              <w:pPr>
                                <w:pStyle w:val="Style12"/>
                                <w:widowControl/>
                                <w:spacing w:line="240" w:lineRule="auto"/>
                                <w:ind w:left="1867" w:firstLine="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Položka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20671" w:rsidRDefault="00114E8D">
                              <w:pPr>
                                <w:pStyle w:val="Style12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ks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20671" w:rsidRDefault="00114E8D">
                              <w:pPr>
                                <w:pStyle w:val="Style12"/>
                                <w:widowControl/>
                                <w:ind w:left="722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Cena v Kč za kus bez DPH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20671" w:rsidRDefault="00114E8D">
                              <w:pPr>
                                <w:pStyle w:val="Style13"/>
                                <w:widowControl/>
                                <w:ind w:right="24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Cena v Kč za položku celkem bez DPH</w:t>
                              </w:r>
                            </w:p>
                          </w:tc>
                        </w:tr>
                        <w:tr w:rsidR="00520671"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S1</w:t>
                              </w:r>
                            </w:p>
                          </w:tc>
                          <w:tc>
                            <w:tcPr>
                              <w:tcW w:w="45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9"/>
                                </w:rPr>
                                <w:t>Logotec</w:t>
                              </w:r>
                              <w:proofErr w:type="spellEnd"/>
                              <w:r>
                                <w:rPr>
                                  <w:rStyle w:val="FontStyle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9"/>
                                </w:rPr>
                                <w:t>Lens</w:t>
                              </w:r>
                              <w:proofErr w:type="spellEnd"/>
                              <w:r>
                                <w:rPr>
                                  <w:rStyle w:val="FontStyle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9"/>
                                </w:rPr>
                                <w:t>wallwasher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left="73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15 259,35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right="274"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61 037,40</w:t>
                              </w:r>
                            </w:p>
                          </w:tc>
                        </w:tr>
                        <w:tr w:rsidR="00520671"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S2</w:t>
                              </w:r>
                            </w:p>
                          </w:tc>
                          <w:tc>
                            <w:tcPr>
                              <w:tcW w:w="45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9"/>
                                </w:rPr>
                                <w:t>Logotec</w:t>
                              </w:r>
                              <w:proofErr w:type="spellEnd"/>
                              <w:r>
                                <w:rPr>
                                  <w:rStyle w:val="FontStyle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9"/>
                                </w:rPr>
                                <w:t>Spotlight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left="725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13 865,55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right="274"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13 865,55</w:t>
                              </w:r>
                            </w:p>
                          </w:tc>
                        </w:tr>
                        <w:tr w:rsidR="00520671"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S3</w:t>
                              </w:r>
                            </w:p>
                          </w:tc>
                          <w:tc>
                            <w:tcPr>
                              <w:tcW w:w="45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9"/>
                                </w:rPr>
                                <w:t>Pollux</w:t>
                              </w:r>
                              <w:proofErr w:type="spellEnd"/>
                              <w:r>
                                <w:rPr>
                                  <w:rStyle w:val="FontStyle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FontStyle19"/>
                                </w:rPr>
                                <w:t>Spotlight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left="73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13 865,55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right="269"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69 327,75</w:t>
                              </w:r>
                            </w:p>
                          </w:tc>
                        </w:tr>
                        <w:tr w:rsidR="00520671"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52067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45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52067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52067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52067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52067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520671">
                          <w:tc>
                            <w:tcPr>
                              <w:tcW w:w="784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Cena celkem v Kč bez DPH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right="245"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144 230,70</w:t>
                              </w:r>
                            </w:p>
                          </w:tc>
                        </w:tr>
                        <w:tr w:rsidR="00520671">
                          <w:tc>
                            <w:tcPr>
                              <w:tcW w:w="784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Výše DPH 21% v Kč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right="245"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30 288,45</w:t>
                              </w:r>
                            </w:p>
                          </w:tc>
                        </w:tr>
                        <w:tr w:rsidR="00520671">
                          <w:tc>
                            <w:tcPr>
                              <w:tcW w:w="784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Cena celkem v Kč vč. DPH 21%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20671" w:rsidRDefault="00114E8D">
                              <w:pPr>
                                <w:pStyle w:val="Style11"/>
                                <w:widowControl/>
                                <w:ind w:right="240"/>
                                <w:jc w:val="righ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174 519,15</w:t>
                              </w:r>
                            </w:p>
                          </w:tc>
                        </w:tr>
                      </w:tbl>
                      <w:p w:rsidR="0064335D" w:rsidRDefault="0064335D"/>
                    </w:txbxContent>
                  </v:textbox>
                </v:shape>
                <v:shape id="Text Box 4" o:spid="_x0000_s1028" type="#_x0000_t202" style="position:absolute;left:1085;top:5126;width:509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520671" w:rsidRDefault="00114E8D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241 Dům kultury Teplice, Galerie Zahradní dům - dokup svítidel</w:t>
                        </w:r>
                      </w:p>
                    </w:txbxContent>
                  </v:textbox>
                </v:shape>
                <v:shape id="Text Box 5" o:spid="_x0000_s1029" type="#_x0000_t202" style="position:absolute;left:1123;top:8853;width:330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520671" w:rsidRDefault="00114E8D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 xml:space="preserve">Kondice dodání: </w:t>
                        </w:r>
                        <w:proofErr w:type="spellStart"/>
                        <w:r>
                          <w:rPr>
                            <w:rStyle w:val="FontStyle21"/>
                          </w:rPr>
                          <w:t>exx</w:t>
                        </w:r>
                        <w:proofErr w:type="spellEnd"/>
                        <w:r>
                          <w:rPr>
                            <w:rStyle w:val="FontStyle21"/>
                          </w:rPr>
                          <w:t xml:space="preserve"> Německo P100T10d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21"/>
        </w:rPr>
        <w:t>Obchodní podmínky:</w:t>
      </w:r>
    </w:p>
    <w:p w:rsidR="00520671" w:rsidRDefault="00114E8D">
      <w:pPr>
        <w:pStyle w:val="Style3"/>
        <w:widowControl/>
        <w:spacing w:before="46" w:line="240" w:lineRule="auto"/>
        <w:rPr>
          <w:rStyle w:val="FontStyle21"/>
        </w:rPr>
      </w:pPr>
      <w:r>
        <w:rPr>
          <w:rStyle w:val="FontStyle21"/>
        </w:rPr>
        <w:t>Uvedená cenová nabídka je platná pouze jako celek.</w:t>
      </w:r>
    </w:p>
    <w:p w:rsidR="00520671" w:rsidRDefault="00114E8D">
      <w:pPr>
        <w:pStyle w:val="Style3"/>
        <w:widowControl/>
        <w:spacing w:before="24" w:line="271" w:lineRule="exact"/>
        <w:rPr>
          <w:rStyle w:val="FontStyle21"/>
        </w:rPr>
      </w:pPr>
      <w:r>
        <w:rPr>
          <w:rStyle w:val="FontStyle21"/>
        </w:rPr>
        <w:t>Uvedené ceny jsou platné 30 dnů od vystavení nabídky a při platbě předem.</w:t>
      </w:r>
    </w:p>
    <w:p w:rsidR="00520671" w:rsidRDefault="00114E8D">
      <w:pPr>
        <w:pStyle w:val="Style9"/>
        <w:widowControl/>
        <w:spacing w:before="2"/>
        <w:rPr>
          <w:rStyle w:val="FontStyle21"/>
        </w:rPr>
      </w:pPr>
      <w:r>
        <w:rPr>
          <w:rStyle w:val="FontStyle21"/>
        </w:rPr>
        <w:t xml:space="preserve">Záruka 24 měsíců (záruka se </w:t>
      </w:r>
      <w:proofErr w:type="gramStart"/>
      <w:r>
        <w:rPr>
          <w:rStyle w:val="FontStyle21"/>
        </w:rPr>
        <w:t>nevztahuje</w:t>
      </w:r>
      <w:proofErr w:type="gramEnd"/>
      <w:r>
        <w:rPr>
          <w:rStyle w:val="FontStyle21"/>
        </w:rPr>
        <w:t xml:space="preserve"> na poškození způsobené přepětím v </w:t>
      </w:r>
      <w:proofErr w:type="gramStart"/>
      <w:r>
        <w:rPr>
          <w:rStyle w:val="FontStyle21"/>
        </w:rPr>
        <w:t>síti-doporučujeme</w:t>
      </w:r>
      <w:proofErr w:type="gramEnd"/>
      <w:r>
        <w:rPr>
          <w:rStyle w:val="FontStyle21"/>
        </w:rPr>
        <w:t xml:space="preserve"> instalaci přepěťové ochrany v souladu s předpisy)</w:t>
      </w:r>
    </w:p>
    <w:p w:rsidR="00520671" w:rsidRDefault="00520671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520671" w:rsidRDefault="00520671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520671" w:rsidRDefault="00152C7E">
      <w:pPr>
        <w:pStyle w:val="Style7"/>
        <w:widowControl/>
        <w:spacing w:before="216" w:line="689" w:lineRule="exact"/>
        <w:jc w:val="both"/>
        <w:rPr>
          <w:rStyle w:val="FontStyle22"/>
          <w:position w:val="-8"/>
        </w:rPr>
      </w:pPr>
      <w:r>
        <w:rPr>
          <w:rStyle w:val="FontStyle22"/>
          <w:position w:val="-8"/>
        </w:rPr>
        <w:t>^</w:t>
      </w:r>
      <w:proofErr w:type="spellStart"/>
      <w:r>
        <w:rPr>
          <w:rStyle w:val="FontStyle22"/>
          <w:position w:val="-8"/>
        </w:rPr>
        <w:t>Kuběnský</w:t>
      </w:r>
      <w:proofErr w:type="spellEnd"/>
    </w:p>
    <w:p w:rsidR="00520671" w:rsidRDefault="00114E8D">
      <w:pPr>
        <w:pStyle w:val="Style6"/>
        <w:widowControl/>
        <w:rPr>
          <w:rStyle w:val="FontStyle23"/>
        </w:rPr>
      </w:pPr>
      <w:r>
        <w:rPr>
          <w:rStyle w:val="FontStyle23"/>
        </w:rPr>
        <w:t>architektonické o expoziční osvětlení /</w:t>
      </w:r>
    </w:p>
    <w:p w:rsidR="00520671" w:rsidRDefault="00520671">
      <w:pPr>
        <w:pStyle w:val="Style4"/>
        <w:widowControl/>
        <w:spacing w:line="240" w:lineRule="exact"/>
        <w:rPr>
          <w:sz w:val="20"/>
          <w:szCs w:val="20"/>
        </w:rPr>
      </w:pPr>
    </w:p>
    <w:p w:rsidR="00114E8D" w:rsidRDefault="00114E8D">
      <w:pPr>
        <w:pStyle w:val="Style4"/>
        <w:widowControl/>
        <w:spacing w:before="94"/>
        <w:rPr>
          <w:rStyle w:val="FontStyle24"/>
        </w:rPr>
      </w:pPr>
      <w:r>
        <w:rPr>
          <w:rStyle w:val="FontStyle24"/>
        </w:rPr>
        <w:t xml:space="preserve">GDPR a zákon o ochraně osobních </w:t>
      </w:r>
      <w:proofErr w:type="gramStart"/>
      <w:r>
        <w:rPr>
          <w:rStyle w:val="FontStyle24"/>
        </w:rPr>
        <w:t xml:space="preserve">údajů </w:t>
      </w:r>
      <w:proofErr w:type="spellStart"/>
      <w:r>
        <w:rPr>
          <w:rStyle w:val="FontStyle24"/>
        </w:rPr>
        <w:t>Z.č</w:t>
      </w:r>
      <w:proofErr w:type="spellEnd"/>
      <w:r>
        <w:rPr>
          <w:rStyle w:val="FontStyle24"/>
        </w:rPr>
        <w:t>.</w:t>
      </w:r>
      <w:proofErr w:type="gramEnd"/>
      <w:r>
        <w:rPr>
          <w:rStyle w:val="FontStyle24"/>
        </w:rPr>
        <w:t xml:space="preserve"> 101/2000 sb. V rámci zpracování zakázek a veškeré agendy, která s tím dále souvisí, pracujeme s povinnými údaji našich klientů (obchodní jméno, sídlo firmy, IČO, DIČ, číslo bankovního účtu), ale také s nepovinnými údaji (telefonní čísla, e-mailové adresy, jméno kontaktní osoby). Veškeré údaje jsou používány pouze v rámci podnikatelské činnosti firmy </w:t>
      </w:r>
      <w:proofErr w:type="spellStart"/>
      <w:r>
        <w:rPr>
          <w:rStyle w:val="FontStyle24"/>
        </w:rPr>
        <w:t>Kuběnský</w:t>
      </w:r>
      <w:proofErr w:type="spellEnd"/>
      <w:r>
        <w:rPr>
          <w:rStyle w:val="FontStyle24"/>
        </w:rPr>
        <w:t xml:space="preserve"> spol. s r.o., IČ: 04335759</w:t>
      </w:r>
    </w:p>
    <w:sectPr w:rsidR="00114E8D">
      <w:type w:val="continuous"/>
      <w:pgSz w:w="11905" w:h="16837"/>
      <w:pgMar w:top="928" w:right="1121" w:bottom="1440" w:left="11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8D" w:rsidRDefault="00114E8D">
      <w:r>
        <w:separator/>
      </w:r>
    </w:p>
  </w:endnote>
  <w:endnote w:type="continuationSeparator" w:id="0">
    <w:p w:rsidR="00114E8D" w:rsidRDefault="001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F" w:rsidRDefault="00676A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F" w:rsidRDefault="00676A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F" w:rsidRDefault="00676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8D" w:rsidRDefault="00114E8D">
      <w:r>
        <w:separator/>
      </w:r>
    </w:p>
  </w:footnote>
  <w:footnote w:type="continuationSeparator" w:id="0">
    <w:p w:rsidR="00114E8D" w:rsidRDefault="0011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F" w:rsidRDefault="00676A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F" w:rsidRDefault="00676A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F" w:rsidRDefault="00676A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8D"/>
    <w:rsid w:val="00114E8D"/>
    <w:rsid w:val="00152C7E"/>
    <w:rsid w:val="00520671"/>
    <w:rsid w:val="0064335D"/>
    <w:rsid w:val="006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0" w:lineRule="exact"/>
    </w:pPr>
  </w:style>
  <w:style w:type="paragraph" w:customStyle="1" w:styleId="Style4">
    <w:name w:val="Style4"/>
    <w:basedOn w:val="Normln"/>
    <w:uiPriority w:val="99"/>
    <w:pPr>
      <w:spacing w:line="235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71" w:lineRule="exact"/>
      <w:jc w:val="both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74" w:lineRule="exact"/>
      <w:ind w:hanging="722"/>
    </w:pPr>
  </w:style>
  <w:style w:type="paragraph" w:customStyle="1" w:styleId="Style13">
    <w:name w:val="Style13"/>
    <w:basedOn w:val="Normln"/>
    <w:uiPriority w:val="99"/>
    <w:pPr>
      <w:spacing w:line="269" w:lineRule="exact"/>
    </w:pPr>
  </w:style>
  <w:style w:type="character" w:customStyle="1" w:styleId="FontStyle15">
    <w:name w:val="Font Style15"/>
    <w:basedOn w:val="Standardnpsmoodstavce"/>
    <w:uiPriority w:val="99"/>
    <w:rPr>
      <w:rFonts w:ascii="Arial Narrow" w:hAnsi="Arial Narrow" w:cs="Arial Narrow"/>
      <w:spacing w:val="20"/>
      <w:sz w:val="102"/>
      <w:szCs w:val="102"/>
    </w:rPr>
  </w:style>
  <w:style w:type="character" w:customStyle="1" w:styleId="FontStyle16">
    <w:name w:val="Font Style16"/>
    <w:basedOn w:val="Standardnpsmoodstavce"/>
    <w:uiPriority w:val="99"/>
    <w:rPr>
      <w:rFonts w:ascii="Arial Narrow" w:hAnsi="Arial Narrow" w:cs="Arial Narrow"/>
      <w:b/>
      <w:bCs/>
      <w:sz w:val="26"/>
      <w:szCs w:val="26"/>
    </w:rPr>
  </w:style>
  <w:style w:type="character" w:customStyle="1" w:styleId="FontStyle17">
    <w:name w:val="Font Style17"/>
    <w:basedOn w:val="Standardnpsmoodstavce"/>
    <w:uiPriority w:val="99"/>
    <w:rPr>
      <w:rFonts w:ascii="Arial Narrow" w:hAnsi="Arial Narrow" w:cs="Arial Narrow"/>
      <w:sz w:val="18"/>
      <w:szCs w:val="18"/>
    </w:rPr>
  </w:style>
  <w:style w:type="character" w:customStyle="1" w:styleId="FontStyle18">
    <w:name w:val="Font Style18"/>
    <w:basedOn w:val="Standardnpsmoodstavce"/>
    <w:uiPriority w:val="99"/>
    <w:rPr>
      <w:rFonts w:ascii="Arial Narrow" w:hAnsi="Arial Narrow" w:cs="Arial Narrow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Arial Narrow" w:hAnsi="Arial Narrow" w:cs="Arial Narrow"/>
      <w:i/>
      <w:iCs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Arial Narrow" w:hAnsi="Arial Narrow" w:cs="Arial Narrow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b/>
      <w:bCs/>
      <w:spacing w:val="20"/>
      <w:sz w:val="80"/>
      <w:szCs w:val="80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i/>
      <w:i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676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AEF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6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AEF"/>
    <w:rPr>
      <w:rFonts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0" w:lineRule="exact"/>
    </w:pPr>
  </w:style>
  <w:style w:type="paragraph" w:customStyle="1" w:styleId="Style4">
    <w:name w:val="Style4"/>
    <w:basedOn w:val="Normln"/>
    <w:uiPriority w:val="99"/>
    <w:pPr>
      <w:spacing w:line="235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71" w:lineRule="exact"/>
      <w:jc w:val="both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74" w:lineRule="exact"/>
      <w:ind w:hanging="722"/>
    </w:pPr>
  </w:style>
  <w:style w:type="paragraph" w:customStyle="1" w:styleId="Style13">
    <w:name w:val="Style13"/>
    <w:basedOn w:val="Normln"/>
    <w:uiPriority w:val="99"/>
    <w:pPr>
      <w:spacing w:line="269" w:lineRule="exact"/>
    </w:pPr>
  </w:style>
  <w:style w:type="character" w:customStyle="1" w:styleId="FontStyle15">
    <w:name w:val="Font Style15"/>
    <w:basedOn w:val="Standardnpsmoodstavce"/>
    <w:uiPriority w:val="99"/>
    <w:rPr>
      <w:rFonts w:ascii="Arial Narrow" w:hAnsi="Arial Narrow" w:cs="Arial Narrow"/>
      <w:spacing w:val="20"/>
      <w:sz w:val="102"/>
      <w:szCs w:val="102"/>
    </w:rPr>
  </w:style>
  <w:style w:type="character" w:customStyle="1" w:styleId="FontStyle16">
    <w:name w:val="Font Style16"/>
    <w:basedOn w:val="Standardnpsmoodstavce"/>
    <w:uiPriority w:val="99"/>
    <w:rPr>
      <w:rFonts w:ascii="Arial Narrow" w:hAnsi="Arial Narrow" w:cs="Arial Narrow"/>
      <w:b/>
      <w:bCs/>
      <w:sz w:val="26"/>
      <w:szCs w:val="26"/>
    </w:rPr>
  </w:style>
  <w:style w:type="character" w:customStyle="1" w:styleId="FontStyle17">
    <w:name w:val="Font Style17"/>
    <w:basedOn w:val="Standardnpsmoodstavce"/>
    <w:uiPriority w:val="99"/>
    <w:rPr>
      <w:rFonts w:ascii="Arial Narrow" w:hAnsi="Arial Narrow" w:cs="Arial Narrow"/>
      <w:sz w:val="18"/>
      <w:szCs w:val="18"/>
    </w:rPr>
  </w:style>
  <w:style w:type="character" w:customStyle="1" w:styleId="FontStyle18">
    <w:name w:val="Font Style18"/>
    <w:basedOn w:val="Standardnpsmoodstavce"/>
    <w:uiPriority w:val="99"/>
    <w:rPr>
      <w:rFonts w:ascii="Arial Narrow" w:hAnsi="Arial Narrow" w:cs="Arial Narrow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Arial Narrow" w:hAnsi="Arial Narrow" w:cs="Arial Narrow"/>
      <w:i/>
      <w:iCs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Arial Narrow" w:hAnsi="Arial Narrow" w:cs="Arial Narrow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b/>
      <w:bCs/>
      <w:spacing w:val="20"/>
      <w:sz w:val="80"/>
      <w:szCs w:val="80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i/>
      <w:i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676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AEF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6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AEF"/>
    <w:rPr>
      <w:rFonts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nsk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kubensky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2019-12-13T13:30:00Z</dcterms:created>
  <dcterms:modified xsi:type="dcterms:W3CDTF">2019-12-13T13:31:00Z</dcterms:modified>
</cp:coreProperties>
</file>