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5E5F" w14:textId="77777777" w:rsidR="00401CC4" w:rsidRDefault="0075770F" w:rsidP="00785BAC">
      <w:pPr>
        <w:pStyle w:val="Nadpis1"/>
      </w:pPr>
      <w:bookmarkStart w:id="0" w:name="_GoBack"/>
      <w:bookmarkEnd w:id="0"/>
      <w:r>
        <w:t>S</w:t>
      </w:r>
      <w:r w:rsidR="00401CC4">
        <w:t xml:space="preserve">pecifikace </w:t>
      </w:r>
      <w:r>
        <w:t>Technické podpory</w:t>
      </w:r>
    </w:p>
    <w:p w14:paraId="7C574F9B" w14:textId="77777777" w:rsidR="00785BAC" w:rsidRPr="002335F7" w:rsidRDefault="00FB3C4B" w:rsidP="00401CC4">
      <w:pPr>
        <w:pStyle w:val="Nadpis1"/>
        <w:spacing w:before="120"/>
      </w:pPr>
      <w:r w:rsidRPr="002335F7">
        <w:t>Rozsah a způsob řešení servisních hlášení</w:t>
      </w:r>
    </w:p>
    <w:p w14:paraId="3C95D922" w14:textId="69C93B8B" w:rsidR="00A62F51" w:rsidRDefault="009B0B3C" w:rsidP="00027441">
      <w:pPr>
        <w:pStyle w:val="Nadpis2"/>
        <w:spacing w:before="240"/>
      </w:pPr>
      <w:r>
        <w:t xml:space="preserve">Specifikace </w:t>
      </w:r>
      <w:r w:rsidR="0045763E">
        <w:t>technické podpory</w:t>
      </w:r>
    </w:p>
    <w:p w14:paraId="5BB7AF83" w14:textId="77777777" w:rsidR="00A83E11" w:rsidRPr="00A62F51" w:rsidRDefault="00A83E11" w:rsidP="00A62F51">
      <w:pPr>
        <w:pStyle w:val="Nadpis3"/>
      </w:pPr>
      <w:r w:rsidRPr="00A62F51">
        <w:t xml:space="preserve">Definice pojmů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6292"/>
      </w:tblGrid>
      <w:tr w:rsidR="00A83E11" w:rsidRPr="002335F7" w14:paraId="1B92677C" w14:textId="77777777" w:rsidTr="00027441">
        <w:trPr>
          <w:tblHeader/>
        </w:trPr>
        <w:tc>
          <w:tcPr>
            <w:tcW w:w="2689" w:type="dxa"/>
            <w:shd w:val="clear" w:color="auto" w:fill="BFBFBF" w:themeFill="background1" w:themeFillShade="BF"/>
          </w:tcPr>
          <w:p w14:paraId="30D51D57" w14:textId="77777777" w:rsidR="00A83E11" w:rsidRPr="002335F7" w:rsidRDefault="00F93B9D" w:rsidP="00A47313">
            <w:pPr>
              <w:rPr>
                <w:b/>
              </w:rPr>
            </w:pPr>
            <w:r w:rsidRPr="002335F7">
              <w:rPr>
                <w:b/>
              </w:rPr>
              <w:t>Pojem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7AD369E5" w14:textId="77777777" w:rsidR="00A83E11" w:rsidRPr="002335F7" w:rsidRDefault="00F93B9D" w:rsidP="00A47313">
            <w:pPr>
              <w:rPr>
                <w:b/>
              </w:rPr>
            </w:pPr>
            <w:r w:rsidRPr="002335F7">
              <w:rPr>
                <w:b/>
              </w:rPr>
              <w:t>Popis</w:t>
            </w:r>
          </w:p>
        </w:tc>
      </w:tr>
      <w:tr w:rsidR="00A83E11" w:rsidRPr="002335F7" w14:paraId="0D751B3A" w14:textId="77777777" w:rsidTr="0099413D">
        <w:tc>
          <w:tcPr>
            <w:tcW w:w="2689" w:type="dxa"/>
          </w:tcPr>
          <w:p w14:paraId="5A98CC19" w14:textId="77777777" w:rsidR="00A83E11" w:rsidRPr="002335F7" w:rsidRDefault="00A83E11" w:rsidP="00A47313">
            <w:r w:rsidRPr="002335F7">
              <w:t>Zaručená provozní doba</w:t>
            </w:r>
          </w:p>
        </w:tc>
        <w:tc>
          <w:tcPr>
            <w:tcW w:w="6373" w:type="dxa"/>
          </w:tcPr>
          <w:p w14:paraId="32DAC2EF" w14:textId="60209CAE" w:rsidR="00A83E11" w:rsidRPr="002335F7" w:rsidRDefault="00A83E11" w:rsidP="00A75981">
            <w:r w:rsidRPr="002335F7">
              <w:t>Zaručenou provozní dobou je míněna provozní doba Objednatele, v</w:t>
            </w:r>
            <w:r w:rsidR="00027441">
              <w:t xml:space="preserve"> jejímž </w:t>
            </w:r>
            <w:r w:rsidRPr="002335F7">
              <w:t xml:space="preserve">průběhu je Objednatelem </w:t>
            </w:r>
            <w:r w:rsidR="00027441" w:rsidRPr="002335F7">
              <w:t>požadován</w:t>
            </w:r>
            <w:r w:rsidR="00027441">
              <w:t>o</w:t>
            </w:r>
            <w:r w:rsidRPr="002335F7">
              <w:t xml:space="preserve"> a současně </w:t>
            </w:r>
            <w:r w:rsidR="00A75981">
              <w:t>Dodavatelem</w:t>
            </w:r>
            <w:r w:rsidR="00A75981" w:rsidRPr="002335F7">
              <w:t xml:space="preserve"> </w:t>
            </w:r>
            <w:r w:rsidRPr="002335F7">
              <w:t xml:space="preserve">garantováno </w:t>
            </w:r>
            <w:r w:rsidR="00A75981">
              <w:t>provádění Předmětu smlouvy 2</w:t>
            </w:r>
            <w:r w:rsidRPr="002335F7">
              <w:t>. Provozní doba zaručená je měřena/vyhodnocována v jednotkách času (v hodinách).</w:t>
            </w:r>
          </w:p>
        </w:tc>
      </w:tr>
      <w:tr w:rsidR="00A83E11" w:rsidRPr="002335F7" w14:paraId="2EAA4960" w14:textId="77777777" w:rsidTr="0099413D">
        <w:tc>
          <w:tcPr>
            <w:tcW w:w="2689" w:type="dxa"/>
          </w:tcPr>
          <w:p w14:paraId="60A22FB9" w14:textId="77777777" w:rsidR="00A83E11" w:rsidRPr="002335F7" w:rsidRDefault="00A83E11" w:rsidP="00A47313">
            <w:r w:rsidRPr="002335F7">
              <w:t>Maximální doba servisní odezvy</w:t>
            </w:r>
          </w:p>
        </w:tc>
        <w:tc>
          <w:tcPr>
            <w:tcW w:w="6373" w:type="dxa"/>
          </w:tcPr>
          <w:p w14:paraId="490DBA20" w14:textId="5E27B226" w:rsidR="00A83E11" w:rsidRPr="002335F7" w:rsidRDefault="00A83E11" w:rsidP="00A75981">
            <w:r w:rsidRPr="002335F7">
              <w:t xml:space="preserve">Maximální dobou servisní odezvy je míněno maximální časové období, ve kterém je </w:t>
            </w:r>
            <w:r w:rsidR="00A75981">
              <w:t xml:space="preserve">Dodavatel </w:t>
            </w:r>
            <w:r w:rsidRPr="002335F7">
              <w:t xml:space="preserve">povinen </w:t>
            </w:r>
            <w:r w:rsidR="00CF4132">
              <w:t xml:space="preserve">začít  pracovat na </w:t>
            </w:r>
            <w:r w:rsidRPr="002335F7">
              <w:t>nov</w:t>
            </w:r>
            <w:r w:rsidR="00CF4132">
              <w:t>ém</w:t>
            </w:r>
            <w:r w:rsidRPr="002335F7">
              <w:t xml:space="preserve"> záznam</w:t>
            </w:r>
            <w:r w:rsidR="00CF4132">
              <w:t>u</w:t>
            </w:r>
            <w:r w:rsidRPr="002335F7">
              <w:t xml:space="preserve"> v systému správy servisních hlášení, který byl založen v</w:t>
            </w:r>
            <w:r w:rsidR="00027441">
              <w:t> </w:t>
            </w:r>
            <w:r w:rsidRPr="002335F7">
              <w:t>rámci Zaručené provozní doby. Doba servisní odezvy je stanovena pro incidenty dle jejich kategor</w:t>
            </w:r>
            <w:r w:rsidR="00295C8D">
              <w:t>ií, je hodnocena pouze v rámci Z</w:t>
            </w:r>
            <w:r w:rsidRPr="002335F7">
              <w:t>aručené provozní doby a je vyhodnocována v hodinách, popř. minutách.</w:t>
            </w:r>
          </w:p>
        </w:tc>
      </w:tr>
      <w:tr w:rsidR="00A83E11" w:rsidRPr="002335F7" w14:paraId="1A292963" w14:textId="77777777" w:rsidTr="0099413D">
        <w:tc>
          <w:tcPr>
            <w:tcW w:w="2689" w:type="dxa"/>
          </w:tcPr>
          <w:p w14:paraId="55CDA2FE" w14:textId="77777777" w:rsidR="00A83E11" w:rsidRPr="002335F7" w:rsidRDefault="00A83E11" w:rsidP="00A47313">
            <w:r w:rsidRPr="002335F7">
              <w:t>Maximální doba odstranění incidentu (popř. vyřešení ostatních servisních hlášení)</w:t>
            </w:r>
          </w:p>
        </w:tc>
        <w:tc>
          <w:tcPr>
            <w:tcW w:w="6373" w:type="dxa"/>
          </w:tcPr>
          <w:p w14:paraId="4CF2D02D" w14:textId="3EC1E274" w:rsidR="00A83E11" w:rsidRPr="002335F7" w:rsidRDefault="00A83E11" w:rsidP="00A75981">
            <w:r w:rsidRPr="002335F7">
              <w:t>Maximální dobou odstraněni incidentu (popř. vyřešení ostatních servisních hlášení) je míněno maximální časové období od založení nového záznamu v systému správy servisních hlášení, který byl založen v rámci Zaručené provozní doby, ve kterém je</w:t>
            </w:r>
            <w:r w:rsidR="00A75981">
              <w:t xml:space="preserve"> Dodavatel</w:t>
            </w:r>
            <w:r w:rsidRPr="002335F7">
              <w:t xml:space="preserve"> povinen odstranit incident. Doba odstranění incidentu je stanovena pro incidenty dle jejich kategorií, je hodnocena pouze v rámci Zaručené provozní doby a je vyhodnocována v hodinách.</w:t>
            </w:r>
          </w:p>
        </w:tc>
      </w:tr>
      <w:tr w:rsidR="00681A55" w:rsidRPr="002335F7" w14:paraId="14B587C9" w14:textId="77777777" w:rsidTr="000923C5">
        <w:tc>
          <w:tcPr>
            <w:tcW w:w="2689" w:type="dxa"/>
          </w:tcPr>
          <w:p w14:paraId="3825890A" w14:textId="77777777" w:rsidR="00681A55" w:rsidRPr="002335F7" w:rsidRDefault="00681A55" w:rsidP="000923C5">
            <w:r w:rsidRPr="002335F7">
              <w:t>Maintenance Window</w:t>
            </w:r>
          </w:p>
        </w:tc>
        <w:tc>
          <w:tcPr>
            <w:tcW w:w="6373" w:type="dxa"/>
          </w:tcPr>
          <w:p w14:paraId="130728D1" w14:textId="2F1954C8" w:rsidR="00681A55" w:rsidRPr="002335F7" w:rsidRDefault="00681A55" w:rsidP="00A75981">
            <w:r w:rsidRPr="002335F7">
              <w:t xml:space="preserve">Časové období, ve kterém je možné provést plánovaný výpadek </w:t>
            </w:r>
            <w:r w:rsidR="00A75981">
              <w:t>provádění Předmětu smlouvy 2</w:t>
            </w:r>
            <w:r w:rsidRPr="002335F7">
              <w:t>, který se nekvalifikuje jako incident. Výpadek je v tomto definovaném období možné provést vždy pouze se souhlasem Objednatele.</w:t>
            </w:r>
          </w:p>
        </w:tc>
      </w:tr>
      <w:tr w:rsidR="00A83E11" w:rsidRPr="002335F7" w14:paraId="7CBAF767" w14:textId="77777777" w:rsidTr="0099413D">
        <w:tc>
          <w:tcPr>
            <w:tcW w:w="2689" w:type="dxa"/>
          </w:tcPr>
          <w:p w14:paraId="1326E3CB" w14:textId="77777777" w:rsidR="00A83E11" w:rsidRPr="002335F7" w:rsidRDefault="00681A55" w:rsidP="00A47313">
            <w:r>
              <w:t>NBD</w:t>
            </w:r>
          </w:p>
        </w:tc>
        <w:tc>
          <w:tcPr>
            <w:tcW w:w="6373" w:type="dxa"/>
          </w:tcPr>
          <w:p w14:paraId="55FD97F2" w14:textId="77777777" w:rsidR="00A83E11" w:rsidRPr="002335F7" w:rsidRDefault="00681A55" w:rsidP="00A47313">
            <w:r>
              <w:t>Následující pracovní den</w:t>
            </w:r>
          </w:p>
        </w:tc>
      </w:tr>
    </w:tbl>
    <w:p w14:paraId="6A53E760" w14:textId="3AE64315" w:rsidR="00A83E11" w:rsidRPr="002335F7" w:rsidRDefault="00A83E11" w:rsidP="0045763E">
      <w:pPr>
        <w:pStyle w:val="Nadpis3"/>
      </w:pPr>
      <w:r w:rsidRPr="002335F7">
        <w:t>Klasifikace servisních hlášení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7122"/>
      </w:tblGrid>
      <w:tr w:rsidR="0099413D" w:rsidRPr="002335F7" w14:paraId="221F475E" w14:textId="77777777" w:rsidTr="00F93B9D">
        <w:trPr>
          <w:tblHeader/>
        </w:trPr>
        <w:tc>
          <w:tcPr>
            <w:tcW w:w="1843" w:type="dxa"/>
            <w:shd w:val="clear" w:color="auto" w:fill="BFBFBF" w:themeFill="background1" w:themeFillShade="BF"/>
          </w:tcPr>
          <w:p w14:paraId="2FE03BB9" w14:textId="77777777" w:rsidR="0099413D" w:rsidRPr="002335F7" w:rsidRDefault="00F93B9D" w:rsidP="00B22E5C">
            <w:pPr>
              <w:keepNext/>
              <w:rPr>
                <w:b/>
              </w:rPr>
            </w:pPr>
            <w:r w:rsidRPr="002335F7">
              <w:rPr>
                <w:b/>
              </w:rPr>
              <w:t>Klasifikace</w:t>
            </w:r>
          </w:p>
        </w:tc>
        <w:tc>
          <w:tcPr>
            <w:tcW w:w="7219" w:type="dxa"/>
            <w:shd w:val="clear" w:color="auto" w:fill="BFBFBF" w:themeFill="background1" w:themeFillShade="BF"/>
          </w:tcPr>
          <w:p w14:paraId="485FE69F" w14:textId="77777777" w:rsidR="0099413D" w:rsidRPr="002335F7" w:rsidRDefault="0099413D" w:rsidP="00B22E5C">
            <w:pPr>
              <w:keepNext/>
              <w:rPr>
                <w:b/>
              </w:rPr>
            </w:pPr>
            <w:r w:rsidRPr="002335F7">
              <w:rPr>
                <w:b/>
              </w:rPr>
              <w:t>Popis</w:t>
            </w:r>
          </w:p>
        </w:tc>
      </w:tr>
      <w:tr w:rsidR="0099413D" w:rsidRPr="002335F7" w14:paraId="4514E571" w14:textId="77777777" w:rsidTr="00F93B9D">
        <w:tc>
          <w:tcPr>
            <w:tcW w:w="1843" w:type="dxa"/>
          </w:tcPr>
          <w:p w14:paraId="2501A051" w14:textId="77777777" w:rsidR="0099413D" w:rsidRPr="002335F7" w:rsidRDefault="0099413D" w:rsidP="00A47313">
            <w:r w:rsidRPr="002335F7">
              <w:t>Level 0</w:t>
            </w:r>
          </w:p>
        </w:tc>
        <w:tc>
          <w:tcPr>
            <w:tcW w:w="7219" w:type="dxa"/>
          </w:tcPr>
          <w:p w14:paraId="4A6FFB9F" w14:textId="79D651EC" w:rsidR="0099413D" w:rsidRPr="002335F7" w:rsidRDefault="0099413D" w:rsidP="0099413D">
            <w:r w:rsidRPr="002335F7">
              <w:t xml:space="preserve">Systém není použitelný ve svých základních a klíčových funkcích a přitom tato funkční závada znemožňuje jeho užívání většině nebo všem jejím uživatelům. Tento stav kritickým způsobem ohrožuje běžný provoz Objednatele v jeho klíčových procesech a aktivitách, případné způsobuje </w:t>
            </w:r>
            <w:r w:rsidRPr="002335F7">
              <w:lastRenderedPageBreak/>
              <w:t xml:space="preserve">větší finanční nebo jiné kritické škody, a při tom neexistuje náhradní způsob zajištění </w:t>
            </w:r>
            <w:r w:rsidRPr="0045763E">
              <w:t xml:space="preserve">poskytování </w:t>
            </w:r>
            <w:r w:rsidR="0045763E" w:rsidRPr="0045763E">
              <w:t>technické podpory</w:t>
            </w:r>
            <w:r w:rsidRPr="002335F7">
              <w:t xml:space="preserve"> tohoto systému.</w:t>
            </w:r>
          </w:p>
        </w:tc>
      </w:tr>
      <w:tr w:rsidR="0099413D" w:rsidRPr="002335F7" w14:paraId="0C08D28A" w14:textId="77777777" w:rsidTr="00F93B9D">
        <w:tc>
          <w:tcPr>
            <w:tcW w:w="1843" w:type="dxa"/>
          </w:tcPr>
          <w:p w14:paraId="4DB3025B" w14:textId="77777777" w:rsidR="0099413D" w:rsidRPr="002335F7" w:rsidRDefault="0099413D" w:rsidP="00A47313">
            <w:r w:rsidRPr="002335F7">
              <w:lastRenderedPageBreak/>
              <w:t>Level 1</w:t>
            </w:r>
          </w:p>
        </w:tc>
        <w:tc>
          <w:tcPr>
            <w:tcW w:w="7219" w:type="dxa"/>
          </w:tcPr>
          <w:p w14:paraId="676E42E2" w14:textId="77777777" w:rsidR="0099413D" w:rsidRPr="002335F7" w:rsidRDefault="0099413D" w:rsidP="0099413D">
            <w:r w:rsidRPr="002335F7">
              <w:t>Systém je ve svých funkcích degradován tak, že tento stav zásadně omezuje běžný provoz Objednatele.</w:t>
            </w:r>
          </w:p>
        </w:tc>
      </w:tr>
      <w:tr w:rsidR="0099413D" w:rsidRPr="002335F7" w14:paraId="6DAC4582" w14:textId="77777777" w:rsidTr="00F93B9D">
        <w:tc>
          <w:tcPr>
            <w:tcW w:w="1843" w:type="dxa"/>
          </w:tcPr>
          <w:p w14:paraId="4981A3F7" w14:textId="77777777" w:rsidR="0099413D" w:rsidRPr="002335F7" w:rsidRDefault="0099413D" w:rsidP="00A47313">
            <w:r w:rsidRPr="002335F7">
              <w:t>Level 2</w:t>
            </w:r>
          </w:p>
        </w:tc>
        <w:tc>
          <w:tcPr>
            <w:tcW w:w="7219" w:type="dxa"/>
          </w:tcPr>
          <w:p w14:paraId="0D7C1E8A" w14:textId="77777777" w:rsidR="0099413D" w:rsidRPr="002335F7" w:rsidRDefault="0099413D" w:rsidP="0099413D">
            <w:r w:rsidRPr="002335F7">
              <w:t>Ostatní incidenty, které nespadají do kategorií Level 0 nebo 1.</w:t>
            </w:r>
          </w:p>
        </w:tc>
      </w:tr>
      <w:tr w:rsidR="0099413D" w:rsidRPr="002335F7" w14:paraId="0BBD7BB7" w14:textId="77777777" w:rsidTr="00F93B9D">
        <w:tc>
          <w:tcPr>
            <w:tcW w:w="1843" w:type="dxa"/>
          </w:tcPr>
          <w:p w14:paraId="04F380F8" w14:textId="77777777" w:rsidR="0099413D" w:rsidRPr="002335F7" w:rsidRDefault="0099413D" w:rsidP="00A47313">
            <w:r w:rsidRPr="002335F7">
              <w:t>Po</w:t>
            </w:r>
          </w:p>
        </w:tc>
        <w:tc>
          <w:tcPr>
            <w:tcW w:w="7219" w:type="dxa"/>
          </w:tcPr>
          <w:p w14:paraId="0CA75D93" w14:textId="79F3FE54" w:rsidR="0099413D" w:rsidRPr="002335F7" w:rsidRDefault="0099413D" w:rsidP="00A75981">
            <w:r w:rsidRPr="002335F7">
              <w:t>Požadavek (</w:t>
            </w:r>
            <w:r w:rsidR="00A75981">
              <w:t>plnění Předmětu smlouvy 2</w:t>
            </w:r>
            <w:r w:rsidRPr="002335F7">
              <w:t xml:space="preserve"> ad-hoc dle požadavku Objednatele)</w:t>
            </w:r>
          </w:p>
        </w:tc>
      </w:tr>
      <w:tr w:rsidR="0099413D" w:rsidRPr="002335F7" w14:paraId="76DD70E4" w14:textId="77777777" w:rsidTr="00F93B9D">
        <w:tc>
          <w:tcPr>
            <w:tcW w:w="1843" w:type="dxa"/>
          </w:tcPr>
          <w:p w14:paraId="7F3FCE81" w14:textId="77777777" w:rsidR="0099413D" w:rsidRPr="002335F7" w:rsidRDefault="0099413D" w:rsidP="00A47313">
            <w:r w:rsidRPr="002335F7">
              <w:t>D</w:t>
            </w:r>
          </w:p>
        </w:tc>
        <w:tc>
          <w:tcPr>
            <w:tcW w:w="7219" w:type="dxa"/>
          </w:tcPr>
          <w:p w14:paraId="4DE21F74" w14:textId="77777777" w:rsidR="0099413D" w:rsidRPr="002335F7" w:rsidRDefault="0099413D" w:rsidP="00A47313">
            <w:r w:rsidRPr="002335F7">
              <w:t>Dotaz</w:t>
            </w:r>
          </w:p>
        </w:tc>
      </w:tr>
      <w:tr w:rsidR="0099413D" w:rsidRPr="002335F7" w14:paraId="3490A820" w14:textId="77777777" w:rsidTr="00F93B9D">
        <w:tc>
          <w:tcPr>
            <w:tcW w:w="1843" w:type="dxa"/>
          </w:tcPr>
          <w:p w14:paraId="2840CD2C" w14:textId="77777777" w:rsidR="0099413D" w:rsidRPr="002335F7" w:rsidRDefault="0099413D" w:rsidP="00A47313">
            <w:r w:rsidRPr="002335F7">
              <w:t>I</w:t>
            </w:r>
          </w:p>
        </w:tc>
        <w:tc>
          <w:tcPr>
            <w:tcW w:w="7219" w:type="dxa"/>
          </w:tcPr>
          <w:p w14:paraId="590BCBA7" w14:textId="77777777" w:rsidR="0099413D" w:rsidRPr="002335F7" w:rsidRDefault="0099413D" w:rsidP="00A47313">
            <w:r w:rsidRPr="002335F7">
              <w:t>Informace</w:t>
            </w:r>
          </w:p>
        </w:tc>
      </w:tr>
    </w:tbl>
    <w:p w14:paraId="2C8EA107" w14:textId="77777777" w:rsidR="00F93B9D" w:rsidRPr="002335F7" w:rsidRDefault="00F93B9D" w:rsidP="00A62F51">
      <w:pPr>
        <w:pStyle w:val="Nadpis3"/>
      </w:pPr>
      <w:r w:rsidRPr="002335F7">
        <w:t xml:space="preserve">Zaručená provozní doba </w:t>
      </w:r>
    </w:p>
    <w:p w14:paraId="76C4555E" w14:textId="77777777" w:rsidR="00F93B9D" w:rsidRPr="002335F7" w:rsidRDefault="00F93B9D" w:rsidP="00F93B9D">
      <w:r w:rsidRPr="002335F7">
        <w:t xml:space="preserve">Zaručená provozní doba </w:t>
      </w:r>
      <w:r w:rsidR="002335F7" w:rsidRPr="002335F7">
        <w:t>je pro jednotlivé typy servisních hlášení stanovena následovně: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121"/>
      </w:tblGrid>
      <w:tr w:rsidR="00F93B9D" w:rsidRPr="002335F7" w14:paraId="2EB20678" w14:textId="77777777" w:rsidTr="00A47313">
        <w:tc>
          <w:tcPr>
            <w:tcW w:w="1843" w:type="dxa"/>
            <w:shd w:val="clear" w:color="auto" w:fill="BFBFBF" w:themeFill="background1" w:themeFillShade="BF"/>
          </w:tcPr>
          <w:p w14:paraId="650BF075" w14:textId="77777777" w:rsidR="00F93B9D" w:rsidRPr="002335F7" w:rsidRDefault="002335F7" w:rsidP="00A47313">
            <w:pPr>
              <w:rPr>
                <w:b/>
              </w:rPr>
            </w:pPr>
            <w:r w:rsidRPr="002335F7">
              <w:rPr>
                <w:b/>
              </w:rPr>
              <w:t>Klasifikace</w:t>
            </w:r>
          </w:p>
        </w:tc>
        <w:tc>
          <w:tcPr>
            <w:tcW w:w="7219" w:type="dxa"/>
            <w:shd w:val="clear" w:color="auto" w:fill="BFBFBF" w:themeFill="background1" w:themeFillShade="BF"/>
          </w:tcPr>
          <w:p w14:paraId="16149558" w14:textId="77777777" w:rsidR="00F93B9D" w:rsidRPr="002335F7" w:rsidRDefault="00F93B9D" w:rsidP="00A47313">
            <w:pPr>
              <w:rPr>
                <w:b/>
              </w:rPr>
            </w:pPr>
            <w:r w:rsidRPr="002335F7">
              <w:rPr>
                <w:b/>
              </w:rPr>
              <w:t>Zaručená provozní doba</w:t>
            </w:r>
          </w:p>
        </w:tc>
      </w:tr>
      <w:tr w:rsidR="00F93B9D" w:rsidRPr="002335F7" w14:paraId="2E22D74E" w14:textId="77777777" w:rsidTr="00A47313">
        <w:tc>
          <w:tcPr>
            <w:tcW w:w="1843" w:type="dxa"/>
          </w:tcPr>
          <w:p w14:paraId="7EAEF797" w14:textId="77777777" w:rsidR="00F93B9D" w:rsidRPr="002335F7" w:rsidRDefault="00F93B9D" w:rsidP="00A47313">
            <w:r w:rsidRPr="002335F7">
              <w:t>Level 0</w:t>
            </w:r>
          </w:p>
        </w:tc>
        <w:tc>
          <w:tcPr>
            <w:tcW w:w="7219" w:type="dxa"/>
          </w:tcPr>
          <w:p w14:paraId="195D5F6F" w14:textId="77777777" w:rsidR="00F93B9D" w:rsidRPr="002335F7" w:rsidRDefault="00F93B9D" w:rsidP="00CF4132">
            <w:r w:rsidRPr="002335F7">
              <w:t xml:space="preserve">pracovní </w:t>
            </w:r>
            <w:r w:rsidR="00295C8D">
              <w:t>dny, 0</w:t>
            </w:r>
            <w:r w:rsidR="00CF4132">
              <w:t>8</w:t>
            </w:r>
            <w:r w:rsidR="00295C8D">
              <w:t>:00-1</w:t>
            </w:r>
            <w:r w:rsidR="00E01911">
              <w:t>6</w:t>
            </w:r>
            <w:r w:rsidRPr="002335F7">
              <w:t>:</w:t>
            </w:r>
            <w:r w:rsidR="00E01911">
              <w:t>3</w:t>
            </w:r>
            <w:r w:rsidRPr="002335F7">
              <w:t>0</w:t>
            </w:r>
          </w:p>
        </w:tc>
      </w:tr>
      <w:tr w:rsidR="00F93B9D" w:rsidRPr="002335F7" w14:paraId="013C5B8E" w14:textId="77777777" w:rsidTr="00A47313">
        <w:tc>
          <w:tcPr>
            <w:tcW w:w="1843" w:type="dxa"/>
          </w:tcPr>
          <w:p w14:paraId="09AA84BC" w14:textId="77777777" w:rsidR="00F93B9D" w:rsidRPr="002335F7" w:rsidRDefault="00F93B9D" w:rsidP="00A47313">
            <w:r w:rsidRPr="002335F7">
              <w:t>Level 1</w:t>
            </w:r>
          </w:p>
        </w:tc>
        <w:tc>
          <w:tcPr>
            <w:tcW w:w="7219" w:type="dxa"/>
          </w:tcPr>
          <w:p w14:paraId="6DB2D904" w14:textId="77777777" w:rsidR="00F93B9D" w:rsidRPr="002335F7" w:rsidRDefault="00F93B9D" w:rsidP="00A47313">
            <w:r w:rsidRPr="002335F7">
              <w:t>pracovní dny, 08:00-16:</w:t>
            </w:r>
            <w:r w:rsidR="00295C8D">
              <w:t>3</w:t>
            </w:r>
            <w:r w:rsidRPr="002335F7">
              <w:t>0</w:t>
            </w:r>
          </w:p>
        </w:tc>
      </w:tr>
      <w:tr w:rsidR="00F93B9D" w:rsidRPr="002335F7" w14:paraId="5E42CCAC" w14:textId="77777777" w:rsidTr="00A47313">
        <w:tc>
          <w:tcPr>
            <w:tcW w:w="1843" w:type="dxa"/>
          </w:tcPr>
          <w:p w14:paraId="0390F5AF" w14:textId="77777777" w:rsidR="00F93B9D" w:rsidRPr="002335F7" w:rsidRDefault="00F93B9D" w:rsidP="00A47313">
            <w:r w:rsidRPr="002335F7">
              <w:t>Level 2</w:t>
            </w:r>
          </w:p>
        </w:tc>
        <w:tc>
          <w:tcPr>
            <w:tcW w:w="7219" w:type="dxa"/>
          </w:tcPr>
          <w:p w14:paraId="6B2DFCA9" w14:textId="77777777" w:rsidR="00F93B9D" w:rsidRPr="002335F7" w:rsidRDefault="00295C8D" w:rsidP="00A47313">
            <w:r>
              <w:t>pracovní dny, 08:00-16:3</w:t>
            </w:r>
            <w:r w:rsidR="00F93B9D" w:rsidRPr="002335F7">
              <w:t>0</w:t>
            </w:r>
          </w:p>
        </w:tc>
      </w:tr>
      <w:tr w:rsidR="00F93B9D" w:rsidRPr="002335F7" w14:paraId="0B08AC5D" w14:textId="77777777" w:rsidTr="00A47313">
        <w:tc>
          <w:tcPr>
            <w:tcW w:w="1843" w:type="dxa"/>
          </w:tcPr>
          <w:p w14:paraId="43B2C504" w14:textId="77777777" w:rsidR="00F93B9D" w:rsidRPr="002335F7" w:rsidRDefault="00F93B9D" w:rsidP="00A47313">
            <w:r w:rsidRPr="002335F7">
              <w:t>Po, D, I</w:t>
            </w:r>
          </w:p>
        </w:tc>
        <w:tc>
          <w:tcPr>
            <w:tcW w:w="7219" w:type="dxa"/>
          </w:tcPr>
          <w:p w14:paraId="3C3CFED3" w14:textId="77777777" w:rsidR="00F93B9D" w:rsidRPr="002335F7" w:rsidRDefault="00295C8D" w:rsidP="00A47313">
            <w:r>
              <w:t>pracovní dny, 08:00-16:3</w:t>
            </w:r>
            <w:r w:rsidR="00F93B9D" w:rsidRPr="002335F7">
              <w:t>0</w:t>
            </w:r>
          </w:p>
        </w:tc>
      </w:tr>
    </w:tbl>
    <w:p w14:paraId="66C918BD" w14:textId="77777777" w:rsidR="00F93B9D" w:rsidRPr="002335F7" w:rsidRDefault="00F93B9D" w:rsidP="00F93B9D"/>
    <w:p w14:paraId="4BC70A43" w14:textId="77777777" w:rsidR="00A83E11" w:rsidRDefault="00A83E11" w:rsidP="00A62F51">
      <w:pPr>
        <w:pStyle w:val="Nadpis3"/>
      </w:pPr>
      <w:bookmarkStart w:id="1" w:name="_Ref493501656"/>
      <w:r w:rsidRPr="002335F7">
        <w:t xml:space="preserve">Doba odezvy na servisní hlášení </w:t>
      </w:r>
      <w:r w:rsidR="009218A1">
        <w:t>a odstranění incidentu</w:t>
      </w:r>
      <w:bookmarkEnd w:id="1"/>
    </w:p>
    <w:p w14:paraId="2DE192FE" w14:textId="5C8FAB7D" w:rsidR="009218A1" w:rsidRPr="009218A1" w:rsidRDefault="00A75981" w:rsidP="009218A1">
      <w:r>
        <w:t>Dodavatel</w:t>
      </w:r>
      <w:r w:rsidRPr="009E3FA0">
        <w:t xml:space="preserve"> </w:t>
      </w:r>
      <w:r w:rsidR="009218A1" w:rsidRPr="009E3FA0">
        <w:t xml:space="preserve">je povinen </w:t>
      </w:r>
      <w:r>
        <w:t>provádět plnění Předmětu smlouvy 2</w:t>
      </w:r>
      <w:r w:rsidR="009218A1" w:rsidRPr="009E3FA0">
        <w:t xml:space="preserve"> dle Smlouvy v níže uvedených reakčn</w:t>
      </w:r>
      <w:r w:rsidR="009218A1">
        <w:t>í</w:t>
      </w:r>
      <w:r w:rsidR="009218A1" w:rsidRPr="009E3FA0">
        <w:t>ch časech</w:t>
      </w:r>
      <w:r w:rsidR="009218A1">
        <w:t xml:space="preserve"> (</w:t>
      </w:r>
      <w:r w:rsidR="000B530E">
        <w:t xml:space="preserve">garantovaná </w:t>
      </w:r>
      <w:r w:rsidR="009218A1">
        <w:t>úroveň</w:t>
      </w:r>
      <w:r w:rsidR="000B530E">
        <w:t xml:space="preserve"> </w:t>
      </w:r>
      <w:r w:rsidR="0045763E" w:rsidRPr="0045763E">
        <w:t>technické</w:t>
      </w:r>
      <w:r w:rsidR="0045763E">
        <w:t xml:space="preserve"> podpory</w:t>
      </w:r>
      <w:r w:rsidR="009218A1">
        <w:t>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213"/>
        <w:gridCol w:w="3260"/>
      </w:tblGrid>
      <w:tr w:rsidR="002335F7" w:rsidRPr="002335F7" w14:paraId="6C9F3859" w14:textId="77777777" w:rsidTr="002335F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0EE45" w14:textId="77777777" w:rsidR="002335F7" w:rsidRPr="002335F7" w:rsidRDefault="002335F7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b/>
                <w:sz w:val="22"/>
                <w:lang w:val="cs-CZ"/>
              </w:rPr>
              <w:t>Klasifikace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1984C" w14:textId="77777777" w:rsidR="002335F7" w:rsidRPr="002335F7" w:rsidRDefault="002335F7" w:rsidP="00CF4132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Maximální doba </w:t>
            </w:r>
            <w:r w:rsidR="00CF4132">
              <w:rPr>
                <w:rFonts w:asciiTheme="minorHAnsi" w:hAnsiTheme="minorHAnsi" w:cstheme="minorHAnsi"/>
                <w:b/>
                <w:sz w:val="22"/>
                <w:lang w:val="cs-CZ"/>
              </w:rPr>
              <w:t>pro zahájení prací na řešení odstranění incidentu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C5D2C" w14:textId="77777777" w:rsidR="002335F7" w:rsidRPr="002335F7" w:rsidRDefault="002335F7" w:rsidP="002335F7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Maximální doba pro odstranění incidentu </w:t>
            </w:r>
          </w:p>
        </w:tc>
      </w:tr>
      <w:tr w:rsidR="002335F7" w:rsidRPr="002335F7" w14:paraId="7E68E0AB" w14:textId="77777777" w:rsidTr="002335F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A698" w14:textId="77777777" w:rsidR="002335F7" w:rsidRPr="002335F7" w:rsidRDefault="002335F7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sz w:val="22"/>
                <w:lang w:val="cs-CZ"/>
              </w:rPr>
              <w:t>Level 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D39" w14:textId="77777777" w:rsidR="002335F7" w:rsidRPr="002335F7" w:rsidRDefault="000B530E" w:rsidP="00CF4132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Do </w:t>
            </w:r>
            <w:r w:rsidR="00CF4132">
              <w:rPr>
                <w:rFonts w:asciiTheme="minorHAnsi" w:hAnsiTheme="minorHAnsi" w:cstheme="minorHAnsi"/>
                <w:sz w:val="22"/>
                <w:lang w:val="cs-CZ"/>
              </w:rPr>
              <w:t>4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hodin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2E6" w14:textId="77777777" w:rsidR="002335F7" w:rsidRPr="002335F7" w:rsidRDefault="002335F7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sz w:val="22"/>
                <w:lang w:val="cs-CZ"/>
              </w:rPr>
              <w:t>12</w:t>
            </w:r>
          </w:p>
        </w:tc>
      </w:tr>
      <w:tr w:rsidR="002335F7" w:rsidRPr="002335F7" w14:paraId="4BD3BFBB" w14:textId="77777777" w:rsidTr="002335F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EA3" w14:textId="77777777" w:rsidR="002335F7" w:rsidRPr="002335F7" w:rsidRDefault="002335F7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sz w:val="22"/>
                <w:lang w:val="cs-CZ"/>
              </w:rPr>
              <w:t>Level 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947" w14:textId="77777777" w:rsidR="002335F7" w:rsidRPr="002335F7" w:rsidRDefault="00681A55" w:rsidP="00A47313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NBD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D5E7" w14:textId="77777777" w:rsidR="002335F7" w:rsidRPr="002335F7" w:rsidRDefault="002335F7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sz w:val="22"/>
                <w:lang w:val="cs-CZ"/>
              </w:rPr>
              <w:t>48</w:t>
            </w:r>
          </w:p>
        </w:tc>
      </w:tr>
      <w:tr w:rsidR="002335F7" w:rsidRPr="002335F7" w14:paraId="47E555D6" w14:textId="77777777" w:rsidTr="002335F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759" w14:textId="77777777" w:rsidR="002335F7" w:rsidRPr="002335F7" w:rsidRDefault="002335F7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sz w:val="22"/>
                <w:lang w:val="cs-CZ"/>
              </w:rPr>
              <w:t>Level 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FB6" w14:textId="77777777" w:rsidR="002335F7" w:rsidRPr="002335F7" w:rsidRDefault="00681A55" w:rsidP="00A47313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NBD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3AA" w14:textId="77777777" w:rsidR="002335F7" w:rsidRPr="002335F7" w:rsidRDefault="00CF4132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80</w:t>
            </w:r>
            <w:r w:rsidR="002335F7" w:rsidRPr="002335F7">
              <w:rPr>
                <w:rFonts w:asciiTheme="minorHAnsi" w:hAnsiTheme="minorHAnsi" w:cstheme="minorHAnsi"/>
                <w:sz w:val="22"/>
                <w:lang w:val="cs-CZ"/>
              </w:rPr>
              <w:t xml:space="preserve"> nebo dohodou obou smluvních stran</w:t>
            </w:r>
          </w:p>
        </w:tc>
      </w:tr>
      <w:tr w:rsidR="009218A1" w:rsidRPr="002335F7" w14:paraId="6D67F5F4" w14:textId="77777777" w:rsidTr="002335F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DDB" w14:textId="77777777" w:rsidR="009218A1" w:rsidRPr="002335F7" w:rsidRDefault="009218A1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Po, D, 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F9A" w14:textId="77777777" w:rsidR="009218A1" w:rsidRPr="002335F7" w:rsidRDefault="009218A1" w:rsidP="00A47313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Není stanovena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700" w14:textId="77777777" w:rsidR="009218A1" w:rsidRPr="002335F7" w:rsidRDefault="009218A1" w:rsidP="00A83E11">
            <w:pPr>
              <w:pStyle w:val="odstavec-txt-11"/>
              <w:ind w:left="0"/>
              <w:jc w:val="left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Není stanovena</w:t>
            </w:r>
          </w:p>
        </w:tc>
      </w:tr>
    </w:tbl>
    <w:p w14:paraId="485394B1" w14:textId="77777777" w:rsidR="00A83E11" w:rsidRPr="002335F7" w:rsidRDefault="00A83E11" w:rsidP="00A83E11">
      <w:pPr>
        <w:spacing w:after="0" w:line="240" w:lineRule="auto"/>
        <w:rPr>
          <w:highlight w:val="yellow"/>
        </w:rPr>
      </w:pPr>
    </w:p>
    <w:p w14:paraId="497C184D" w14:textId="77777777" w:rsidR="00A83E11" w:rsidRPr="002335F7" w:rsidRDefault="00A83E11" w:rsidP="00497298"/>
    <w:p w14:paraId="38BD1F2F" w14:textId="77777777" w:rsidR="00A83E11" w:rsidRPr="002335F7" w:rsidRDefault="00A83E11" w:rsidP="00631581">
      <w:pPr>
        <w:pStyle w:val="Nadpis3"/>
        <w:keepNext/>
      </w:pPr>
      <w:r w:rsidRPr="002335F7">
        <w:lastRenderedPageBreak/>
        <w:t>Přehodnocení klasifikace servisních hlášení</w:t>
      </w:r>
    </w:p>
    <w:p w14:paraId="4A62266A" w14:textId="0EB2B899" w:rsidR="00A83E11" w:rsidRDefault="00A83E11" w:rsidP="00A83E11">
      <w:pPr>
        <w:jc w:val="both"/>
      </w:pPr>
      <w:r w:rsidRPr="002335F7">
        <w:rPr>
          <w:bCs/>
        </w:rPr>
        <w:t>Z</w:t>
      </w:r>
      <w:r w:rsidRPr="002335F7">
        <w:t xml:space="preserve">měnu klasifikace servisních hlášení může provést pověřený pracovník </w:t>
      </w:r>
      <w:r w:rsidR="00A75981">
        <w:t>Dodavatele</w:t>
      </w:r>
      <w:r w:rsidRPr="002335F7">
        <w:t>, současně je povinen o této změně informovat autora hlášení. Součástí informace musí být zdůvodnění změny klasifikace. O změně též informuje kontaktní osobu Objednatele. Případný rozpor řeší určené kontaktní osoby smluvních stran.</w:t>
      </w:r>
    </w:p>
    <w:p w14:paraId="32689044" w14:textId="77777777" w:rsidR="00554AD2" w:rsidRDefault="00554AD2" w:rsidP="00027441">
      <w:pPr>
        <w:pStyle w:val="Nadpis3"/>
      </w:pPr>
      <w:r>
        <w:t>Součinnost</w:t>
      </w:r>
    </w:p>
    <w:p w14:paraId="70735FC9" w14:textId="7960856B" w:rsidR="00554AD2" w:rsidRPr="002335F7" w:rsidRDefault="00554AD2" w:rsidP="00A83E11">
      <w:pPr>
        <w:jc w:val="both"/>
      </w:pPr>
      <w:r>
        <w:t xml:space="preserve">Od vyžádání součinnosti </w:t>
      </w:r>
      <w:r w:rsidR="00A75981">
        <w:t xml:space="preserve">Dodavatele </w:t>
      </w:r>
      <w:r>
        <w:t xml:space="preserve">se do doby přijetí odpovědi prodlužuje </w:t>
      </w:r>
      <w:r w:rsidR="00290FAF">
        <w:t xml:space="preserve">o stejnou doba </w:t>
      </w:r>
      <w:r>
        <w:t xml:space="preserve">pro odstranění </w:t>
      </w:r>
      <w:r w:rsidR="00027441">
        <w:t>incidentu</w:t>
      </w:r>
      <w:r>
        <w:t>.</w:t>
      </w:r>
    </w:p>
    <w:p w14:paraId="152E8F1E" w14:textId="77777777" w:rsidR="009218A1" w:rsidRDefault="009218A1" w:rsidP="00A62F51">
      <w:pPr>
        <w:pStyle w:val="Nadpis3"/>
      </w:pPr>
      <w:r>
        <w:t>Smluvní pokuty</w:t>
      </w:r>
    </w:p>
    <w:p w14:paraId="3635375C" w14:textId="565B9D98" w:rsidR="000B14FF" w:rsidRDefault="009218A1" w:rsidP="00497298">
      <w:r>
        <w:t>V případě, ž</w:t>
      </w:r>
      <w:r w:rsidRPr="00692AFC">
        <w:t>e</w:t>
      </w:r>
      <w:r w:rsidR="00A75981">
        <w:t>Dodavatel</w:t>
      </w:r>
      <w:r w:rsidRPr="00692AFC">
        <w:t xml:space="preserve"> nedosáhne v kterémkoliv kalendářním měsíci </w:t>
      </w:r>
      <w:r w:rsidR="00A75981">
        <w:t>provádění Předmětu smlouvy 2</w:t>
      </w:r>
      <w:r w:rsidRPr="00692AFC">
        <w:t xml:space="preserve"> úrovně vymezen</w:t>
      </w:r>
      <w:r>
        <w:t>é</w:t>
      </w:r>
      <w:r w:rsidRPr="00692AFC">
        <w:t xml:space="preserve"> v</w:t>
      </w:r>
      <w:r>
        <w:t xml:space="preserve"> odst. </w:t>
      </w:r>
      <w:r>
        <w:fldChar w:fldCharType="begin"/>
      </w:r>
      <w:r>
        <w:instrText xml:space="preserve"> REF _Ref493501656 \r \h </w:instrText>
      </w:r>
      <w:r>
        <w:fldChar w:fldCharType="separate"/>
      </w:r>
      <w:r w:rsidR="00D0557A">
        <w:t>1.4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_Ref493501656 \h  \* MERGEFORMAT </w:instrText>
      </w:r>
      <w:r>
        <w:fldChar w:fldCharType="separate"/>
      </w:r>
      <w:r w:rsidR="00D0557A" w:rsidRPr="002335F7">
        <w:t xml:space="preserve">Doba odezvy na servisní hlášení </w:t>
      </w:r>
      <w:r w:rsidR="00D0557A">
        <w:t>a odstranění incidentu</w:t>
      </w:r>
      <w:r>
        <w:fldChar w:fldCharType="end"/>
      </w:r>
      <w:r w:rsidRPr="00692AFC">
        <w:t xml:space="preserve">, vzniká Objednateli nárok na smluvní pokutu, jejíž </w:t>
      </w:r>
      <w:r w:rsidR="00351F36">
        <w:t>výše</w:t>
      </w:r>
      <w:r w:rsidRPr="00692AFC">
        <w:t xml:space="preserve"> je uveden</w:t>
      </w:r>
      <w:r w:rsidR="00351F36">
        <w:t>a</w:t>
      </w:r>
      <w:r w:rsidRPr="00692AFC">
        <w:t xml:space="preserve"> </w:t>
      </w:r>
      <w:r w:rsidR="00351F36">
        <w:t>podle typu klasifikace níže.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336"/>
      </w:tblGrid>
      <w:tr w:rsidR="009218A1" w:rsidRPr="002335F7" w14:paraId="50152723" w14:textId="77777777" w:rsidTr="00351F3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998683" w14:textId="77777777" w:rsidR="009218A1" w:rsidRPr="002335F7" w:rsidRDefault="00351F36" w:rsidP="00351F36">
            <w:pPr>
              <w:pStyle w:val="odstavec-txt-11"/>
              <w:ind w:left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-CZ"/>
              </w:rPr>
              <w:t>Klasifikace</w:t>
            </w:r>
            <w:r w:rsidR="009218A1" w:rsidRPr="002335F7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A0B02" w14:textId="77777777" w:rsidR="009218A1" w:rsidRPr="002335F7" w:rsidRDefault="009218A1" w:rsidP="00351F36">
            <w:pPr>
              <w:pStyle w:val="odstavec-txt-11"/>
              <w:ind w:left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335F7">
              <w:rPr>
                <w:rFonts w:asciiTheme="minorHAnsi" w:hAnsiTheme="minorHAnsi" w:cstheme="minorHAnsi"/>
                <w:b/>
                <w:sz w:val="22"/>
                <w:lang w:val="cs-CZ"/>
              </w:rPr>
              <w:t>Smluvní pokuta za každý započatý den po uplynutí lhůty pro odstranění incidentu</w:t>
            </w:r>
            <w:r w:rsidR="00351F36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 </w:t>
            </w:r>
          </w:p>
        </w:tc>
      </w:tr>
      <w:tr w:rsidR="009218A1" w:rsidRPr="002335F7" w14:paraId="73B5D3B0" w14:textId="77777777" w:rsidTr="00351F3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5AA1" w14:textId="77777777" w:rsidR="009218A1" w:rsidRPr="00D462F9" w:rsidRDefault="009218A1" w:rsidP="00A47313">
            <w:pPr>
              <w:pStyle w:val="odstavec-txt-11"/>
              <w:ind w:left="0"/>
              <w:rPr>
                <w:rFonts w:asciiTheme="minorHAnsi" w:hAnsiTheme="minorHAnsi" w:cstheme="minorHAnsi"/>
                <w:sz w:val="22"/>
                <w:lang w:val="cs-CZ"/>
              </w:rPr>
            </w:pPr>
            <w:r w:rsidRPr="00D462F9">
              <w:rPr>
                <w:rFonts w:asciiTheme="minorHAnsi" w:hAnsiTheme="minorHAnsi" w:cstheme="minorHAnsi"/>
                <w:sz w:val="22"/>
                <w:lang w:val="cs-CZ"/>
              </w:rPr>
              <w:t>Level 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86D" w14:textId="77777777" w:rsidR="009218A1" w:rsidRPr="00D462F9" w:rsidRDefault="0075770F" w:rsidP="00E01911">
            <w:pPr>
              <w:pStyle w:val="odstavec-txt-11"/>
              <w:ind w:left="0"/>
              <w:rPr>
                <w:rFonts w:asciiTheme="minorHAnsi" w:hAnsiTheme="minorHAnsi" w:cstheme="minorHAnsi"/>
                <w:sz w:val="22"/>
                <w:lang w:val="cs-CZ"/>
              </w:rPr>
            </w:pPr>
            <w:r>
              <w:t>0,</w:t>
            </w:r>
            <w:r w:rsidR="00F00787" w:rsidRPr="00D462F9">
              <w:t xml:space="preserve">1% paušální měsíční částky dle bodu </w:t>
            </w:r>
            <w:r w:rsidR="00E01911">
              <w:t>2</w:t>
            </w:r>
            <w:r w:rsidR="00F00787" w:rsidRPr="00D462F9">
              <w:t>.</w:t>
            </w:r>
            <w:r w:rsidR="00E01911">
              <w:t>2</w:t>
            </w:r>
            <w:r w:rsidR="00F00787" w:rsidRPr="00D462F9">
              <w:t>. Smlouvy</w:t>
            </w:r>
          </w:p>
        </w:tc>
      </w:tr>
      <w:tr w:rsidR="009218A1" w:rsidRPr="002335F7" w14:paraId="557246A6" w14:textId="77777777" w:rsidTr="00351F3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FBD4" w14:textId="77777777" w:rsidR="009218A1" w:rsidRPr="00D462F9" w:rsidRDefault="009218A1" w:rsidP="00A47313">
            <w:pPr>
              <w:pStyle w:val="odstavec-txt-11"/>
              <w:ind w:left="0"/>
              <w:rPr>
                <w:rFonts w:asciiTheme="minorHAnsi" w:hAnsiTheme="minorHAnsi" w:cstheme="minorHAnsi"/>
                <w:sz w:val="22"/>
                <w:lang w:val="cs-CZ"/>
              </w:rPr>
            </w:pPr>
            <w:r w:rsidRPr="00D462F9">
              <w:rPr>
                <w:rFonts w:asciiTheme="minorHAnsi" w:hAnsiTheme="minorHAnsi" w:cstheme="minorHAnsi"/>
                <w:sz w:val="22"/>
                <w:lang w:val="cs-CZ"/>
              </w:rPr>
              <w:t>Level 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547" w14:textId="77777777" w:rsidR="009218A1" w:rsidRPr="00D462F9" w:rsidRDefault="00F00787" w:rsidP="0075770F">
            <w:pPr>
              <w:pStyle w:val="odstavec-txt-11"/>
              <w:ind w:left="0"/>
              <w:rPr>
                <w:rFonts w:asciiTheme="minorHAnsi" w:hAnsiTheme="minorHAnsi" w:cstheme="minorHAnsi"/>
                <w:sz w:val="22"/>
                <w:lang w:val="cs-CZ"/>
              </w:rPr>
            </w:pPr>
            <w:r w:rsidRPr="00D462F9">
              <w:t>0,</w:t>
            </w:r>
            <w:r w:rsidR="0075770F">
              <w:t>05</w:t>
            </w:r>
            <w:r w:rsidRPr="00D462F9">
              <w:t xml:space="preserve">% paušální měsíční částky dle bodu </w:t>
            </w:r>
            <w:r w:rsidR="00E01911">
              <w:t>2</w:t>
            </w:r>
            <w:r w:rsidRPr="00D462F9">
              <w:t>.</w:t>
            </w:r>
            <w:r w:rsidR="00E01911">
              <w:t>2</w:t>
            </w:r>
            <w:r w:rsidRPr="00D462F9">
              <w:t>. Smlouvy</w:t>
            </w:r>
          </w:p>
        </w:tc>
      </w:tr>
      <w:tr w:rsidR="009218A1" w:rsidRPr="002335F7" w14:paraId="5AC28A75" w14:textId="77777777" w:rsidTr="00351F3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30B0" w14:textId="77777777" w:rsidR="009218A1" w:rsidRPr="00D462F9" w:rsidRDefault="009218A1" w:rsidP="00A47313">
            <w:pPr>
              <w:pStyle w:val="odstavec-txt-11"/>
              <w:ind w:left="0"/>
              <w:rPr>
                <w:rFonts w:asciiTheme="minorHAnsi" w:hAnsiTheme="minorHAnsi" w:cstheme="minorHAnsi"/>
                <w:sz w:val="22"/>
                <w:lang w:val="cs-CZ"/>
              </w:rPr>
            </w:pPr>
            <w:r w:rsidRPr="00D462F9">
              <w:rPr>
                <w:rFonts w:asciiTheme="minorHAnsi" w:hAnsiTheme="minorHAnsi" w:cstheme="minorHAnsi"/>
                <w:sz w:val="22"/>
                <w:lang w:val="cs-CZ"/>
              </w:rPr>
              <w:t>Level 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965F" w14:textId="77777777" w:rsidR="009218A1" w:rsidRPr="00D462F9" w:rsidRDefault="00F00787" w:rsidP="0075770F">
            <w:pPr>
              <w:pStyle w:val="odstavec-txt-11"/>
              <w:ind w:left="0"/>
              <w:rPr>
                <w:rFonts w:asciiTheme="minorHAnsi" w:hAnsiTheme="minorHAnsi" w:cstheme="minorHAnsi"/>
                <w:sz w:val="22"/>
                <w:lang w:val="cs-CZ"/>
              </w:rPr>
            </w:pPr>
            <w:r w:rsidRPr="00D462F9">
              <w:t>0,</w:t>
            </w:r>
            <w:r w:rsidR="0075770F">
              <w:t>02</w:t>
            </w:r>
            <w:r w:rsidRPr="00D462F9">
              <w:t xml:space="preserve">% paušální měsíční částky dle bodu </w:t>
            </w:r>
            <w:r w:rsidR="00E01911">
              <w:t>2</w:t>
            </w:r>
            <w:r w:rsidRPr="00D462F9">
              <w:t>.</w:t>
            </w:r>
            <w:r w:rsidR="00E01911">
              <w:t>2</w:t>
            </w:r>
            <w:r w:rsidRPr="00D462F9">
              <w:t>. Smlouvy</w:t>
            </w:r>
          </w:p>
        </w:tc>
      </w:tr>
    </w:tbl>
    <w:p w14:paraId="7446A36F" w14:textId="77777777" w:rsidR="000B14FF" w:rsidRPr="002335F7" w:rsidRDefault="000B14FF" w:rsidP="00497298"/>
    <w:p w14:paraId="54F8DFF8" w14:textId="344E1863" w:rsidR="004E4923" w:rsidRDefault="00E86C19" w:rsidP="004E4923">
      <w:pPr>
        <w:pStyle w:val="Nadpis2"/>
      </w:pPr>
      <w:r>
        <w:t>Protokol o dodržení časových parametrů</w:t>
      </w:r>
    </w:p>
    <w:p w14:paraId="6AB516AA" w14:textId="2FF84A1F" w:rsidR="004E4923" w:rsidRDefault="001E2B0A" w:rsidP="004E4923">
      <w:pPr>
        <w:rPr>
          <w:rFonts w:cs="Arial"/>
        </w:rPr>
      </w:pPr>
      <w:r>
        <w:rPr>
          <w:rFonts w:cs="Arial"/>
        </w:rPr>
        <w:t>V</w:t>
      </w:r>
      <w:r w:rsidR="00162A71" w:rsidRPr="00162A71">
        <w:rPr>
          <w:rFonts w:cs="Arial"/>
        </w:rPr>
        <w:t xml:space="preserve"> měsíčním intervalu bude</w:t>
      </w:r>
      <w:r w:rsidR="00A62F51">
        <w:rPr>
          <w:rFonts w:cs="Arial"/>
        </w:rPr>
        <w:t xml:space="preserve"> </w:t>
      </w:r>
      <w:r>
        <w:rPr>
          <w:rFonts w:cs="Arial"/>
        </w:rPr>
        <w:t xml:space="preserve">vyhotovován </w:t>
      </w:r>
      <w:r w:rsidR="00B91200">
        <w:rPr>
          <w:rFonts w:cs="Arial"/>
        </w:rPr>
        <w:t>P</w:t>
      </w:r>
      <w:r w:rsidR="004E4923" w:rsidRPr="00D3635B">
        <w:rPr>
          <w:rFonts w:cs="Arial"/>
        </w:rPr>
        <w:t xml:space="preserve">rotokol o dodržení časových parametrů při plnění garantovaných úrovní </w:t>
      </w:r>
      <w:r w:rsidR="0045763E" w:rsidRPr="0045763E">
        <w:rPr>
          <w:rFonts w:cs="Arial"/>
        </w:rPr>
        <w:t>technické podpory</w:t>
      </w:r>
      <w:r w:rsidR="00A62F51">
        <w:rPr>
          <w:rFonts w:cs="Arial"/>
        </w:rPr>
        <w:t xml:space="preserve"> v následující struktuře:</w:t>
      </w:r>
    </w:p>
    <w:p w14:paraId="40337557" w14:textId="1C66BB91" w:rsidR="00A62F51" w:rsidRPr="004633EF" w:rsidRDefault="00A62F51" w:rsidP="00A62F51">
      <w:pPr>
        <w:jc w:val="both"/>
        <w:rPr>
          <w:rFonts w:cstheme="minorHAnsi"/>
        </w:rPr>
      </w:pPr>
      <w:r w:rsidRPr="004633EF">
        <w:rPr>
          <w:rFonts w:cstheme="minorHAnsi"/>
        </w:rPr>
        <w:t>Seznam incidentů L0</w:t>
      </w:r>
      <w:r>
        <w:rPr>
          <w:rFonts w:cstheme="minorHAnsi"/>
        </w:rPr>
        <w:t>,</w:t>
      </w:r>
      <w:r w:rsidRPr="004633EF">
        <w:rPr>
          <w:rFonts w:cstheme="minorHAnsi"/>
        </w:rPr>
        <w:t xml:space="preserve"> L1</w:t>
      </w:r>
      <w:r>
        <w:rPr>
          <w:rFonts w:cstheme="minorHAnsi"/>
        </w:rPr>
        <w:t xml:space="preserve"> a L2</w:t>
      </w:r>
      <w:r w:rsidRPr="004633EF">
        <w:rPr>
          <w:rFonts w:cstheme="minorHAnsi"/>
        </w:rPr>
        <w:t xml:space="preserve">, u kterých došlo k nedodržení časových parametrů </w:t>
      </w:r>
      <w:r>
        <w:rPr>
          <w:rFonts w:cstheme="minorHAnsi"/>
        </w:rPr>
        <w:t>poskytovan</w:t>
      </w:r>
      <w:r w:rsidR="0045763E">
        <w:rPr>
          <w:rFonts w:cstheme="minorHAnsi"/>
        </w:rPr>
        <w:t>é technické podpory</w:t>
      </w:r>
      <w:r>
        <w:rPr>
          <w:rFonts w:cstheme="minorHAnsi"/>
        </w:rPr>
        <w:t xml:space="preserve"> </w:t>
      </w:r>
      <w:r w:rsidRPr="004633EF">
        <w:rPr>
          <w:rFonts w:cstheme="minorHAnsi"/>
        </w:rPr>
        <w:t xml:space="preserve">zaviněných </w:t>
      </w:r>
      <w:r w:rsidR="00A75981">
        <w:rPr>
          <w:rFonts w:cstheme="minorHAnsi"/>
        </w:rPr>
        <w:t>Dodavatelem</w:t>
      </w:r>
      <w:r w:rsidRPr="004633EF">
        <w:rPr>
          <w:rFonts w:cstheme="minorHAnsi"/>
        </w:rPr>
        <w:t>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076"/>
        <w:gridCol w:w="2054"/>
        <w:gridCol w:w="1343"/>
        <w:gridCol w:w="1281"/>
        <w:gridCol w:w="986"/>
        <w:gridCol w:w="1165"/>
      </w:tblGrid>
      <w:tr w:rsidR="00A62F51" w:rsidRPr="00373276" w14:paraId="6C143294" w14:textId="77777777" w:rsidTr="002B2256">
        <w:trPr>
          <w:trHeight w:val="7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294E92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Klasifikace incidentu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7E0D9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Číslo incidentu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39CC4F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Předmět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FC6B1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Datum a čas nahlášení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665E5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Datum a čas vyřešení incidentu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FC3C1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Počet dnů prodlení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559A7B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Výše smluvní pokuty</w:t>
            </w:r>
          </w:p>
        </w:tc>
      </w:tr>
      <w:tr w:rsidR="00A62F51" w:rsidRPr="004633EF" w14:paraId="74437C20" w14:textId="77777777" w:rsidTr="002B2256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60F" w14:textId="77777777" w:rsidR="00A62F51" w:rsidRPr="004633EF" w:rsidRDefault="00A62F51" w:rsidP="002B2256">
            <w:pPr>
              <w:rPr>
                <w:rFonts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95AD" w14:textId="77777777" w:rsidR="00A62F51" w:rsidRPr="004633EF" w:rsidRDefault="00A62F51" w:rsidP="002B2256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DAB9" w14:textId="77777777" w:rsidR="00A62F51" w:rsidRPr="004633EF" w:rsidRDefault="00A62F51" w:rsidP="002B2256">
            <w:pPr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2FB" w14:textId="77777777" w:rsidR="00A62F51" w:rsidRPr="004633EF" w:rsidRDefault="00A62F51" w:rsidP="002B2256">
            <w:pPr>
              <w:rPr>
                <w:rFonts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6FB" w14:textId="77777777" w:rsidR="00A62F51" w:rsidRPr="004633EF" w:rsidRDefault="00A62F51" w:rsidP="002B2256">
            <w:pPr>
              <w:rPr>
                <w:rFonts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EF5" w14:textId="77777777" w:rsidR="00A62F51" w:rsidRPr="004633EF" w:rsidRDefault="00A62F51" w:rsidP="002B2256">
            <w:pPr>
              <w:rPr>
                <w:rFonts w:cstheme="minorHAns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BA8D" w14:textId="77777777" w:rsidR="00A62F51" w:rsidRPr="004633EF" w:rsidRDefault="00A62F51" w:rsidP="002B2256">
            <w:pPr>
              <w:jc w:val="center"/>
              <w:rPr>
                <w:rFonts w:cstheme="minorHAnsi"/>
              </w:rPr>
            </w:pPr>
            <w:r w:rsidRPr="004633EF">
              <w:rPr>
                <w:rFonts w:cstheme="minorHAnsi"/>
              </w:rPr>
              <w:t>xxx,- Kč</w:t>
            </w:r>
          </w:p>
        </w:tc>
      </w:tr>
      <w:tr w:rsidR="00A62F51" w:rsidRPr="00373276" w14:paraId="7C84AF16" w14:textId="77777777" w:rsidTr="002B2256">
        <w:tc>
          <w:tcPr>
            <w:tcW w:w="7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CDB6" w14:textId="77777777" w:rsidR="00A62F51" w:rsidRPr="00373276" w:rsidRDefault="00A62F51" w:rsidP="002B2256">
            <w:pPr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Celková výše smluvní pokuty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C9A326" w14:textId="77777777" w:rsidR="00A62F51" w:rsidRPr="00373276" w:rsidRDefault="00A62F51" w:rsidP="002B2256">
            <w:pPr>
              <w:jc w:val="center"/>
              <w:rPr>
                <w:rFonts w:cstheme="minorHAnsi"/>
                <w:b/>
              </w:rPr>
            </w:pPr>
            <w:r w:rsidRPr="00373276">
              <w:rPr>
                <w:rFonts w:cstheme="minorHAnsi"/>
                <w:b/>
              </w:rPr>
              <w:t>xxx,- Kč</w:t>
            </w:r>
          </w:p>
        </w:tc>
      </w:tr>
    </w:tbl>
    <w:p w14:paraId="093DC75F" w14:textId="77777777" w:rsidR="00A62F51" w:rsidRDefault="00A62F51" w:rsidP="00A62F51">
      <w:pPr>
        <w:pStyle w:val="lnek-text"/>
        <w:rPr>
          <w:rFonts w:asciiTheme="minorHAnsi" w:hAnsiTheme="minorHAnsi" w:cstheme="minorHAnsi"/>
          <w:sz w:val="22"/>
          <w:lang w:val="cs-CZ"/>
        </w:rPr>
      </w:pPr>
    </w:p>
    <w:p w14:paraId="6B414FEB" w14:textId="5E0BB9E8" w:rsidR="0045763E" w:rsidRDefault="0045763E" w:rsidP="00A62F51">
      <w:pPr>
        <w:pStyle w:val="lnek-text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 xml:space="preserve">Protokol o dodržení časových parametrů </w:t>
      </w:r>
      <w:r w:rsidR="00EC2954">
        <w:rPr>
          <w:rFonts w:asciiTheme="minorHAnsi" w:hAnsiTheme="minorHAnsi" w:cstheme="minorHAnsi"/>
          <w:sz w:val="22"/>
          <w:lang w:val="cs-CZ"/>
        </w:rPr>
        <w:t xml:space="preserve">je podkladem a </w:t>
      </w:r>
      <w:r>
        <w:rPr>
          <w:rFonts w:asciiTheme="minorHAnsi" w:hAnsiTheme="minorHAnsi" w:cstheme="minorHAnsi"/>
          <w:sz w:val="22"/>
          <w:lang w:val="cs-CZ"/>
        </w:rPr>
        <w:t>přílohou akceptačního protok</w:t>
      </w:r>
      <w:r w:rsidR="001E2B0A">
        <w:rPr>
          <w:rFonts w:asciiTheme="minorHAnsi" w:hAnsiTheme="minorHAnsi" w:cstheme="minorHAnsi"/>
          <w:sz w:val="22"/>
          <w:lang w:val="cs-CZ"/>
        </w:rPr>
        <w:t>ol</w:t>
      </w:r>
      <w:r>
        <w:rPr>
          <w:rFonts w:asciiTheme="minorHAnsi" w:hAnsiTheme="minorHAnsi" w:cstheme="minorHAnsi"/>
          <w:sz w:val="22"/>
          <w:lang w:val="cs-CZ"/>
        </w:rPr>
        <w:t>u</w:t>
      </w:r>
      <w:r w:rsidR="002F507A">
        <w:rPr>
          <w:rFonts w:asciiTheme="minorHAnsi" w:hAnsiTheme="minorHAnsi" w:cstheme="minorHAnsi"/>
          <w:sz w:val="22"/>
          <w:lang w:val="cs-CZ"/>
        </w:rPr>
        <w:t xml:space="preserve"> dle Smlouvy</w:t>
      </w:r>
      <w:r>
        <w:rPr>
          <w:rFonts w:asciiTheme="minorHAnsi" w:hAnsiTheme="minorHAnsi" w:cstheme="minorHAnsi"/>
          <w:sz w:val="22"/>
          <w:lang w:val="cs-CZ"/>
        </w:rPr>
        <w:t>.</w:t>
      </w:r>
    </w:p>
    <w:sectPr w:rsidR="004576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4B5E2" w14:textId="77777777" w:rsidR="00A642AB" w:rsidRDefault="00A642AB" w:rsidP="000445BB">
      <w:pPr>
        <w:spacing w:after="0" w:line="240" w:lineRule="auto"/>
      </w:pPr>
      <w:r>
        <w:separator/>
      </w:r>
    </w:p>
  </w:endnote>
  <w:endnote w:type="continuationSeparator" w:id="0">
    <w:p w14:paraId="23A88B32" w14:textId="77777777" w:rsidR="00A642AB" w:rsidRDefault="00A642AB" w:rsidP="000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46FE" w14:textId="77777777" w:rsidR="000445BB" w:rsidRPr="000445BB" w:rsidRDefault="000445BB" w:rsidP="000445BB">
    <w:pPr>
      <w:pStyle w:val="Zpat"/>
    </w:pPr>
    <w:r w:rsidRPr="000445BB">
      <w:t xml:space="preserve">Strana </w:t>
    </w:r>
    <w:r w:rsidRPr="000445BB">
      <w:rPr>
        <w:rStyle w:val="slostrnky"/>
      </w:rPr>
      <w:fldChar w:fldCharType="begin"/>
    </w:r>
    <w:r w:rsidRPr="000445BB">
      <w:rPr>
        <w:rStyle w:val="slostrnky"/>
      </w:rPr>
      <w:instrText xml:space="preserve"> PAGE </w:instrText>
    </w:r>
    <w:r w:rsidRPr="000445BB">
      <w:rPr>
        <w:rStyle w:val="slostrnky"/>
      </w:rPr>
      <w:fldChar w:fldCharType="separate"/>
    </w:r>
    <w:r w:rsidR="00A86F43">
      <w:rPr>
        <w:rStyle w:val="slostrnky"/>
        <w:noProof/>
      </w:rPr>
      <w:t>1</w:t>
    </w:r>
    <w:r w:rsidRPr="000445BB">
      <w:rPr>
        <w:rStyle w:val="slostrnky"/>
      </w:rPr>
      <w:fldChar w:fldCharType="end"/>
    </w:r>
    <w:r w:rsidRPr="000445BB">
      <w:rPr>
        <w:rStyle w:val="slostrnky"/>
      </w:rPr>
      <w:t>/</w:t>
    </w:r>
    <w:r w:rsidRPr="000445BB">
      <w:rPr>
        <w:rStyle w:val="slostrnky"/>
      </w:rPr>
      <w:fldChar w:fldCharType="begin"/>
    </w:r>
    <w:r w:rsidRPr="000445BB">
      <w:rPr>
        <w:rStyle w:val="slostrnky"/>
      </w:rPr>
      <w:instrText xml:space="preserve"> NUMPAGES </w:instrText>
    </w:r>
    <w:r w:rsidRPr="000445BB">
      <w:rPr>
        <w:rStyle w:val="slostrnky"/>
      </w:rPr>
      <w:fldChar w:fldCharType="separate"/>
    </w:r>
    <w:r w:rsidR="00A86F43">
      <w:rPr>
        <w:rStyle w:val="slostrnky"/>
        <w:noProof/>
      </w:rPr>
      <w:t>3</w:t>
    </w:r>
    <w:r w:rsidRPr="000445B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CFC0" w14:textId="77777777" w:rsidR="00A642AB" w:rsidRDefault="00A642AB" w:rsidP="000445BB">
      <w:pPr>
        <w:spacing w:after="0" w:line="240" w:lineRule="auto"/>
      </w:pPr>
      <w:r>
        <w:separator/>
      </w:r>
    </w:p>
  </w:footnote>
  <w:footnote w:type="continuationSeparator" w:id="0">
    <w:p w14:paraId="6921BA83" w14:textId="77777777" w:rsidR="00A642AB" w:rsidRDefault="00A642AB" w:rsidP="0004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66A2" w14:textId="77777777" w:rsidR="00345E61" w:rsidRPr="003353EC" w:rsidRDefault="003353EC">
    <w:pPr>
      <w:pStyle w:val="Zhlav"/>
      <w:rPr>
        <w:rFonts w:ascii="Arial" w:hAnsi="Arial" w:cs="Arial"/>
      </w:rPr>
    </w:pPr>
    <w:r>
      <w:tab/>
    </w:r>
    <w:r>
      <w:tab/>
    </w:r>
    <w:r w:rsidRPr="003353EC">
      <w:rPr>
        <w:rFonts w:ascii="Arial" w:hAnsi="Arial" w:cs="Arial"/>
      </w:rPr>
      <w:t xml:space="preserve">Příloha č. </w:t>
    </w:r>
    <w:r w:rsidR="00401CC4">
      <w:rPr>
        <w:rFonts w:ascii="Arial" w:hAnsi="Arial" w:cs="Arial"/>
      </w:rPr>
      <w:t>1</w:t>
    </w:r>
    <w:r w:rsidRPr="003353EC">
      <w:rPr>
        <w:rFonts w:ascii="Arial" w:hAnsi="Arial" w:cs="Arial"/>
      </w:rPr>
      <w:t xml:space="preserve">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F46"/>
    <w:multiLevelType w:val="hybridMultilevel"/>
    <w:tmpl w:val="D5023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1562"/>
    <w:multiLevelType w:val="multilevel"/>
    <w:tmpl w:val="7D828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78757D"/>
    <w:multiLevelType w:val="hybridMultilevel"/>
    <w:tmpl w:val="D8AE1304"/>
    <w:lvl w:ilvl="0" w:tplc="70EEC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E3D31D3"/>
    <w:multiLevelType w:val="multilevel"/>
    <w:tmpl w:val="B6E2B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ED4201"/>
    <w:multiLevelType w:val="hybridMultilevel"/>
    <w:tmpl w:val="E592C29C"/>
    <w:lvl w:ilvl="0" w:tplc="74DA2E4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E64CA"/>
    <w:multiLevelType w:val="hybridMultilevel"/>
    <w:tmpl w:val="EF24FDFE"/>
    <w:lvl w:ilvl="0" w:tplc="04050001">
      <w:start w:val="1"/>
      <w:numFmt w:val="bullet"/>
      <w:lvlText w:val=""/>
      <w:lvlJc w:val="left"/>
      <w:pPr>
        <w:ind w:left="2121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B8062B"/>
    <w:multiLevelType w:val="multilevel"/>
    <w:tmpl w:val="B6E2B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AC"/>
    <w:rsid w:val="00027441"/>
    <w:rsid w:val="00036B6B"/>
    <w:rsid w:val="000425C8"/>
    <w:rsid w:val="0004362C"/>
    <w:rsid w:val="000445BB"/>
    <w:rsid w:val="0006755B"/>
    <w:rsid w:val="00070670"/>
    <w:rsid w:val="000727C9"/>
    <w:rsid w:val="00090193"/>
    <w:rsid w:val="000A6F51"/>
    <w:rsid w:val="000B0FEF"/>
    <w:rsid w:val="000B14FF"/>
    <w:rsid w:val="000B530E"/>
    <w:rsid w:val="00113DF6"/>
    <w:rsid w:val="001340D9"/>
    <w:rsid w:val="00141E21"/>
    <w:rsid w:val="00157E04"/>
    <w:rsid w:val="00162A71"/>
    <w:rsid w:val="00176506"/>
    <w:rsid w:val="001B171A"/>
    <w:rsid w:val="001E2B0A"/>
    <w:rsid w:val="002335F7"/>
    <w:rsid w:val="00245B58"/>
    <w:rsid w:val="00290FAF"/>
    <w:rsid w:val="0029545C"/>
    <w:rsid w:val="00295C8D"/>
    <w:rsid w:val="002A2AE6"/>
    <w:rsid w:val="002A7E75"/>
    <w:rsid w:val="002C18D8"/>
    <w:rsid w:val="002C5FD6"/>
    <w:rsid w:val="002F507A"/>
    <w:rsid w:val="002F7481"/>
    <w:rsid w:val="00302878"/>
    <w:rsid w:val="003353EC"/>
    <w:rsid w:val="00345E61"/>
    <w:rsid w:val="00351F36"/>
    <w:rsid w:val="00400459"/>
    <w:rsid w:val="00401CC4"/>
    <w:rsid w:val="0044519C"/>
    <w:rsid w:val="0045763E"/>
    <w:rsid w:val="00465180"/>
    <w:rsid w:val="0047136E"/>
    <w:rsid w:val="00497298"/>
    <w:rsid w:val="004C347E"/>
    <w:rsid w:val="004E4923"/>
    <w:rsid w:val="0055360E"/>
    <w:rsid w:val="00554AD2"/>
    <w:rsid w:val="005A78D9"/>
    <w:rsid w:val="005D53AE"/>
    <w:rsid w:val="006204EB"/>
    <w:rsid w:val="00631581"/>
    <w:rsid w:val="00633B5B"/>
    <w:rsid w:val="00681A55"/>
    <w:rsid w:val="006E30D3"/>
    <w:rsid w:val="006F629A"/>
    <w:rsid w:val="00715815"/>
    <w:rsid w:val="007176C5"/>
    <w:rsid w:val="007453B6"/>
    <w:rsid w:val="00747FD1"/>
    <w:rsid w:val="0075770F"/>
    <w:rsid w:val="00785BAC"/>
    <w:rsid w:val="00882803"/>
    <w:rsid w:val="008E7952"/>
    <w:rsid w:val="009218A1"/>
    <w:rsid w:val="00921A17"/>
    <w:rsid w:val="009224D7"/>
    <w:rsid w:val="00982778"/>
    <w:rsid w:val="009832FB"/>
    <w:rsid w:val="0099413D"/>
    <w:rsid w:val="009A05EE"/>
    <w:rsid w:val="009B0B3C"/>
    <w:rsid w:val="00A62F51"/>
    <w:rsid w:val="00A642AB"/>
    <w:rsid w:val="00A75981"/>
    <w:rsid w:val="00A8344C"/>
    <w:rsid w:val="00A83E11"/>
    <w:rsid w:val="00A86F43"/>
    <w:rsid w:val="00B22E5C"/>
    <w:rsid w:val="00B64B5D"/>
    <w:rsid w:val="00B91200"/>
    <w:rsid w:val="00BB210A"/>
    <w:rsid w:val="00C731F5"/>
    <w:rsid w:val="00CA5C29"/>
    <w:rsid w:val="00CC7CEC"/>
    <w:rsid w:val="00CF4132"/>
    <w:rsid w:val="00CF45AB"/>
    <w:rsid w:val="00D0557A"/>
    <w:rsid w:val="00D112A6"/>
    <w:rsid w:val="00D37608"/>
    <w:rsid w:val="00D462F9"/>
    <w:rsid w:val="00DD00CC"/>
    <w:rsid w:val="00E01911"/>
    <w:rsid w:val="00E7041D"/>
    <w:rsid w:val="00E86C19"/>
    <w:rsid w:val="00EB6EE9"/>
    <w:rsid w:val="00EC2954"/>
    <w:rsid w:val="00ED01F2"/>
    <w:rsid w:val="00F00787"/>
    <w:rsid w:val="00F93B9D"/>
    <w:rsid w:val="00FB3C4B"/>
    <w:rsid w:val="00FD77B2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38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BAC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85BAC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3E11"/>
    <w:pPr>
      <w:numPr>
        <w:numId w:val="5"/>
      </w:numPr>
      <w:ind w:left="567" w:hanging="567"/>
      <w:outlineLvl w:val="1"/>
    </w:pPr>
    <w:rPr>
      <w:b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27441"/>
    <w:pPr>
      <w:numPr>
        <w:ilvl w:val="1"/>
        <w:numId w:val="7"/>
      </w:numPr>
      <w:spacing w:before="240"/>
      <w:ind w:left="567" w:hanging="567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85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B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BA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B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5BAC"/>
    <w:rPr>
      <w:rFonts w:eastAsiaTheme="majorEastAsia" w:cstheme="minorHAnsi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3E11"/>
    <w:rPr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4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5BB"/>
  </w:style>
  <w:style w:type="paragraph" w:styleId="Zpat">
    <w:name w:val="footer"/>
    <w:basedOn w:val="Normln"/>
    <w:link w:val="ZpatChar"/>
    <w:unhideWhenUsed/>
    <w:rsid w:val="000445BB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rsid w:val="000445BB"/>
  </w:style>
  <w:style w:type="character" w:styleId="slostrnky">
    <w:name w:val="page number"/>
    <w:basedOn w:val="Standardnpsmoodstavce"/>
    <w:rsid w:val="000445BB"/>
  </w:style>
  <w:style w:type="table" w:styleId="Mkatabulky">
    <w:name w:val="Table Grid"/>
    <w:basedOn w:val="Normlntabulka"/>
    <w:uiPriority w:val="39"/>
    <w:rsid w:val="0003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193"/>
    <w:rPr>
      <w:b/>
      <w:bCs/>
      <w:sz w:val="20"/>
      <w:szCs w:val="20"/>
    </w:rPr>
  </w:style>
  <w:style w:type="paragraph" w:customStyle="1" w:styleId="odstavec-txt-11">
    <w:name w:val="odstavec-txt-1.1."/>
    <w:basedOn w:val="Normln"/>
    <w:link w:val="odstavec-txt-11Char"/>
    <w:qFormat/>
    <w:rsid w:val="000B14FF"/>
    <w:pPr>
      <w:spacing w:before="120" w:after="60" w:line="276" w:lineRule="auto"/>
      <w:ind w:left="357"/>
      <w:jc w:val="both"/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odstavec-txt-11Char">
    <w:name w:val="odstavec-txt-1.1. Char"/>
    <w:basedOn w:val="Standardnpsmoodstavce"/>
    <w:link w:val="odstavec-txt-11"/>
    <w:rsid w:val="000B14FF"/>
    <w:rPr>
      <w:rFonts w:ascii="Arial" w:eastAsia="Times New Roman" w:hAnsi="Arial" w:cs="Times New Roman"/>
      <w:sz w:val="20"/>
      <w:lang w:val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0B14FF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14FF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Znakapoznpodarou">
    <w:name w:val="footnote reference"/>
    <w:semiHidden/>
    <w:unhideWhenUsed/>
    <w:rsid w:val="000B14FF"/>
    <w:rPr>
      <w:vertAlign w:val="superscript"/>
    </w:rPr>
  </w:style>
  <w:style w:type="character" w:customStyle="1" w:styleId="Odstavecu2">
    <w:name w:val="Odstavec u2"/>
    <w:uiPriority w:val="99"/>
    <w:rsid w:val="004E4923"/>
    <w:rPr>
      <w:rFonts w:cs="Calibri"/>
      <w:color w:val="000000"/>
      <w:sz w:val="20"/>
      <w:szCs w:val="20"/>
    </w:rPr>
  </w:style>
  <w:style w:type="paragraph" w:customStyle="1" w:styleId="lnek-text">
    <w:name w:val="článek-text"/>
    <w:basedOn w:val="Normln"/>
    <w:link w:val="lnek-textChar"/>
    <w:qFormat/>
    <w:rsid w:val="00A62F51"/>
    <w:pPr>
      <w:spacing w:after="0" w:line="276" w:lineRule="auto"/>
      <w:jc w:val="both"/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lnek-textChar">
    <w:name w:val="článek-text Char"/>
    <w:link w:val="lnek-text"/>
    <w:rsid w:val="00A62F51"/>
    <w:rPr>
      <w:rFonts w:ascii="Arial" w:eastAsia="Times New Roman" w:hAnsi="Arial" w:cs="Times New Roman"/>
      <w:sz w:val="20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027441"/>
    <w:rPr>
      <w:b/>
      <w:sz w:val="24"/>
      <w:szCs w:val="24"/>
    </w:rPr>
  </w:style>
  <w:style w:type="paragraph" w:styleId="Revize">
    <w:name w:val="Revision"/>
    <w:hidden/>
    <w:uiPriority w:val="99"/>
    <w:semiHidden/>
    <w:rsid w:val="00C73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2019-12-13T09:51:00Z</dcterms:created>
  <dcterms:modified xsi:type="dcterms:W3CDTF">2019-12-13T09:51:00Z</dcterms:modified>
</cp:coreProperties>
</file>