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5498" w14:textId="31E49A7E" w:rsidR="003363FE" w:rsidRPr="00811141" w:rsidRDefault="003363FE" w:rsidP="003363FE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cs-CZ"/>
        </w:rPr>
        <w:t xml:space="preserve">Dodatek č. </w:t>
      </w:r>
      <w:r w:rsidR="002D419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cs-CZ"/>
        </w:rPr>
        <w:t>18</w:t>
      </w:r>
      <w:r w:rsidRPr="0081114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cs-CZ"/>
        </w:rPr>
        <w:t xml:space="preserve"> Smlouvy o dílo</w:t>
      </w:r>
    </w:p>
    <w:p w14:paraId="444F4175" w14:textId="77777777" w:rsidR="003363FE" w:rsidRPr="00811141" w:rsidRDefault="003363FE" w:rsidP="003363FE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kern w:val="28"/>
          <w:lang w:eastAsia="cs-CZ"/>
        </w:rPr>
        <w:t xml:space="preserve">číslo smlouvy objednatele: </w:t>
      </w:r>
    </w:p>
    <w:p w14:paraId="2F8EF142" w14:textId="77777777" w:rsidR="003363FE" w:rsidRPr="00811141" w:rsidRDefault="003363FE" w:rsidP="003363FE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28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kern w:val="28"/>
          <w:lang w:eastAsia="cs-CZ"/>
        </w:rPr>
        <w:t xml:space="preserve"> číslo smlouvy zhotovitele: SOD INV 799/2016</w:t>
      </w:r>
    </w:p>
    <w:p w14:paraId="19CA3CF5" w14:textId="77777777" w:rsidR="003363FE" w:rsidRPr="00811141" w:rsidRDefault="003363FE" w:rsidP="003363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uzavřená v souladu s § 2586 a násl. zákona č. 89/2012 Sb. občanský zákoník </w:t>
      </w:r>
      <w:r w:rsidRPr="00811141">
        <w:rPr>
          <w:rFonts w:ascii="Times New Roman" w:eastAsia="Times New Roman" w:hAnsi="Times New Roman" w:cs="Times New Roman"/>
          <w:lang w:eastAsia="cs-CZ"/>
        </w:rPr>
        <w:br/>
        <w:t>(dále jen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občanský</w:t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zákoník</w:t>
      </w:r>
      <w:r w:rsidRPr="00811141">
        <w:rPr>
          <w:rFonts w:ascii="Times New Roman" w:eastAsia="Times New Roman" w:hAnsi="Times New Roman" w:cs="Times New Roman"/>
          <w:lang w:eastAsia="cs-CZ"/>
        </w:rPr>
        <w:t>“)</w:t>
      </w:r>
    </w:p>
    <w:p w14:paraId="7E913D85" w14:textId="77777777" w:rsidR="003363FE" w:rsidRPr="00811141" w:rsidRDefault="003363FE" w:rsidP="003363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>(dále jen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Smlouva</w:t>
      </w:r>
      <w:r w:rsidRPr="00811141">
        <w:rPr>
          <w:rFonts w:ascii="Times New Roman" w:eastAsia="Times New Roman" w:hAnsi="Times New Roman" w:cs="Times New Roman"/>
          <w:lang w:eastAsia="cs-CZ"/>
        </w:rPr>
        <w:t>“)</w:t>
      </w:r>
    </w:p>
    <w:p w14:paraId="24F21233" w14:textId="77777777" w:rsidR="003363FE" w:rsidRPr="00811141" w:rsidRDefault="003363FE" w:rsidP="003363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 Smluvní strany</w:t>
      </w:r>
    </w:p>
    <w:p w14:paraId="75B1042B" w14:textId="77777777" w:rsidR="003363FE" w:rsidRPr="00811141" w:rsidRDefault="003363FE" w:rsidP="003363FE">
      <w:pPr>
        <w:widowControl w:val="0"/>
        <w:numPr>
          <w:ilvl w:val="0"/>
          <w:numId w:val="5"/>
        </w:numPr>
        <w:tabs>
          <w:tab w:val="left" w:pos="720"/>
        </w:tabs>
        <w:spacing w:beforeLines="100" w:before="24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u w:val="single"/>
          <w:lang w:eastAsia="cs-CZ"/>
        </w:rPr>
        <w:t>Objednatel:</w:t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</w:p>
    <w:p w14:paraId="22F9D711" w14:textId="77777777" w:rsidR="003363FE" w:rsidRPr="00811141" w:rsidRDefault="003363FE" w:rsidP="003363FE">
      <w:pPr>
        <w:widowControl w:val="0"/>
        <w:tabs>
          <w:tab w:val="left" w:pos="1680"/>
          <w:tab w:val="left" w:leader="dot" w:pos="9120"/>
        </w:tabs>
        <w:autoSpaceDE w:val="0"/>
        <w:autoSpaceDN w:val="0"/>
        <w:adjustRightInd w:val="0"/>
        <w:spacing w:before="120" w:after="0" w:line="240" w:lineRule="auto"/>
        <w:ind w:leftChars="300" w:left="660"/>
        <w:rPr>
          <w:rFonts w:ascii="Times New Roman" w:eastAsia="Times New Roman" w:hAnsi="Times New Roman" w:cs="Times New Roman"/>
          <w:b/>
          <w:lang w:eastAsia="cs-CZ"/>
        </w:rPr>
      </w:pPr>
      <w:r w:rsidRPr="00811141">
        <w:rPr>
          <w:rFonts w:ascii="Times New Roman" w:eastAsia="Times New Roman" w:hAnsi="Times New Roman" w:cs="Times New Roman"/>
          <w:b/>
          <w:lang w:eastAsia="cs-CZ"/>
        </w:rPr>
        <w:t>Národní divadlo</w:t>
      </w:r>
    </w:p>
    <w:p w14:paraId="65BC5AF3" w14:textId="77777777" w:rsidR="003363FE" w:rsidRPr="00811141" w:rsidRDefault="003363FE" w:rsidP="003363FE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zastoupené </w:t>
      </w:r>
      <w:r w:rsidRPr="00811141">
        <w:rPr>
          <w:rFonts w:ascii="Times New Roman" w:eastAsia="Times New Roman" w:hAnsi="Times New Roman" w:cs="Times New Roman"/>
          <w:lang w:eastAsia="cs-CZ"/>
        </w:rPr>
        <w:tab/>
        <w:t xml:space="preserve">prof. </w:t>
      </w:r>
      <w:proofErr w:type="spellStart"/>
      <w:r w:rsidRPr="00811141">
        <w:rPr>
          <w:rFonts w:ascii="Times New Roman" w:eastAsia="Times New Roman" w:hAnsi="Times New Roman" w:cs="Times New Roman"/>
          <w:lang w:eastAsia="cs-CZ"/>
        </w:rPr>
        <w:t>MgA</w:t>
      </w:r>
      <w:proofErr w:type="spellEnd"/>
      <w:r w:rsidRPr="00811141">
        <w:rPr>
          <w:rFonts w:ascii="Times New Roman" w:eastAsia="Times New Roman" w:hAnsi="Times New Roman" w:cs="Times New Roman"/>
          <w:lang w:eastAsia="cs-CZ"/>
        </w:rPr>
        <w:t xml:space="preserve">. Janem Burianem, ředitelem </w:t>
      </w:r>
    </w:p>
    <w:p w14:paraId="05FA09D4" w14:textId="77777777" w:rsidR="003363FE" w:rsidRPr="00811141" w:rsidRDefault="003363FE" w:rsidP="003363FE">
      <w:pPr>
        <w:widowControl w:val="0"/>
        <w:tabs>
          <w:tab w:val="left" w:pos="600"/>
        </w:tabs>
        <w:spacing w:after="0" w:line="240" w:lineRule="auto"/>
        <w:ind w:leftChars="249" w:left="548" w:firstLineChars="55" w:firstLine="121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811141">
        <w:rPr>
          <w:rFonts w:ascii="Times New Roman" w:eastAsia="Times New Roman" w:hAnsi="Times New Roman" w:cs="Times New Roman"/>
          <w:lang w:eastAsia="cs-CZ"/>
        </w:rPr>
        <w:tab/>
        <w:t>Ostrovní 1, 112 31 Praha 1</w:t>
      </w:r>
    </w:p>
    <w:p w14:paraId="6457AC8E" w14:textId="77777777" w:rsidR="003363FE" w:rsidRPr="00811141" w:rsidRDefault="003363FE" w:rsidP="003363FE">
      <w:pPr>
        <w:widowControl w:val="0"/>
        <w:tabs>
          <w:tab w:val="left" w:pos="600"/>
        </w:tabs>
        <w:spacing w:after="0" w:line="240" w:lineRule="auto"/>
        <w:ind w:leftChars="249" w:left="548" w:firstLineChars="55" w:firstLine="121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  <w:t>00023337</w:t>
      </w:r>
    </w:p>
    <w:p w14:paraId="1283B9AD" w14:textId="77777777" w:rsidR="003363FE" w:rsidRPr="00811141" w:rsidRDefault="003363FE" w:rsidP="003363FE">
      <w:pPr>
        <w:widowControl w:val="0"/>
        <w:tabs>
          <w:tab w:val="left" w:pos="600"/>
        </w:tabs>
        <w:spacing w:after="0" w:line="240" w:lineRule="auto"/>
        <w:ind w:leftChars="249" w:left="548" w:firstLineChars="55" w:firstLine="121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DIČ: </w:t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  <w:t xml:space="preserve">CZ00023337            </w:t>
      </w:r>
    </w:p>
    <w:p w14:paraId="3DF5932C" w14:textId="77777777" w:rsidR="003363FE" w:rsidRPr="00811141" w:rsidRDefault="003363FE" w:rsidP="003363FE">
      <w:pPr>
        <w:widowControl w:val="0"/>
        <w:tabs>
          <w:tab w:val="left" w:pos="600"/>
        </w:tabs>
        <w:spacing w:after="0" w:line="240" w:lineRule="auto"/>
        <w:ind w:leftChars="249" w:left="548" w:firstLineChars="55" w:firstLine="121"/>
        <w:rPr>
          <w:rFonts w:ascii="Times New Roman" w:eastAsia="Times New Roman" w:hAnsi="Times New Roman" w:cs="Times New Roman"/>
          <w:lang w:eastAsia="cs-CZ"/>
        </w:rPr>
      </w:pPr>
    </w:p>
    <w:p w14:paraId="111BD9CD" w14:textId="77777777" w:rsidR="003363FE" w:rsidRPr="00811141" w:rsidRDefault="003363FE" w:rsidP="003363FE">
      <w:pPr>
        <w:widowControl w:val="0"/>
        <w:tabs>
          <w:tab w:val="left" w:pos="600"/>
        </w:tabs>
        <w:spacing w:after="0" w:line="240" w:lineRule="auto"/>
        <w:ind w:leftChars="249" w:left="548" w:firstLineChars="55" w:firstLine="121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>ve věcech technických a organizačních:</w:t>
      </w:r>
    </w:p>
    <w:p w14:paraId="747F46A4" w14:textId="77777777" w:rsidR="003363FE" w:rsidRPr="00811141" w:rsidRDefault="003363FE" w:rsidP="003363FE">
      <w:pPr>
        <w:widowControl w:val="0"/>
        <w:tabs>
          <w:tab w:val="left" w:pos="709"/>
        </w:tabs>
        <w:spacing w:after="0" w:line="240" w:lineRule="auto"/>
        <w:ind w:leftChars="250" w:left="550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  <w:t xml:space="preserve">Ing. Václav Pelouch, ředitel </w:t>
      </w:r>
      <w:proofErr w:type="spellStart"/>
      <w:r w:rsidRPr="00811141">
        <w:rPr>
          <w:rFonts w:ascii="Times New Roman" w:eastAsia="Times New Roman" w:hAnsi="Times New Roman" w:cs="Times New Roman"/>
          <w:lang w:eastAsia="cs-CZ"/>
        </w:rPr>
        <w:t>technicko-provozní</w:t>
      </w:r>
      <w:proofErr w:type="spellEnd"/>
      <w:r w:rsidRPr="00811141">
        <w:rPr>
          <w:rFonts w:ascii="Times New Roman" w:eastAsia="Times New Roman" w:hAnsi="Times New Roman" w:cs="Times New Roman"/>
          <w:lang w:eastAsia="cs-CZ"/>
        </w:rPr>
        <w:t xml:space="preserve"> správy ND, </w:t>
      </w:r>
    </w:p>
    <w:p w14:paraId="51C5F21F" w14:textId="5696ABA7" w:rsidR="003363FE" w:rsidRPr="00811141" w:rsidRDefault="003363FE" w:rsidP="003363FE">
      <w:pPr>
        <w:widowControl w:val="0"/>
        <w:tabs>
          <w:tab w:val="left" w:pos="709"/>
        </w:tabs>
        <w:spacing w:after="0" w:line="240" w:lineRule="auto"/>
        <w:ind w:leftChars="250" w:left="550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</w:p>
    <w:p w14:paraId="31E66282" w14:textId="77777777" w:rsidR="003363FE" w:rsidRPr="00811141" w:rsidRDefault="003363FE" w:rsidP="003363FE">
      <w:pPr>
        <w:widowControl w:val="0"/>
        <w:tabs>
          <w:tab w:val="left" w:pos="709"/>
        </w:tabs>
        <w:spacing w:after="0" w:line="240" w:lineRule="auto"/>
        <w:ind w:leftChars="295" w:left="649" w:firstLineChars="4" w:firstLine="9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Miroslav Růžička,  </w:t>
      </w:r>
    </w:p>
    <w:p w14:paraId="6E5DE77F" w14:textId="6D440067" w:rsidR="003363FE" w:rsidRPr="00811141" w:rsidRDefault="003363FE" w:rsidP="003363FE">
      <w:pPr>
        <w:widowControl w:val="0"/>
        <w:tabs>
          <w:tab w:val="left" w:pos="709"/>
        </w:tabs>
        <w:spacing w:after="0" w:line="240" w:lineRule="auto"/>
        <w:ind w:leftChars="295" w:left="649" w:firstLineChars="4" w:firstLine="9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ab/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14:paraId="2386DDE9" w14:textId="77777777" w:rsidR="003363FE" w:rsidRPr="00811141" w:rsidRDefault="003363FE" w:rsidP="003363FE">
      <w:pPr>
        <w:widowControl w:val="0"/>
        <w:tabs>
          <w:tab w:val="left" w:pos="720"/>
        </w:tabs>
        <w:spacing w:beforeLines="50" w:before="120" w:after="0" w:line="240" w:lineRule="auto"/>
        <w:ind w:left="719" w:hangingChars="327" w:hanging="719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ab/>
        <w:t>(dále jen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objednatel</w:t>
      </w:r>
      <w:r w:rsidRPr="00811141">
        <w:rPr>
          <w:rFonts w:ascii="Times New Roman" w:eastAsia="Times New Roman" w:hAnsi="Times New Roman" w:cs="Times New Roman"/>
          <w:lang w:eastAsia="cs-CZ"/>
        </w:rPr>
        <w:t>“)</w:t>
      </w:r>
    </w:p>
    <w:p w14:paraId="07FC0758" w14:textId="77777777" w:rsidR="003363FE" w:rsidRPr="00811141" w:rsidRDefault="003363FE" w:rsidP="003363FE">
      <w:pPr>
        <w:widowControl w:val="0"/>
        <w:numPr>
          <w:ilvl w:val="0"/>
          <w:numId w:val="5"/>
        </w:numPr>
        <w:tabs>
          <w:tab w:val="left" w:pos="720"/>
        </w:tabs>
        <w:spacing w:beforeLines="50" w:before="120" w:after="0" w:line="240" w:lineRule="auto"/>
        <w:ind w:left="357" w:hanging="357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u w:val="single"/>
          <w:lang w:eastAsia="cs-CZ"/>
        </w:rPr>
        <w:t>Zhotovitel:</w:t>
      </w:r>
      <w:r w:rsidRPr="00811141">
        <w:rPr>
          <w:rFonts w:ascii="Times New Roman" w:eastAsia="Times New Roman" w:hAnsi="Times New Roman" w:cs="Times New Roman"/>
          <w:lang w:eastAsia="cs-CZ"/>
        </w:rPr>
        <w:tab/>
      </w:r>
    </w:p>
    <w:p w14:paraId="6AB26A52" w14:textId="77777777" w:rsidR="003363FE" w:rsidRPr="00811141" w:rsidRDefault="003363FE" w:rsidP="003363F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11141">
        <w:rPr>
          <w:rFonts w:ascii="Times New Roman" w:eastAsia="Calibri" w:hAnsi="Times New Roman" w:cs="Times New Roman"/>
          <w:b/>
          <w:bCs/>
          <w:lang w:eastAsia="zh-CN"/>
        </w:rPr>
        <w:tab/>
        <w:t>HOCHTIEF CZ a. s.</w:t>
      </w:r>
    </w:p>
    <w:p w14:paraId="59A5C433" w14:textId="77777777" w:rsidR="003363FE" w:rsidRPr="00811141" w:rsidRDefault="003363FE" w:rsidP="003363FE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lang w:eastAsia="zh-CN"/>
        </w:rPr>
      </w:pPr>
      <w:r w:rsidRPr="00811141">
        <w:rPr>
          <w:rFonts w:ascii="Times New Roman" w:eastAsia="Times New Roman" w:hAnsi="Times New Roman" w:cs="Times New Roman"/>
          <w:lang w:eastAsia="zh-CN"/>
        </w:rPr>
        <w:t xml:space="preserve">       </w:t>
      </w:r>
      <w:r w:rsidRPr="00811141">
        <w:rPr>
          <w:rFonts w:ascii="Times New Roman" w:eastAsia="Calibri" w:hAnsi="Times New Roman" w:cs="Times New Roman"/>
          <w:lang w:eastAsia="zh-CN"/>
        </w:rPr>
        <w:tab/>
      </w:r>
      <w:r w:rsidRPr="00811141">
        <w:rPr>
          <w:rFonts w:ascii="Times New Roman" w:eastAsia="Calibri" w:hAnsi="Times New Roman" w:cs="Times New Roman"/>
          <w:bCs/>
          <w:lang w:eastAsia="zh-CN"/>
        </w:rPr>
        <w:t xml:space="preserve">zastoupená: </w:t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  <w:t>Ing. Tomášem Korandou, předsedou představenstva</w:t>
      </w:r>
    </w:p>
    <w:p w14:paraId="4764AE65" w14:textId="77777777" w:rsidR="003363FE" w:rsidRPr="00811141" w:rsidRDefault="003363FE" w:rsidP="003363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811141">
        <w:rPr>
          <w:rFonts w:ascii="Times New Roman" w:eastAsia="Calibri" w:hAnsi="Times New Roman" w:cs="Times New Roman"/>
          <w:bCs/>
          <w:lang w:eastAsia="zh-CN"/>
        </w:rPr>
        <w:tab/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  <w:t xml:space="preserve">     </w:t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  <w:t xml:space="preserve">a </w:t>
      </w:r>
      <w:proofErr w:type="spellStart"/>
      <w:r w:rsidRPr="00811141">
        <w:rPr>
          <w:rFonts w:ascii="Times New Roman" w:eastAsia="Calibri" w:hAnsi="Times New Roman" w:cs="Times New Roman"/>
          <w:bCs/>
          <w:lang w:eastAsia="zh-CN"/>
        </w:rPr>
        <w:t>Jörgem</w:t>
      </w:r>
      <w:proofErr w:type="spellEnd"/>
      <w:r w:rsidRPr="00811141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811141">
        <w:rPr>
          <w:rFonts w:ascii="Times New Roman" w:eastAsia="Calibri" w:hAnsi="Times New Roman" w:cs="Times New Roman"/>
          <w:bCs/>
          <w:lang w:eastAsia="zh-CN"/>
        </w:rPr>
        <w:t>Mathewem</w:t>
      </w:r>
      <w:proofErr w:type="spellEnd"/>
      <w:r w:rsidRPr="00811141">
        <w:rPr>
          <w:rFonts w:ascii="Times New Roman" w:eastAsia="Calibri" w:hAnsi="Times New Roman" w:cs="Times New Roman"/>
          <w:bCs/>
          <w:lang w:eastAsia="zh-CN"/>
        </w:rPr>
        <w:t>, členem představenstva</w:t>
      </w:r>
    </w:p>
    <w:p w14:paraId="7C8338AC" w14:textId="77777777" w:rsidR="003363FE" w:rsidRPr="00811141" w:rsidRDefault="003363FE" w:rsidP="003363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811141">
        <w:rPr>
          <w:rFonts w:ascii="Times New Roman" w:eastAsia="Times New Roman" w:hAnsi="Times New Roman" w:cs="Times New Roman"/>
          <w:bCs/>
          <w:lang w:eastAsia="zh-CN"/>
        </w:rPr>
        <w:t xml:space="preserve">             </w:t>
      </w:r>
      <w:r w:rsidRPr="00811141">
        <w:rPr>
          <w:rFonts w:ascii="Times New Roman" w:eastAsia="Calibri" w:hAnsi="Times New Roman" w:cs="Times New Roman"/>
          <w:bCs/>
          <w:lang w:eastAsia="zh-CN"/>
        </w:rPr>
        <w:t xml:space="preserve">IČ: </w:t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  <w:t xml:space="preserve">46678468              </w:t>
      </w:r>
    </w:p>
    <w:p w14:paraId="51221279" w14:textId="77777777" w:rsidR="003363FE" w:rsidRPr="00811141" w:rsidRDefault="003363FE" w:rsidP="003363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811141">
        <w:rPr>
          <w:rFonts w:ascii="Times New Roman" w:eastAsia="Times New Roman" w:hAnsi="Times New Roman" w:cs="Times New Roman"/>
          <w:bCs/>
          <w:lang w:eastAsia="zh-CN"/>
        </w:rPr>
        <w:t xml:space="preserve">  </w:t>
      </w:r>
      <w:r w:rsidRPr="00811141">
        <w:rPr>
          <w:rFonts w:ascii="Times New Roman" w:eastAsia="Times New Roman" w:hAnsi="Times New Roman" w:cs="Times New Roman"/>
          <w:bCs/>
          <w:lang w:eastAsia="zh-CN"/>
        </w:rPr>
        <w:tab/>
      </w:r>
      <w:r w:rsidRPr="00811141">
        <w:rPr>
          <w:rFonts w:ascii="Times New Roman" w:eastAsia="Calibri" w:hAnsi="Times New Roman" w:cs="Times New Roman"/>
          <w:bCs/>
          <w:lang w:eastAsia="zh-CN"/>
        </w:rPr>
        <w:t xml:space="preserve">DIČ: </w:t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</w:r>
      <w:r w:rsidRPr="00811141">
        <w:rPr>
          <w:rFonts w:ascii="Times New Roman" w:eastAsia="Calibri" w:hAnsi="Times New Roman" w:cs="Times New Roman"/>
          <w:bCs/>
          <w:lang w:eastAsia="zh-CN"/>
        </w:rPr>
        <w:tab/>
        <w:t>CZ46678468</w:t>
      </w:r>
    </w:p>
    <w:p w14:paraId="58C128E2" w14:textId="64D06E58" w:rsidR="003363FE" w:rsidRPr="00811141" w:rsidRDefault="003363FE" w:rsidP="00786C6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zh-CN"/>
        </w:rPr>
      </w:pPr>
      <w:r w:rsidRPr="00811141">
        <w:rPr>
          <w:rFonts w:ascii="Times New Roman" w:eastAsia="Times New Roman" w:hAnsi="Times New Roman" w:cs="Times New Roman"/>
          <w:bCs/>
          <w:lang w:eastAsia="zh-CN"/>
        </w:rPr>
        <w:t xml:space="preserve">        </w:t>
      </w:r>
      <w:r w:rsidRPr="00811141">
        <w:rPr>
          <w:rFonts w:ascii="Times New Roman" w:eastAsia="Times New Roman" w:hAnsi="Times New Roman" w:cs="Times New Roman"/>
          <w:bCs/>
          <w:lang w:eastAsia="zh-CN"/>
        </w:rPr>
        <w:tab/>
      </w:r>
      <w:bookmarkStart w:id="0" w:name="_GoBack"/>
      <w:bookmarkEnd w:id="0"/>
    </w:p>
    <w:p w14:paraId="054A43FE" w14:textId="77777777" w:rsidR="003363FE" w:rsidRPr="00811141" w:rsidRDefault="003363FE" w:rsidP="003363F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lang w:eastAsia="zh-CN"/>
        </w:rPr>
      </w:pPr>
      <w:r w:rsidRPr="00811141">
        <w:rPr>
          <w:rFonts w:ascii="Times New Roman" w:eastAsia="Calibri" w:hAnsi="Times New Roman" w:cs="Times New Roman"/>
          <w:bCs/>
          <w:iCs/>
          <w:lang w:eastAsia="zh-CN"/>
        </w:rPr>
        <w:t>zapsána v obchodním rejstříku, vedeném Městským soudem v Praze, oddíl B, vložka 6229.</w:t>
      </w:r>
    </w:p>
    <w:p w14:paraId="0D1F0B3E" w14:textId="77777777" w:rsidR="003363FE" w:rsidRPr="00811141" w:rsidRDefault="003363FE" w:rsidP="003363FE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zh-CN"/>
        </w:rPr>
      </w:pPr>
    </w:p>
    <w:p w14:paraId="7AFF0430" w14:textId="77777777" w:rsidR="003363FE" w:rsidRPr="00811141" w:rsidRDefault="003363FE" w:rsidP="003363F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lang w:eastAsia="zh-CN"/>
        </w:rPr>
      </w:pPr>
      <w:r w:rsidRPr="00811141">
        <w:rPr>
          <w:rFonts w:ascii="Times New Roman" w:eastAsia="Calibri" w:hAnsi="Times New Roman" w:cs="Times New Roman"/>
          <w:bCs/>
          <w:iCs/>
          <w:lang w:eastAsia="zh-CN"/>
        </w:rPr>
        <w:t>(dále jen „</w:t>
      </w:r>
      <w:r w:rsidRPr="00811141">
        <w:rPr>
          <w:rFonts w:ascii="Times New Roman" w:eastAsia="Calibri" w:hAnsi="Times New Roman" w:cs="Times New Roman"/>
          <w:b/>
          <w:bCs/>
          <w:iCs/>
          <w:lang w:eastAsia="zh-CN"/>
        </w:rPr>
        <w:t>zhotovitel</w:t>
      </w:r>
      <w:r w:rsidRPr="00811141">
        <w:rPr>
          <w:rFonts w:ascii="Times New Roman" w:eastAsia="Calibri" w:hAnsi="Times New Roman" w:cs="Times New Roman"/>
          <w:bCs/>
          <w:iCs/>
          <w:lang w:eastAsia="zh-CN"/>
        </w:rPr>
        <w:t>“)</w:t>
      </w:r>
    </w:p>
    <w:p w14:paraId="2450AE42" w14:textId="77777777" w:rsidR="003363FE" w:rsidRPr="00811141" w:rsidRDefault="003363FE" w:rsidP="003363F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639E787" w14:textId="77777777" w:rsidR="003363FE" w:rsidRPr="00811141" w:rsidRDefault="003363FE" w:rsidP="003363F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11141">
        <w:rPr>
          <w:rFonts w:ascii="Times New Roman" w:eastAsia="Times New Roman" w:hAnsi="Times New Roman" w:cs="Times New Roman"/>
          <w:b/>
          <w:i/>
          <w:lang w:eastAsia="cs-CZ"/>
        </w:rPr>
        <w:t>Preambule:</w:t>
      </w:r>
      <w:r w:rsidRPr="00811141">
        <w:rPr>
          <w:rFonts w:ascii="Times New Roman" w:eastAsia="Times New Roman" w:hAnsi="Times New Roman" w:cs="Times New Roman"/>
          <w:i/>
          <w:lang w:eastAsia="cs-CZ"/>
        </w:rPr>
        <w:t xml:space="preserve"> </w:t>
      </w:r>
    </w:p>
    <w:p w14:paraId="3673FFCF" w14:textId="3A40326A" w:rsidR="003363FE" w:rsidRPr="00811141" w:rsidRDefault="003363FE" w:rsidP="003363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Vzhledem k tomu, že smluvní strany jsou si vědomy nutnosti provedení či dodání plnění, která nejsou obsažena v zadávacích podmínkách, dohodly se na následujícím doplnění Smlouvy o dílo č. INV 799/2016 ze dne 20. 02. 2017 ve znění dodatku č. 1 </w:t>
      </w:r>
      <w:r w:rsidR="002D419B">
        <w:rPr>
          <w:rFonts w:ascii="Times New Roman" w:eastAsia="Times New Roman" w:hAnsi="Times New Roman" w:cs="Times New Roman"/>
          <w:lang w:eastAsia="cs-CZ"/>
        </w:rPr>
        <w:t>–</w:t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 </w:t>
      </w:r>
      <w:r w:rsidR="002D419B">
        <w:rPr>
          <w:rFonts w:ascii="Times New Roman" w:eastAsia="Times New Roman" w:hAnsi="Times New Roman" w:cs="Times New Roman"/>
          <w:lang w:eastAsia="cs-CZ"/>
        </w:rPr>
        <w:t xml:space="preserve">17 </w:t>
      </w:r>
      <w:r w:rsidRPr="00811141">
        <w:rPr>
          <w:rFonts w:ascii="Times New Roman" w:eastAsia="Times New Roman" w:hAnsi="Times New Roman" w:cs="Times New Roman"/>
          <w:lang w:eastAsia="cs-CZ"/>
        </w:rPr>
        <w:t>(dále jen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Smlouva</w:t>
      </w:r>
      <w:r w:rsidRPr="00811141">
        <w:rPr>
          <w:rFonts w:ascii="Times New Roman" w:eastAsia="Times New Roman" w:hAnsi="Times New Roman" w:cs="Times New Roman"/>
          <w:lang w:eastAsia="cs-CZ"/>
        </w:rPr>
        <w:t>“ nebo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SOD</w:t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“) tímto dodatkem č. </w:t>
      </w:r>
      <w:r w:rsidR="002D419B">
        <w:rPr>
          <w:rFonts w:ascii="Times New Roman" w:eastAsia="Times New Roman" w:hAnsi="Times New Roman" w:cs="Times New Roman"/>
          <w:lang w:eastAsia="cs-CZ"/>
        </w:rPr>
        <w:t xml:space="preserve">18 </w:t>
      </w:r>
      <w:r w:rsidRPr="00811141">
        <w:rPr>
          <w:rFonts w:ascii="Times New Roman" w:eastAsia="Times New Roman" w:hAnsi="Times New Roman" w:cs="Times New Roman"/>
          <w:lang w:eastAsia="cs-CZ"/>
        </w:rPr>
        <w:t>(dále jen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Dodatek</w:t>
      </w:r>
      <w:r w:rsidRPr="00811141">
        <w:rPr>
          <w:rFonts w:ascii="Times New Roman" w:eastAsia="Times New Roman" w:hAnsi="Times New Roman" w:cs="Times New Roman"/>
          <w:lang w:eastAsia="cs-CZ"/>
        </w:rPr>
        <w:t>“ či „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 xml:space="preserve">Dodatek č. </w:t>
      </w:r>
      <w:r w:rsidR="002D419B">
        <w:rPr>
          <w:rFonts w:ascii="Times New Roman" w:eastAsia="Times New Roman" w:hAnsi="Times New Roman" w:cs="Times New Roman"/>
          <w:b/>
          <w:lang w:eastAsia="cs-CZ"/>
        </w:rPr>
        <w:t>18</w:t>
      </w:r>
      <w:r w:rsidRPr="00811141">
        <w:rPr>
          <w:rFonts w:ascii="Times New Roman" w:eastAsia="Times New Roman" w:hAnsi="Times New Roman" w:cs="Times New Roman"/>
          <w:lang w:eastAsia="cs-CZ"/>
        </w:rPr>
        <w:t>“) takto:</w:t>
      </w:r>
    </w:p>
    <w:p w14:paraId="1B2972E8" w14:textId="77777777" w:rsidR="003363FE" w:rsidRPr="00811141" w:rsidRDefault="003363FE" w:rsidP="003363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029E56E" w14:textId="77777777" w:rsidR="003363FE" w:rsidRPr="00811141" w:rsidRDefault="003363FE" w:rsidP="003363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II. Předmět Dodatku</w:t>
      </w:r>
    </w:p>
    <w:p w14:paraId="02537AD1" w14:textId="77777777" w:rsidR="00125942" w:rsidRDefault="00125942" w:rsidP="00125942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>Při provádění díla se vyskytly dodatečné stavební práce, které nebyly obsaženy v zadávacích podmínkách veřejné zakázky označené jako „</w:t>
      </w:r>
      <w:r w:rsidRPr="00535333">
        <w:rPr>
          <w:rFonts w:ascii="Times New Roman" w:hAnsi="Times New Roman" w:cs="Times New Roman"/>
          <w:b/>
        </w:rPr>
        <w:t xml:space="preserve">ND </w:t>
      </w:r>
      <w:r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 w:rsidRPr="00535333">
        <w:rPr>
          <w:rFonts w:ascii="Times New Roman" w:hAnsi="Times New Roman" w:cs="Times New Roman"/>
        </w:rPr>
        <w:t>, a jejichž potřeba vznikla v důsledku objektivně nepředvídatelných okolností, které zadavatel jednající s náležitou péčí nemohl předvídat, a tyto dodatečné stavební práce jsou nezbytné pro provedení původních stavebních prací, nelze je technicky oddělit od původní veřejné zakázky a jsou nezbytné pro dokončení předmětu původní veřejné zakázky.</w:t>
      </w:r>
    </w:p>
    <w:p w14:paraId="579B4CD6" w14:textId="77777777" w:rsidR="00125942" w:rsidRDefault="00125942" w:rsidP="00125942">
      <w:pPr>
        <w:pStyle w:val="Zkladntext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7774B3">
        <w:rPr>
          <w:rFonts w:ascii="Times New Roman" w:hAnsi="Times New Roman" w:cs="Times New Roman"/>
        </w:rPr>
        <w:t xml:space="preserve">Tyto změny, jejich příčiny a důsledky jsou průběžně mezi smluvními stranami projednávány, s nejvyšší možnou péčí je posuzována vhodnost i nutnost jejich provedení, a to zejména – nikoliv však výlučně – z hlediska hospodárnosti, efektivnosti a účelnosti jejich provedení, a to vše s cílem hospodárného vynakládání veřejných prostředků v souladu se všemi zásadami právních předpisů, </w:t>
      </w:r>
      <w:r w:rsidRPr="007774B3">
        <w:rPr>
          <w:rFonts w:ascii="Times New Roman" w:hAnsi="Times New Roman" w:cs="Times New Roman"/>
        </w:rPr>
        <w:lastRenderedPageBreak/>
        <w:t>zejména zásadami zákona č. 137/2006 Sb., o veřejných zakázkách</w:t>
      </w:r>
      <w:r>
        <w:rPr>
          <w:rFonts w:ascii="Times New Roman" w:hAnsi="Times New Roman" w:cs="Times New Roman"/>
        </w:rPr>
        <w:t xml:space="preserve"> a zákona č. 134/2016 Sb., o zadávání veřejných zakázek,</w:t>
      </w:r>
      <w:r w:rsidRPr="007774B3">
        <w:rPr>
          <w:rFonts w:ascii="Times New Roman" w:hAnsi="Times New Roman" w:cs="Times New Roman"/>
        </w:rPr>
        <w:t xml:space="preserve"> ve znění pozdějších předpisů. Průběh i výsledky projednávání těchto změn jsou </w:t>
      </w:r>
      <w:r>
        <w:rPr>
          <w:rFonts w:ascii="Times New Roman" w:hAnsi="Times New Roman" w:cs="Times New Roman"/>
        </w:rPr>
        <w:t xml:space="preserve">stranami průběžně </w:t>
      </w:r>
      <w:r w:rsidRPr="007774B3">
        <w:rPr>
          <w:rFonts w:ascii="Times New Roman" w:hAnsi="Times New Roman" w:cs="Times New Roman"/>
        </w:rPr>
        <w:t>zaznamenávány zejména v zápisech ve stavebním deníku, změnových listech a následně též v dodatcích k této Smlouvě</w:t>
      </w:r>
      <w:r>
        <w:rPr>
          <w:rFonts w:ascii="Times New Roman" w:hAnsi="Times New Roman" w:cs="Times New Roman"/>
        </w:rPr>
        <w:t>.</w:t>
      </w:r>
    </w:p>
    <w:p w14:paraId="7BDF8E53" w14:textId="77777777" w:rsidR="003363FE" w:rsidRPr="00125942" w:rsidRDefault="003363FE" w:rsidP="005B3CBE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25942">
        <w:rPr>
          <w:rFonts w:ascii="Times New Roman" w:eastAsia="Times New Roman" w:hAnsi="Times New Roman" w:cs="Times New Roman"/>
          <w:szCs w:val="24"/>
          <w:lang w:eastAsia="cs-CZ"/>
        </w:rPr>
        <w:t xml:space="preserve">Výše uvedené a smluvními stranami nezaviněné skutečnosti </w:t>
      </w:r>
      <w:r w:rsidR="00530713" w:rsidRPr="00125942">
        <w:rPr>
          <w:rFonts w:ascii="Times New Roman" w:eastAsia="Times New Roman" w:hAnsi="Times New Roman" w:cs="Times New Roman"/>
          <w:szCs w:val="24"/>
          <w:lang w:eastAsia="cs-CZ"/>
        </w:rPr>
        <w:t>a</w:t>
      </w:r>
      <w:r w:rsidRPr="00125942">
        <w:rPr>
          <w:rFonts w:ascii="Times New Roman" w:eastAsia="Times New Roman" w:hAnsi="Times New Roman" w:cs="Times New Roman"/>
          <w:szCs w:val="24"/>
          <w:lang w:eastAsia="cs-CZ"/>
        </w:rPr>
        <w:t xml:space="preserve"> změn</w:t>
      </w:r>
      <w:r w:rsidR="00530713" w:rsidRPr="00125942">
        <w:rPr>
          <w:rFonts w:ascii="Times New Roman" w:eastAsia="Times New Roman" w:hAnsi="Times New Roman" w:cs="Times New Roman"/>
          <w:szCs w:val="24"/>
          <w:lang w:eastAsia="cs-CZ"/>
        </w:rPr>
        <w:t>y</w:t>
      </w:r>
      <w:r w:rsidRPr="00125942">
        <w:rPr>
          <w:rFonts w:ascii="Times New Roman" w:eastAsia="Times New Roman" w:hAnsi="Times New Roman" w:cs="Times New Roman"/>
          <w:szCs w:val="24"/>
          <w:lang w:eastAsia="cs-CZ"/>
        </w:rPr>
        <w:t xml:space="preserve"> díla dle čl. III, odst. 10 Smlouvy </w:t>
      </w:r>
      <w:r w:rsidR="00530713" w:rsidRPr="00125942">
        <w:rPr>
          <w:rFonts w:ascii="Times New Roman" w:eastAsia="Times New Roman" w:hAnsi="Times New Roman" w:cs="Times New Roman"/>
          <w:szCs w:val="24"/>
          <w:lang w:eastAsia="cs-CZ"/>
        </w:rPr>
        <w:t xml:space="preserve">mají </w:t>
      </w:r>
      <w:r w:rsidRPr="00125942">
        <w:rPr>
          <w:rFonts w:ascii="Times New Roman" w:eastAsia="Times New Roman" w:hAnsi="Times New Roman" w:cs="Times New Roman"/>
          <w:szCs w:val="24"/>
          <w:lang w:eastAsia="cs-CZ"/>
        </w:rPr>
        <w:t>přímý dopad do doby plnění</w:t>
      </w:r>
      <w:r w:rsidR="0051750E" w:rsidRPr="00125942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14:paraId="4A63FC2A" w14:textId="77777777" w:rsidR="003363FE" w:rsidRPr="00811141" w:rsidRDefault="003363FE" w:rsidP="003363FE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8CDB464" w14:textId="77777777" w:rsidR="003363FE" w:rsidRPr="00811141" w:rsidRDefault="003363FE" w:rsidP="003363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81114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III. Ujednání o změně Smlouvy</w:t>
      </w:r>
    </w:p>
    <w:p w14:paraId="068E5811" w14:textId="77777777" w:rsidR="008F10D9" w:rsidRDefault="008F10D9" w:rsidP="008F10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</w:p>
    <w:p w14:paraId="1DD541D8" w14:textId="79596013" w:rsidR="000758F7" w:rsidRDefault="000758F7" w:rsidP="00125942">
      <w:pPr>
        <w:pStyle w:val="Odstavecseseznamem"/>
        <w:widowControl w:val="0"/>
        <w:numPr>
          <w:ilvl w:val="0"/>
          <w:numId w:val="4"/>
        </w:numPr>
        <w:ind w:left="426" w:hanging="426"/>
        <w:jc w:val="both"/>
        <w:rPr>
          <w:b/>
          <w:sz w:val="22"/>
          <w:szCs w:val="22"/>
          <w:vertAlign w:val="baseline"/>
        </w:rPr>
      </w:pPr>
      <w:r w:rsidRPr="00762065">
        <w:rPr>
          <w:b/>
          <w:sz w:val="22"/>
          <w:szCs w:val="22"/>
          <w:vertAlign w:val="baseline"/>
        </w:rPr>
        <w:t xml:space="preserve">Do stávajícího článku III. „Předmět smlouvy“ </w:t>
      </w:r>
      <w:r w:rsidR="000C2D56">
        <w:rPr>
          <w:b/>
          <w:sz w:val="22"/>
          <w:szCs w:val="22"/>
          <w:vertAlign w:val="baseline"/>
        </w:rPr>
        <w:t xml:space="preserve">Smlouvy </w:t>
      </w:r>
      <w:r w:rsidRPr="00762065">
        <w:rPr>
          <w:b/>
          <w:sz w:val="22"/>
          <w:szCs w:val="22"/>
          <w:vertAlign w:val="baseline"/>
        </w:rPr>
        <w:t>se za odsta</w:t>
      </w:r>
      <w:r>
        <w:rPr>
          <w:b/>
          <w:sz w:val="22"/>
          <w:szCs w:val="22"/>
          <w:vertAlign w:val="baseline"/>
        </w:rPr>
        <w:t xml:space="preserve">vec </w:t>
      </w:r>
      <w:r w:rsidR="002D419B">
        <w:rPr>
          <w:b/>
          <w:sz w:val="22"/>
          <w:szCs w:val="22"/>
          <w:vertAlign w:val="baseline"/>
        </w:rPr>
        <w:t>50</w:t>
      </w:r>
      <w:r>
        <w:rPr>
          <w:b/>
          <w:sz w:val="22"/>
          <w:szCs w:val="22"/>
          <w:vertAlign w:val="baseline"/>
        </w:rPr>
        <w:t xml:space="preserve">. vkládají nové odstavce </w:t>
      </w:r>
      <w:r w:rsidR="002D419B">
        <w:rPr>
          <w:b/>
          <w:sz w:val="22"/>
          <w:szCs w:val="22"/>
          <w:vertAlign w:val="baseline"/>
        </w:rPr>
        <w:t>51 a 52</w:t>
      </w:r>
      <w:r>
        <w:rPr>
          <w:b/>
          <w:sz w:val="22"/>
          <w:szCs w:val="22"/>
          <w:vertAlign w:val="baseline"/>
        </w:rPr>
        <w:t xml:space="preserve"> </w:t>
      </w:r>
      <w:r w:rsidRPr="00762065">
        <w:rPr>
          <w:b/>
          <w:sz w:val="22"/>
          <w:szCs w:val="22"/>
          <w:vertAlign w:val="baseline"/>
        </w:rPr>
        <w:t>následujícího znění</w:t>
      </w:r>
      <w:r>
        <w:rPr>
          <w:b/>
          <w:sz w:val="22"/>
          <w:szCs w:val="22"/>
          <w:vertAlign w:val="baseline"/>
        </w:rPr>
        <w:t>:</w:t>
      </w:r>
    </w:p>
    <w:p w14:paraId="194BC1C1" w14:textId="77777777" w:rsidR="000758F7" w:rsidRDefault="000758F7" w:rsidP="000758F7">
      <w:pPr>
        <w:pStyle w:val="Odstavecseseznamem"/>
        <w:widowControl w:val="0"/>
        <w:ind w:left="426" w:hanging="426"/>
        <w:rPr>
          <w:b/>
          <w:sz w:val="22"/>
          <w:szCs w:val="22"/>
          <w:vertAlign w:val="baseline"/>
        </w:rPr>
      </w:pPr>
    </w:p>
    <w:p w14:paraId="0A54CB21" w14:textId="0BEA5FBF" w:rsidR="000758F7" w:rsidRDefault="000C2D56" w:rsidP="000C2D56">
      <w:pPr>
        <w:pStyle w:val="Odstavecseseznamem"/>
        <w:widowControl w:val="0"/>
        <w:ind w:left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„ </w:t>
      </w:r>
      <w:r w:rsidR="002D419B">
        <w:rPr>
          <w:sz w:val="22"/>
          <w:szCs w:val="22"/>
          <w:vertAlign w:val="baseline"/>
        </w:rPr>
        <w:t>51</w:t>
      </w:r>
      <w:r w:rsidR="000758F7" w:rsidRPr="000758F7">
        <w:rPr>
          <w:sz w:val="22"/>
          <w:szCs w:val="22"/>
          <w:vertAlign w:val="baseline"/>
        </w:rPr>
        <w:t>.</w:t>
      </w:r>
      <w:r w:rsidR="000758F7">
        <w:rPr>
          <w:sz w:val="22"/>
          <w:szCs w:val="22"/>
          <w:vertAlign w:val="baseline"/>
        </w:rPr>
        <w:t xml:space="preserve"> </w:t>
      </w:r>
      <w:r w:rsidR="000758F7" w:rsidRPr="00762065">
        <w:rPr>
          <w:sz w:val="22"/>
          <w:szCs w:val="22"/>
          <w:vertAlign w:val="baseline"/>
        </w:rPr>
        <w:t xml:space="preserve">Předmět díla je specifikován mimo výše uvedené dokumenty i ve změnových listech </w:t>
      </w:r>
      <w:r w:rsidR="006C5740" w:rsidRPr="006C5740">
        <w:rPr>
          <w:sz w:val="22"/>
          <w:szCs w:val="22"/>
          <w:vertAlign w:val="baseline"/>
        </w:rPr>
        <w:t>ZL 129b</w:t>
      </w:r>
      <w:r w:rsidR="006C5740">
        <w:rPr>
          <w:sz w:val="22"/>
          <w:szCs w:val="22"/>
          <w:vertAlign w:val="baseline"/>
        </w:rPr>
        <w:t xml:space="preserve">, ZL 191, ZL 216, ZL 221a, ZL 233, ZL 246a, ZL 259b, ZL 263a, ZL 263b, ZL 273, ZL 300 a ZL 301, </w:t>
      </w:r>
      <w:r w:rsidR="000758F7" w:rsidRPr="00762065">
        <w:rPr>
          <w:sz w:val="22"/>
          <w:szCs w:val="22"/>
          <w:vertAlign w:val="baseline"/>
        </w:rPr>
        <w:t>které upravují předmět smlouvy uvedený v předchozích odstavcích této smlouvy, a které tvoří přílohu č.</w:t>
      </w:r>
      <w:r w:rsidR="000758F7" w:rsidRPr="002D419B">
        <w:rPr>
          <w:sz w:val="22"/>
          <w:szCs w:val="22"/>
          <w:vertAlign w:val="baseline"/>
        </w:rPr>
        <w:t xml:space="preserve"> </w:t>
      </w:r>
      <w:r w:rsidR="002D419B" w:rsidRPr="002D419B">
        <w:rPr>
          <w:sz w:val="22"/>
          <w:szCs w:val="22"/>
          <w:vertAlign w:val="baseline"/>
        </w:rPr>
        <w:t>38</w:t>
      </w:r>
      <w:r w:rsidR="000758F7" w:rsidRPr="00762065">
        <w:rPr>
          <w:sz w:val="22"/>
          <w:szCs w:val="22"/>
          <w:vertAlign w:val="baseline"/>
        </w:rPr>
        <w:t xml:space="preserve"> této smlouvy.</w:t>
      </w:r>
    </w:p>
    <w:p w14:paraId="7201656F" w14:textId="77777777" w:rsidR="000758F7" w:rsidRDefault="000758F7" w:rsidP="000758F7">
      <w:pPr>
        <w:pStyle w:val="Odstavecseseznamem"/>
        <w:widowControl w:val="0"/>
        <w:ind w:left="426" w:hanging="426"/>
        <w:jc w:val="both"/>
        <w:rPr>
          <w:sz w:val="22"/>
          <w:szCs w:val="22"/>
          <w:vertAlign w:val="baseline"/>
        </w:rPr>
      </w:pPr>
    </w:p>
    <w:p w14:paraId="3A9D5939" w14:textId="04B0DE69" w:rsidR="000758F7" w:rsidRDefault="000758F7" w:rsidP="000758F7">
      <w:pPr>
        <w:pStyle w:val="Odstavecseseznamem"/>
        <w:widowControl w:val="0"/>
        <w:ind w:left="426" w:hanging="426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</w:r>
      <w:r w:rsidR="002D419B">
        <w:rPr>
          <w:sz w:val="22"/>
          <w:szCs w:val="22"/>
          <w:vertAlign w:val="baseline"/>
        </w:rPr>
        <w:t>52</w:t>
      </w:r>
      <w:r w:rsidRPr="000758F7">
        <w:rPr>
          <w:sz w:val="22"/>
          <w:szCs w:val="22"/>
          <w:vertAlign w:val="baseline"/>
        </w:rPr>
        <w:t>.</w:t>
      </w:r>
      <w:r>
        <w:rPr>
          <w:b/>
          <w:sz w:val="22"/>
          <w:szCs w:val="22"/>
          <w:vertAlign w:val="baseline"/>
        </w:rPr>
        <w:t xml:space="preserve"> </w:t>
      </w:r>
      <w:r w:rsidRPr="00762065">
        <w:rPr>
          <w:sz w:val="22"/>
          <w:szCs w:val="22"/>
          <w:vertAlign w:val="baseline"/>
        </w:rPr>
        <w:t xml:space="preserve">S ohledem </w:t>
      </w:r>
      <w:r>
        <w:rPr>
          <w:sz w:val="22"/>
          <w:szCs w:val="22"/>
          <w:vertAlign w:val="baseline"/>
        </w:rPr>
        <w:t>na změny</w:t>
      </w:r>
      <w:r w:rsidRPr="00762065">
        <w:rPr>
          <w:sz w:val="22"/>
          <w:szCs w:val="22"/>
          <w:vertAlign w:val="baseline"/>
        </w:rPr>
        <w:t xml:space="preserve"> technických </w:t>
      </w:r>
      <w:r>
        <w:rPr>
          <w:sz w:val="22"/>
          <w:szCs w:val="22"/>
          <w:vertAlign w:val="baseline"/>
        </w:rPr>
        <w:t>parametrů a s tím spojené změny materiálů či způsoby</w:t>
      </w:r>
      <w:r w:rsidRPr="00762065">
        <w:rPr>
          <w:sz w:val="22"/>
          <w:szCs w:val="22"/>
          <w:vertAlign w:val="baseline"/>
        </w:rPr>
        <w:t xml:space="preserve"> provedení některých dílčích částí díla nebo jednotlivých stavebních prvků se mění vymezení předmětu díla tak, že se v rámci výkazu výměr, jež tvoří součást nabídky zhotovitele, nahrazují jednotlivé položky zcela nebo z části novými položkami, popř. se mění jejich množství či výměra. Veškeré změny dle tohoto článku jsou podrobně uvedeny a popsány ve změnových listech </w:t>
      </w:r>
      <w:r w:rsidR="006C5740" w:rsidRPr="006C5740">
        <w:rPr>
          <w:sz w:val="22"/>
          <w:szCs w:val="22"/>
          <w:vertAlign w:val="baseline"/>
        </w:rPr>
        <w:t>ZL 129b</w:t>
      </w:r>
      <w:r w:rsidR="006C5740">
        <w:rPr>
          <w:sz w:val="22"/>
          <w:szCs w:val="22"/>
          <w:vertAlign w:val="baseline"/>
        </w:rPr>
        <w:t>, ZL 191, ZL 216, ZL 221a, ZL 233, ZL 246a, ZL 259b, ZL 263a, ZL 263b, ZL 273, ZL 300 a ZL 301</w:t>
      </w:r>
      <w:r w:rsidRPr="00762065">
        <w:rPr>
          <w:sz w:val="22"/>
          <w:szCs w:val="22"/>
          <w:vertAlign w:val="baseline"/>
        </w:rPr>
        <w:t>, které tvoří přílohu č.</w:t>
      </w:r>
      <w:r w:rsidRPr="002D419B">
        <w:rPr>
          <w:sz w:val="22"/>
          <w:szCs w:val="22"/>
          <w:vertAlign w:val="baseline"/>
        </w:rPr>
        <w:t xml:space="preserve"> </w:t>
      </w:r>
      <w:r w:rsidR="002D419B" w:rsidRPr="002D419B">
        <w:rPr>
          <w:sz w:val="22"/>
          <w:szCs w:val="22"/>
          <w:vertAlign w:val="baseline"/>
        </w:rPr>
        <w:t>38</w:t>
      </w:r>
      <w:r w:rsidRPr="00762065">
        <w:rPr>
          <w:sz w:val="22"/>
          <w:szCs w:val="22"/>
          <w:vertAlign w:val="baseline"/>
        </w:rPr>
        <w:t xml:space="preserve"> této smlouvy.</w:t>
      </w:r>
      <w:r>
        <w:rPr>
          <w:sz w:val="22"/>
          <w:szCs w:val="22"/>
          <w:vertAlign w:val="baseline"/>
        </w:rPr>
        <w:t>“</w:t>
      </w:r>
    </w:p>
    <w:p w14:paraId="5B756631" w14:textId="77777777" w:rsidR="0028079A" w:rsidRDefault="0028079A" w:rsidP="000758F7">
      <w:pPr>
        <w:pStyle w:val="Odstavecseseznamem"/>
        <w:widowControl w:val="0"/>
        <w:ind w:left="426" w:hanging="426"/>
        <w:jc w:val="both"/>
        <w:rPr>
          <w:sz w:val="22"/>
          <w:szCs w:val="22"/>
          <w:vertAlign w:val="baseline"/>
        </w:rPr>
      </w:pPr>
    </w:p>
    <w:p w14:paraId="5BE5A2DB" w14:textId="13DF2D9B" w:rsidR="000C2D56" w:rsidRPr="000C2D56" w:rsidRDefault="000C2D56" w:rsidP="000C2D56">
      <w:pPr>
        <w:pStyle w:val="Odstavecseseznamem"/>
        <w:widowControl w:val="0"/>
        <w:numPr>
          <w:ilvl w:val="0"/>
          <w:numId w:val="4"/>
        </w:numPr>
        <w:ind w:left="426" w:hanging="426"/>
        <w:rPr>
          <w:b/>
          <w:sz w:val="22"/>
          <w:szCs w:val="22"/>
          <w:vertAlign w:val="baseline"/>
        </w:rPr>
      </w:pPr>
      <w:r w:rsidRPr="00762065">
        <w:rPr>
          <w:b/>
          <w:sz w:val="22"/>
          <w:szCs w:val="22"/>
          <w:vertAlign w:val="baseline"/>
        </w:rPr>
        <w:t xml:space="preserve">Příloha č. </w:t>
      </w:r>
      <w:r>
        <w:rPr>
          <w:b/>
          <w:sz w:val="22"/>
          <w:szCs w:val="22"/>
          <w:vertAlign w:val="baseline"/>
        </w:rPr>
        <w:t>38</w:t>
      </w:r>
      <w:r w:rsidRPr="00762065">
        <w:rPr>
          <w:b/>
          <w:sz w:val="22"/>
          <w:szCs w:val="22"/>
          <w:vertAlign w:val="baseline"/>
        </w:rPr>
        <w:t xml:space="preserve"> – Změnové </w:t>
      </w:r>
      <w:r>
        <w:rPr>
          <w:b/>
          <w:sz w:val="22"/>
          <w:szCs w:val="22"/>
          <w:vertAlign w:val="baseline"/>
        </w:rPr>
        <w:t xml:space="preserve">listy </w:t>
      </w:r>
      <w:r w:rsidR="006C5740" w:rsidRPr="006C5740">
        <w:rPr>
          <w:b/>
          <w:sz w:val="22"/>
          <w:szCs w:val="22"/>
          <w:vertAlign w:val="baseline"/>
        </w:rPr>
        <w:t>ZL 129b, ZL 191, ZL 216, ZL 221a, ZL 233, ZL 246a, ZL 259b, ZL 263a, ZL 263b, ZL 273, ZL 300 a ZL 301</w:t>
      </w:r>
      <w:r>
        <w:rPr>
          <w:b/>
          <w:sz w:val="22"/>
          <w:szCs w:val="22"/>
          <w:vertAlign w:val="baseline"/>
        </w:rPr>
        <w:t xml:space="preserve"> tvoří přílohu A tohoto Dodatku.</w:t>
      </w:r>
    </w:p>
    <w:p w14:paraId="456201A3" w14:textId="77777777" w:rsidR="000C2D56" w:rsidRPr="000C2D56" w:rsidRDefault="000C2D56" w:rsidP="000C2D56">
      <w:pPr>
        <w:pStyle w:val="Odstavecseseznamem"/>
        <w:widowControl w:val="0"/>
        <w:ind w:left="426"/>
        <w:jc w:val="both"/>
        <w:rPr>
          <w:sz w:val="22"/>
          <w:szCs w:val="22"/>
          <w:vertAlign w:val="baseline"/>
        </w:rPr>
      </w:pPr>
    </w:p>
    <w:p w14:paraId="0C56D346" w14:textId="21CDD82C" w:rsidR="00B8220B" w:rsidRPr="00E05C59" w:rsidRDefault="00B8220B" w:rsidP="00B8220B">
      <w:pPr>
        <w:pStyle w:val="Odstavecseseznamem"/>
        <w:widowControl w:val="0"/>
        <w:numPr>
          <w:ilvl w:val="0"/>
          <w:numId w:val="4"/>
        </w:numPr>
        <w:ind w:left="426" w:hanging="426"/>
        <w:jc w:val="both"/>
        <w:rPr>
          <w:sz w:val="22"/>
          <w:szCs w:val="22"/>
          <w:vertAlign w:val="baseline"/>
        </w:rPr>
      </w:pPr>
      <w:r w:rsidRPr="00E05C59">
        <w:rPr>
          <w:b/>
          <w:sz w:val="22"/>
          <w:szCs w:val="22"/>
          <w:vertAlign w:val="baseline"/>
        </w:rPr>
        <w:t>Stávající článek VII. „Cena díla“ odst</w:t>
      </w:r>
      <w:r w:rsidRPr="00E05C59">
        <w:rPr>
          <w:b/>
          <w:sz w:val="22"/>
          <w:vertAlign w:val="baseline"/>
        </w:rPr>
        <w:t xml:space="preserve">. 1 </w:t>
      </w:r>
      <w:r w:rsidR="000C2D56" w:rsidRPr="00E05C59">
        <w:rPr>
          <w:b/>
          <w:sz w:val="22"/>
          <w:vertAlign w:val="baseline"/>
        </w:rPr>
        <w:t xml:space="preserve">Smlouvy </w:t>
      </w:r>
      <w:r w:rsidRPr="00E05C59">
        <w:rPr>
          <w:b/>
          <w:sz w:val="22"/>
          <w:vertAlign w:val="baseline"/>
        </w:rPr>
        <w:t>se ruší a nově zní takto:</w:t>
      </w:r>
    </w:p>
    <w:p w14:paraId="3C32CBE4" w14:textId="77777777" w:rsidR="00B8220B" w:rsidRPr="00B8220B" w:rsidRDefault="00B8220B" w:rsidP="00B8220B">
      <w:pPr>
        <w:pStyle w:val="Odstavecseseznamem"/>
        <w:widowControl w:val="0"/>
        <w:ind w:left="426"/>
        <w:jc w:val="both"/>
        <w:rPr>
          <w:sz w:val="22"/>
          <w:szCs w:val="22"/>
          <w:vertAlign w:val="baseline"/>
        </w:rPr>
      </w:pPr>
    </w:p>
    <w:p w14:paraId="347A9D40" w14:textId="51F06052" w:rsidR="00B8220B" w:rsidRDefault="000C2D56" w:rsidP="00B8220B">
      <w:pPr>
        <w:widowControl w:val="0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„ </w:t>
      </w:r>
      <w:r w:rsidR="00B8220B" w:rsidRPr="00B8220B">
        <w:rPr>
          <w:rFonts w:ascii="Times New Roman" w:eastAsia="Times New Roman" w:hAnsi="Times New Roman" w:cs="Times New Roman"/>
          <w:szCs w:val="24"/>
          <w:lang w:eastAsia="cs-CZ"/>
        </w:rPr>
        <w:t>1.</w:t>
      </w:r>
      <w:r w:rsidR="00B8220B">
        <w:t xml:space="preserve"> </w:t>
      </w:r>
      <w:r w:rsidR="00B8220B" w:rsidRPr="00B8220B">
        <w:rPr>
          <w:rFonts w:ascii="Times New Roman" w:eastAsia="Times New Roman" w:hAnsi="Times New Roman" w:cs="Times New Roman"/>
          <w:lang w:eastAsia="cs-CZ"/>
        </w:rPr>
        <w:t>Objednatel se za dále uvedených podmínek zavazuje uhradit zhotoviteli celkovou smluvní cenu za řádné provedení díla ve výši</w:t>
      </w:r>
      <w:r w:rsidR="00B8220B">
        <w:rPr>
          <w:rFonts w:ascii="Times New Roman" w:eastAsia="Times New Roman" w:hAnsi="Times New Roman" w:cs="Times New Roman"/>
          <w:lang w:eastAsia="cs-CZ"/>
        </w:rPr>
        <w:t>:</w:t>
      </w:r>
    </w:p>
    <w:tbl>
      <w:tblPr>
        <w:tblpPr w:leftFromText="141" w:rightFromText="141" w:vertAnchor="text" w:horzAnchor="margin" w:tblpXSpec="center" w:tblpY="305"/>
        <w:tblW w:w="8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235"/>
        <w:gridCol w:w="1993"/>
      </w:tblGrid>
      <w:tr w:rsidR="000C2D56" w:rsidRPr="00B8220B" w14:paraId="4F5F2247" w14:textId="77777777" w:rsidTr="000C2D56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5CE71FD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5BF7AF68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100F9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Cena bez DPH</w:t>
            </w:r>
          </w:p>
        </w:tc>
      </w:tr>
      <w:tr w:rsidR="000C2D56" w:rsidRPr="00B8220B" w14:paraId="5FE58008" w14:textId="77777777" w:rsidTr="000C2D56">
        <w:trPr>
          <w:trHeight w:val="8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51F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D0C9C3E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A/   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963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1506644" w14:textId="77777777" w:rsidR="000C2D56" w:rsidRPr="00B8220B" w:rsidRDefault="000C2D56" w:rsidP="00D944E9">
            <w:pPr>
              <w:tabs>
                <w:tab w:val="left" w:pos="57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díla dle původní smlouvy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znění Dodatků č. 1 - 17</w:t>
            </w:r>
          </w:p>
          <w:p w14:paraId="046FF66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924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D3EDE5E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127 404 709</w:t>
            </w: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,- Kč</w:t>
            </w:r>
          </w:p>
        </w:tc>
      </w:tr>
      <w:tr w:rsidR="000C2D56" w:rsidRPr="00B8220B" w14:paraId="5EFCBDEF" w14:textId="77777777" w:rsidTr="000C2D56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27B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2FEE78E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B/</w:t>
            </w:r>
          </w:p>
          <w:p w14:paraId="48060622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523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6B80F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víceprací dle Dodatku č. 18</w:t>
            </w:r>
          </w:p>
          <w:p w14:paraId="7B3E4D2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1F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C7FD434" w14:textId="494A9FCA" w:rsidR="000C2D56" w:rsidRPr="00B8220B" w:rsidRDefault="006C5740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9 376 032</w:t>
            </w:r>
            <w:r w:rsidR="000C2D56"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,- Kč</w:t>
            </w:r>
          </w:p>
        </w:tc>
      </w:tr>
      <w:tr w:rsidR="000C2D56" w:rsidRPr="00B8220B" w14:paraId="1603B2E5" w14:textId="77777777" w:rsidTr="000C2D56">
        <w:trPr>
          <w:trHeight w:val="5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B02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52325C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C/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8A3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52B61CB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méněprací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dle Dodatku č. 18</w:t>
            </w:r>
          </w:p>
          <w:p w14:paraId="0C5374A7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E37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78FE2FB" w14:textId="4EE0E7EA" w:rsidR="000C2D56" w:rsidRPr="006C5740" w:rsidRDefault="006C5740" w:rsidP="006C57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</w:t>
            </w:r>
            <w:r w:rsidRPr="006C57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- 2 543 224</w:t>
            </w:r>
            <w:r w:rsidR="000C2D56" w:rsidRPr="006C57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,- Kč</w:t>
            </w:r>
          </w:p>
        </w:tc>
      </w:tr>
      <w:tr w:rsidR="000C2D56" w:rsidRPr="00B8220B" w14:paraId="4E4E9999" w14:textId="77777777" w:rsidTr="000C2D56">
        <w:trPr>
          <w:trHeight w:val="1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A66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67FCF2A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C5E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14:paraId="70536161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8220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Celková cena díla dle </w:t>
            </w:r>
            <w:proofErr w:type="gramStart"/>
            <w:r w:rsidRPr="00B8220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zák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ladní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SOD ve znění Dodatku č. 18</w:t>
            </w:r>
          </w:p>
          <w:p w14:paraId="49CBC145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7CC" w14:textId="77777777" w:rsidR="000C2D56" w:rsidRPr="00B8220B" w:rsidRDefault="000C2D56" w:rsidP="00D9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14:paraId="42AEFDE2" w14:textId="3451DE47" w:rsidR="000C2D56" w:rsidRPr="00B8220B" w:rsidRDefault="006C5740" w:rsidP="00D944E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1 134 237 517</w:t>
            </w:r>
            <w:r w:rsidR="000C2D56" w:rsidRPr="00B8220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,- Kč</w:t>
            </w:r>
          </w:p>
        </w:tc>
      </w:tr>
    </w:tbl>
    <w:p w14:paraId="1CEE53D3" w14:textId="77777777" w:rsidR="000C2D56" w:rsidRDefault="000C2D56" w:rsidP="000C2D5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</w:p>
    <w:p w14:paraId="56543870" w14:textId="4C6A4684" w:rsidR="000C2D56" w:rsidRDefault="00E70B03" w:rsidP="00E70B03">
      <w:pPr>
        <w:widowControl w:val="0"/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43C91CAA" w14:textId="77777777" w:rsidR="006C5740" w:rsidRDefault="006C5740" w:rsidP="00E70B03">
      <w:pPr>
        <w:widowControl w:val="0"/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lang w:eastAsia="cs-CZ"/>
        </w:rPr>
      </w:pPr>
    </w:p>
    <w:p w14:paraId="155D7B8E" w14:textId="77777777" w:rsidR="006C5740" w:rsidRDefault="006C5740" w:rsidP="00E70B03">
      <w:pPr>
        <w:widowControl w:val="0"/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lang w:eastAsia="cs-CZ"/>
        </w:rPr>
      </w:pPr>
    </w:p>
    <w:p w14:paraId="1ECD1129" w14:textId="7ADEF46F" w:rsidR="003363FE" w:rsidRPr="00811141" w:rsidRDefault="003363FE" w:rsidP="003363FE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811141">
        <w:rPr>
          <w:rFonts w:ascii="Times New Roman" w:eastAsia="Times New Roman" w:hAnsi="Times New Roman" w:cs="Times New Roman"/>
          <w:b/>
          <w:lang w:eastAsia="cs-CZ"/>
        </w:rPr>
        <w:t>Stávající článek V. „Doba plnění“ odst. 1 se ruší a nově zní takto:</w:t>
      </w:r>
    </w:p>
    <w:p w14:paraId="3C18213F" w14:textId="77777777" w:rsidR="001517C9" w:rsidRPr="009C79BA" w:rsidRDefault="003363FE" w:rsidP="001517C9">
      <w:pPr>
        <w:widowControl w:val="0"/>
        <w:tabs>
          <w:tab w:val="left" w:pos="7380"/>
        </w:tabs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„ 1. Zhotovitel se zavazuje provést dílo v souladu s aktualizovaným časovým harmonogramem postupu provedení díla (příloha č. 26 této smlouvy) a harmonogramem </w:t>
      </w:r>
      <w:proofErr w:type="spellStart"/>
      <w:r w:rsidRPr="00811141">
        <w:rPr>
          <w:rFonts w:ascii="Times New Roman" w:eastAsia="Times New Roman" w:hAnsi="Times New Roman" w:cs="Times New Roman"/>
          <w:lang w:eastAsia="cs-CZ"/>
        </w:rPr>
        <w:lastRenderedPageBreak/>
        <w:t>Piazzetty</w:t>
      </w:r>
      <w:proofErr w:type="spellEnd"/>
      <w:r w:rsidRPr="00811141">
        <w:rPr>
          <w:rFonts w:ascii="Times New Roman" w:eastAsia="Times New Roman" w:hAnsi="Times New Roman" w:cs="Times New Roman"/>
          <w:lang w:eastAsia="cs-CZ"/>
        </w:rPr>
        <w:t xml:space="preserve"> jako samostatné části díla (příloha č. 34 této smlouvy), přičemž zhotovitel se </w:t>
      </w:r>
      <w:r w:rsidRPr="009C79BA">
        <w:rPr>
          <w:rFonts w:ascii="Times New Roman" w:eastAsia="Times New Roman" w:hAnsi="Times New Roman" w:cs="Times New Roman"/>
          <w:lang w:eastAsia="cs-CZ"/>
        </w:rPr>
        <w:t>zavazuje dodržet následující termíny:</w:t>
      </w:r>
    </w:p>
    <w:p w14:paraId="04C02F14" w14:textId="7F3EFAE2" w:rsidR="003363FE" w:rsidRPr="009C79BA" w:rsidRDefault="003363FE" w:rsidP="001517C9">
      <w:pPr>
        <w:widowControl w:val="0"/>
        <w:numPr>
          <w:ilvl w:val="1"/>
          <w:numId w:val="1"/>
        </w:numPr>
        <w:tabs>
          <w:tab w:val="righ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termín převzetí staveniště bude určen v písemn</w:t>
      </w:r>
      <w:r w:rsidR="00E05C59" w:rsidRPr="009C79BA">
        <w:rPr>
          <w:rFonts w:ascii="Times New Roman" w:eastAsia="Times New Roman" w:hAnsi="Times New Roman" w:cs="Times New Roman"/>
          <w:lang w:eastAsia="cs-CZ"/>
        </w:rPr>
        <w:t>é výzvě objednatele zhotoviteli</w:t>
      </w:r>
    </w:p>
    <w:p w14:paraId="5BDAC6CA" w14:textId="0EDB922B" w:rsidR="003363FE" w:rsidRPr="009C79BA" w:rsidRDefault="003363FE" w:rsidP="001517C9">
      <w:pPr>
        <w:widowControl w:val="0"/>
        <w:numPr>
          <w:ilvl w:val="1"/>
          <w:numId w:val="1"/>
        </w:numPr>
        <w:tabs>
          <w:tab w:val="right" w:pos="-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předpokl</w:t>
      </w:r>
      <w:r w:rsidR="0013033C" w:rsidRPr="009C79BA">
        <w:rPr>
          <w:rFonts w:ascii="Times New Roman" w:eastAsia="Times New Roman" w:hAnsi="Times New Roman" w:cs="Times New Roman"/>
          <w:lang w:eastAsia="cs-CZ"/>
        </w:rPr>
        <w:t xml:space="preserve">ádaný termín zahájení stavby: </w:t>
      </w:r>
      <w:r w:rsidR="0013033C" w:rsidRPr="009C79BA">
        <w:rPr>
          <w:rFonts w:ascii="Times New Roman" w:eastAsia="Times New Roman" w:hAnsi="Times New Roman" w:cs="Times New Roman"/>
          <w:lang w:eastAsia="cs-CZ"/>
        </w:rPr>
        <w:tab/>
      </w:r>
      <w:r w:rsidRPr="009C79BA">
        <w:rPr>
          <w:rFonts w:ascii="Times New Roman" w:eastAsia="Times New Roman" w:hAnsi="Times New Roman" w:cs="Times New Roman"/>
          <w:b/>
          <w:bCs/>
          <w:lang w:eastAsia="cs-CZ"/>
        </w:rPr>
        <w:t>bezodkladně po převzetí staveniště</w:t>
      </w:r>
    </w:p>
    <w:p w14:paraId="730919E2" w14:textId="4068F330" w:rsidR="00F332B3" w:rsidRPr="009C79BA" w:rsidRDefault="00F332B3" w:rsidP="001517C9">
      <w:pPr>
        <w:widowControl w:val="0"/>
        <w:numPr>
          <w:ilvl w:val="1"/>
          <w:numId w:val="1"/>
        </w:numPr>
        <w:tabs>
          <w:tab w:val="right" w:pos="-4536"/>
          <w:tab w:val="right" w:pos="5103"/>
        </w:tabs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 xml:space="preserve">lhůta pro </w:t>
      </w:r>
      <w:r w:rsidR="000758F7" w:rsidRPr="009C79BA">
        <w:rPr>
          <w:rFonts w:ascii="Times New Roman" w:eastAsia="Times New Roman" w:hAnsi="Times New Roman" w:cs="Times New Roman"/>
          <w:lang w:eastAsia="cs-CZ"/>
        </w:rPr>
        <w:t>dokončení stavebních prací na díle do</w:t>
      </w:r>
      <w:r w:rsidRPr="009C79BA">
        <w:rPr>
          <w:rFonts w:ascii="Times New Roman" w:eastAsia="Times New Roman" w:hAnsi="Times New Roman" w:cs="Times New Roman"/>
          <w:lang w:eastAsia="cs-CZ"/>
        </w:rPr>
        <w:t xml:space="preserve"> stavu </w:t>
      </w:r>
      <w:r w:rsidR="000758F7" w:rsidRPr="009C79BA">
        <w:rPr>
          <w:rFonts w:ascii="Times New Roman" w:eastAsia="Times New Roman" w:hAnsi="Times New Roman" w:cs="Times New Roman"/>
          <w:lang w:eastAsia="cs-CZ"/>
        </w:rPr>
        <w:t>umožňujícího</w:t>
      </w:r>
      <w:r w:rsidR="005E6F0A" w:rsidRPr="009C79BA">
        <w:rPr>
          <w:rFonts w:ascii="Times New Roman" w:eastAsia="Times New Roman" w:hAnsi="Times New Roman" w:cs="Times New Roman"/>
          <w:lang w:eastAsia="cs-CZ"/>
        </w:rPr>
        <w:t xml:space="preserve"> užívání </w:t>
      </w:r>
      <w:r w:rsidR="000758F7" w:rsidRPr="009C79BA">
        <w:rPr>
          <w:rFonts w:ascii="Times New Roman" w:eastAsia="Times New Roman" w:hAnsi="Times New Roman" w:cs="Times New Roman"/>
          <w:lang w:eastAsia="cs-CZ"/>
        </w:rPr>
        <w:t>historické a provozní budovy Státní opery</w:t>
      </w:r>
      <w:r w:rsidR="000758F7" w:rsidRPr="009C79BA">
        <w:rPr>
          <w:rFonts w:ascii="Times New Roman" w:eastAsia="Times New Roman" w:hAnsi="Times New Roman" w:cs="Times New Roman"/>
          <w:lang w:eastAsia="cs-CZ"/>
        </w:rPr>
        <w:tab/>
      </w:r>
      <w:r w:rsidR="005E6F0A" w:rsidRPr="009C79BA">
        <w:rPr>
          <w:rFonts w:ascii="Times New Roman" w:eastAsia="Times New Roman" w:hAnsi="Times New Roman" w:cs="Times New Roman"/>
          <w:b/>
          <w:lang w:eastAsia="cs-CZ"/>
        </w:rPr>
        <w:t>15. 12. 2019</w:t>
      </w:r>
    </w:p>
    <w:p w14:paraId="3F32DF86" w14:textId="77777777" w:rsidR="00125942" w:rsidRPr="009C79BA" w:rsidRDefault="00125942" w:rsidP="001517C9">
      <w:pPr>
        <w:widowControl w:val="0"/>
        <w:numPr>
          <w:ilvl w:val="1"/>
          <w:numId w:val="1"/>
        </w:numPr>
        <w:tabs>
          <w:tab w:val="right" w:pos="-4536"/>
          <w:tab w:val="right" w:pos="5103"/>
        </w:tabs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lhůta pro předání samostatné části díla</w:t>
      </w:r>
      <w:r w:rsidRPr="009C79BA">
        <w:rPr>
          <w:rFonts w:ascii="Times New Roman" w:eastAsia="Times New Roman" w:hAnsi="Times New Roman" w:cs="Times New Roman"/>
          <w:lang w:eastAsia="cs-CZ"/>
        </w:rPr>
        <w:tab/>
      </w:r>
      <w:r w:rsidRPr="009C79BA">
        <w:rPr>
          <w:rFonts w:ascii="Times New Roman" w:eastAsia="Times New Roman" w:hAnsi="Times New Roman" w:cs="Times New Roman"/>
          <w:lang w:eastAsia="cs-CZ"/>
        </w:rPr>
        <w:tab/>
      </w:r>
      <w:r w:rsidRPr="009C79BA">
        <w:rPr>
          <w:rFonts w:ascii="Times New Roman" w:eastAsia="Times New Roman" w:hAnsi="Times New Roman" w:cs="Times New Roman"/>
          <w:b/>
          <w:lang w:eastAsia="cs-CZ"/>
        </w:rPr>
        <w:t>31. 5. 2020</w:t>
      </w:r>
    </w:p>
    <w:p w14:paraId="1DB5EB3A" w14:textId="77777777" w:rsidR="003363FE" w:rsidRPr="009C79BA" w:rsidRDefault="001517C9" w:rsidP="001517C9">
      <w:pPr>
        <w:widowControl w:val="0"/>
        <w:numPr>
          <w:ilvl w:val="1"/>
          <w:numId w:val="1"/>
        </w:numPr>
        <w:tabs>
          <w:tab w:val="right" w:pos="-4536"/>
          <w:tab w:val="right" w:pos="5103"/>
        </w:tabs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lhůta pro předání díla</w:t>
      </w:r>
      <w:r w:rsidR="005E6F0A" w:rsidRPr="009C79BA">
        <w:rPr>
          <w:rFonts w:ascii="Times New Roman" w:eastAsia="Times New Roman" w:hAnsi="Times New Roman" w:cs="Times New Roman"/>
          <w:lang w:eastAsia="cs-CZ"/>
        </w:rPr>
        <w:t xml:space="preserve"> </w:t>
      </w:r>
      <w:r w:rsidR="005E6F0A" w:rsidRPr="009C79BA">
        <w:rPr>
          <w:rFonts w:ascii="Times New Roman" w:eastAsia="Times New Roman" w:hAnsi="Times New Roman" w:cs="Times New Roman"/>
          <w:lang w:eastAsia="cs-CZ"/>
        </w:rPr>
        <w:tab/>
      </w:r>
      <w:r w:rsidR="005E6F0A" w:rsidRPr="009C79BA">
        <w:rPr>
          <w:rFonts w:ascii="Times New Roman" w:eastAsia="Times New Roman" w:hAnsi="Times New Roman" w:cs="Times New Roman"/>
          <w:lang w:eastAsia="cs-CZ"/>
        </w:rPr>
        <w:tab/>
      </w:r>
      <w:r w:rsidR="003363FE" w:rsidRPr="009C79BA">
        <w:rPr>
          <w:rFonts w:ascii="Times New Roman" w:eastAsia="Times New Roman" w:hAnsi="Times New Roman" w:cs="Times New Roman"/>
          <w:b/>
          <w:lang w:eastAsia="cs-CZ"/>
        </w:rPr>
        <w:t>31. 5.</w:t>
      </w:r>
      <w:r w:rsidR="005270BD" w:rsidRPr="009C79BA">
        <w:rPr>
          <w:rFonts w:ascii="Times New Roman" w:eastAsia="Times New Roman" w:hAnsi="Times New Roman" w:cs="Times New Roman"/>
          <w:b/>
          <w:lang w:eastAsia="cs-CZ"/>
        </w:rPr>
        <w:t xml:space="preserve"> 2020</w:t>
      </w:r>
    </w:p>
    <w:p w14:paraId="670DD7D9" w14:textId="77777777" w:rsidR="003363FE" w:rsidRPr="001517C9" w:rsidRDefault="003363FE" w:rsidP="001517C9">
      <w:pPr>
        <w:widowControl w:val="0"/>
        <w:numPr>
          <w:ilvl w:val="1"/>
          <w:numId w:val="1"/>
        </w:numPr>
        <w:tabs>
          <w:tab w:val="right" w:pos="-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termín odstranění zařízení</w:t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 staveniště </w:t>
      </w:r>
      <w:r w:rsidR="001517C9">
        <w:rPr>
          <w:rFonts w:ascii="Times New Roman" w:eastAsia="Times New Roman" w:hAnsi="Times New Roman" w:cs="Times New Roman"/>
          <w:lang w:eastAsia="cs-CZ"/>
        </w:rPr>
        <w:tab/>
      </w:r>
      <w:r w:rsidR="001517C9">
        <w:rPr>
          <w:rFonts w:ascii="Times New Roman" w:eastAsia="Times New Roman" w:hAnsi="Times New Roman" w:cs="Times New Roman"/>
          <w:lang w:eastAsia="cs-CZ"/>
        </w:rPr>
        <w:tab/>
      </w:r>
      <w:r w:rsidRPr="001517C9">
        <w:rPr>
          <w:rFonts w:ascii="Times New Roman" w:eastAsia="Times New Roman" w:hAnsi="Times New Roman" w:cs="Times New Roman"/>
          <w:b/>
          <w:lang w:eastAsia="cs-CZ"/>
        </w:rPr>
        <w:t>31. 5</w:t>
      </w:r>
      <w:r w:rsidR="005270BD" w:rsidRPr="001517C9">
        <w:rPr>
          <w:rFonts w:ascii="Times New Roman" w:eastAsia="Times New Roman" w:hAnsi="Times New Roman" w:cs="Times New Roman"/>
          <w:b/>
          <w:lang w:eastAsia="cs-CZ"/>
        </w:rPr>
        <w:t>. 2020</w:t>
      </w:r>
    </w:p>
    <w:p w14:paraId="191EA07D" w14:textId="77777777" w:rsidR="001517C9" w:rsidRDefault="003363FE" w:rsidP="001517C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termín </w:t>
      </w:r>
      <w:r w:rsidR="00F2616C">
        <w:rPr>
          <w:rFonts w:ascii="Times New Roman" w:eastAsia="Times New Roman" w:hAnsi="Times New Roman" w:cs="Times New Roman"/>
          <w:lang w:eastAsia="cs-CZ"/>
        </w:rPr>
        <w:t>předání</w:t>
      </w:r>
      <w:r w:rsidRPr="00811141">
        <w:rPr>
          <w:rFonts w:ascii="Times New Roman" w:eastAsia="Times New Roman" w:hAnsi="Times New Roman" w:cs="Times New Roman"/>
          <w:lang w:eastAsia="cs-CZ"/>
        </w:rPr>
        <w:t xml:space="preserve"> dokumentace skutečného provedení v systému BIM </w:t>
      </w:r>
    </w:p>
    <w:p w14:paraId="46FF8A2A" w14:textId="77777777" w:rsidR="00F332B3" w:rsidRPr="001517C9" w:rsidRDefault="003363FE" w:rsidP="001517C9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517C9">
        <w:rPr>
          <w:rFonts w:ascii="Times New Roman" w:eastAsia="Times New Roman" w:hAnsi="Times New Roman" w:cs="Times New Roman"/>
          <w:lang w:eastAsia="cs-CZ"/>
        </w:rPr>
        <w:t xml:space="preserve">(v rozsahu dle čl. III odst. 4 smlouvy) </w:t>
      </w:r>
      <w:r w:rsidRPr="001517C9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517C9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1517C9">
        <w:rPr>
          <w:rFonts w:ascii="Times New Roman" w:eastAsia="Times New Roman" w:hAnsi="Times New Roman" w:cs="Times New Roman"/>
          <w:b/>
          <w:szCs w:val="24"/>
          <w:lang w:eastAsia="cs-CZ"/>
        </w:rPr>
        <w:t>31. 5. 2020</w:t>
      </w:r>
    </w:p>
    <w:p w14:paraId="54645449" w14:textId="77777777" w:rsidR="008326F3" w:rsidRDefault="00F332B3" w:rsidP="008326F3">
      <w:pPr>
        <w:widowControl w:val="0"/>
        <w:spacing w:before="200" w:after="0" w:line="276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F332B3">
        <w:rPr>
          <w:rFonts w:ascii="Times New Roman" w:eastAsia="Times New Roman" w:hAnsi="Times New Roman" w:cs="Times New Roman"/>
          <w:szCs w:val="24"/>
          <w:lang w:eastAsia="cs-CZ"/>
        </w:rPr>
        <w:t>Smluvní strany se dohodly, že plnění označené/dohodnuté stranami jako tzv. samostatná část díla (dále jen „</w:t>
      </w:r>
      <w:r w:rsidRPr="00F332B3">
        <w:rPr>
          <w:rFonts w:ascii="Times New Roman" w:eastAsia="Times New Roman" w:hAnsi="Times New Roman" w:cs="Times New Roman"/>
          <w:b/>
          <w:szCs w:val="24"/>
          <w:lang w:eastAsia="cs-CZ"/>
        </w:rPr>
        <w:t>samostatná část díla</w:t>
      </w:r>
      <w:r w:rsidRPr="00F332B3">
        <w:rPr>
          <w:rFonts w:ascii="Times New Roman" w:eastAsia="Times New Roman" w:hAnsi="Times New Roman" w:cs="Times New Roman"/>
          <w:szCs w:val="24"/>
          <w:lang w:eastAsia="cs-CZ"/>
        </w:rPr>
        <w:t xml:space="preserve">“), zhotovitel předá a objednatel takovou samostatnou část díla převezme po </w:t>
      </w:r>
      <w:r w:rsidR="005E6F0A">
        <w:rPr>
          <w:rFonts w:ascii="Times New Roman" w:eastAsia="Times New Roman" w:hAnsi="Times New Roman" w:cs="Times New Roman"/>
          <w:szCs w:val="24"/>
          <w:lang w:eastAsia="cs-CZ"/>
        </w:rPr>
        <w:t xml:space="preserve">termínu - </w:t>
      </w:r>
      <w:r w:rsidR="005E6F0A" w:rsidRPr="001517C9">
        <w:rPr>
          <w:rFonts w:ascii="Times New Roman" w:eastAsia="Times New Roman" w:hAnsi="Times New Roman" w:cs="Times New Roman"/>
          <w:szCs w:val="24"/>
          <w:lang w:eastAsia="cs-CZ"/>
        </w:rPr>
        <w:t>lhůtě</w:t>
      </w:r>
      <w:r w:rsidRPr="001517C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0758F7" w:rsidRPr="001517C9">
        <w:rPr>
          <w:rFonts w:ascii="Times New Roman" w:eastAsia="Times New Roman" w:hAnsi="Times New Roman" w:cs="Times New Roman"/>
          <w:lang w:eastAsia="cs-CZ"/>
        </w:rPr>
        <w:t>pro dokončení stavebních prací na díle do stavu umožňujícího užívání historické a provozní budovy Státní opery</w:t>
      </w:r>
      <w:r w:rsidRPr="001517C9">
        <w:rPr>
          <w:rFonts w:ascii="Times New Roman" w:eastAsia="Times New Roman" w:hAnsi="Times New Roman" w:cs="Times New Roman"/>
          <w:szCs w:val="24"/>
          <w:lang w:eastAsia="cs-CZ"/>
        </w:rPr>
        <w:t xml:space="preserve"> stanovené</w:t>
      </w:r>
      <w:r w:rsidRPr="00F332B3">
        <w:rPr>
          <w:rFonts w:ascii="Times New Roman" w:eastAsia="Times New Roman" w:hAnsi="Times New Roman" w:cs="Times New Roman"/>
          <w:szCs w:val="24"/>
          <w:lang w:eastAsia="cs-CZ"/>
        </w:rPr>
        <w:t xml:space="preserve"> v čl.</w:t>
      </w:r>
      <w:r w:rsidR="00096694">
        <w:rPr>
          <w:rFonts w:ascii="Times New Roman" w:eastAsia="Times New Roman" w:hAnsi="Times New Roman" w:cs="Times New Roman"/>
          <w:szCs w:val="24"/>
          <w:lang w:eastAsia="cs-CZ"/>
        </w:rPr>
        <w:t xml:space="preserve"> V, odst. 1, písm. c</w:t>
      </w:r>
      <w:r w:rsidRPr="00F332B3">
        <w:rPr>
          <w:rFonts w:ascii="Times New Roman" w:eastAsia="Times New Roman" w:hAnsi="Times New Roman" w:cs="Times New Roman"/>
          <w:szCs w:val="24"/>
          <w:lang w:eastAsia="cs-CZ"/>
        </w:rPr>
        <w:t>) Smlouvy. Předání a převzetí samostatné části díla bude provedeno obdobně v souladu s podmínkami pro předání a převzetí díla dle Smlouvy. Pro vyloučení pochybností smluvní strany prohlašují, že tam, kde se ve Smlouvě používá nebo odkazuje na termín „kompletní dílo“ a/nebo „hotové dílo“ a/nebo „dokončené dílo“ a/nebo „dílo“, má se tím namysli dílo bez samostatné části díla.</w:t>
      </w:r>
    </w:p>
    <w:p w14:paraId="280244FF" w14:textId="77777777" w:rsidR="008326F3" w:rsidRPr="0013033C" w:rsidRDefault="008326F3" w:rsidP="008326F3">
      <w:pPr>
        <w:widowControl w:val="0"/>
        <w:spacing w:before="200" w:after="0" w:line="276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3033C">
        <w:rPr>
          <w:rFonts w:ascii="Times New Roman" w:eastAsia="Times New Roman" w:hAnsi="Times New Roman" w:cs="Times New Roman"/>
          <w:lang w:eastAsia="cs-CZ"/>
        </w:rPr>
        <w:t xml:space="preserve">Smluvní strany se dohodly, že pro splnění termínu, resp. </w:t>
      </w:r>
      <w:r w:rsidR="00530713" w:rsidRPr="0013033C">
        <w:rPr>
          <w:rFonts w:ascii="Times New Roman" w:eastAsia="Times New Roman" w:hAnsi="Times New Roman" w:cs="Times New Roman"/>
          <w:i/>
          <w:lang w:eastAsia="cs-CZ"/>
        </w:rPr>
        <w:t>lhůty pro dokončení stavebních prací na díle do stavu umožňujícího užívání historické a provozní budovy Státní opery</w:t>
      </w:r>
      <w:r w:rsidRPr="0013033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13033C">
        <w:rPr>
          <w:rFonts w:ascii="Times New Roman" w:eastAsia="Times New Roman" w:hAnsi="Times New Roman" w:cs="Times New Roman"/>
          <w:lang w:eastAsia="cs-CZ"/>
        </w:rPr>
        <w:t>je rozhodné, zda:</w:t>
      </w:r>
    </w:p>
    <w:p w14:paraId="7A1DA142" w14:textId="77777777" w:rsidR="008326F3" w:rsidRPr="0013033C" w:rsidRDefault="008326F3" w:rsidP="008326F3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5DC04AC6" w14:textId="6CD3882B" w:rsidR="008326F3" w:rsidRPr="0013033C" w:rsidRDefault="008326F3" w:rsidP="0028079A">
      <w:pPr>
        <w:pStyle w:val="Odstavecseseznamem"/>
        <w:widowControl w:val="0"/>
        <w:numPr>
          <w:ilvl w:val="1"/>
          <w:numId w:val="7"/>
        </w:numPr>
        <w:jc w:val="both"/>
        <w:rPr>
          <w:b/>
          <w:sz w:val="22"/>
          <w:vertAlign w:val="baseline"/>
        </w:rPr>
      </w:pPr>
      <w:r w:rsidRPr="0013033C">
        <w:rPr>
          <w:sz w:val="22"/>
          <w:vertAlign w:val="baseline"/>
        </w:rPr>
        <w:t xml:space="preserve">z pohledu </w:t>
      </w:r>
      <w:r w:rsidR="0013033C">
        <w:rPr>
          <w:sz w:val="22"/>
          <w:vertAlign w:val="baseline"/>
        </w:rPr>
        <w:t xml:space="preserve">posouzení </w:t>
      </w:r>
      <w:r w:rsidRPr="0013033C">
        <w:rPr>
          <w:sz w:val="22"/>
          <w:vertAlign w:val="baseline"/>
        </w:rPr>
        <w:t xml:space="preserve">funkčnosti </w:t>
      </w:r>
      <w:r w:rsidR="0013033C">
        <w:rPr>
          <w:sz w:val="22"/>
          <w:vertAlign w:val="baseline"/>
        </w:rPr>
        <w:t xml:space="preserve">v rámci </w:t>
      </w:r>
      <w:r w:rsidRPr="0013033C">
        <w:rPr>
          <w:sz w:val="22"/>
          <w:vertAlign w:val="baseline"/>
        </w:rPr>
        <w:t>předání a převzetí</w:t>
      </w:r>
      <w:r w:rsidR="0013033C">
        <w:rPr>
          <w:sz w:val="22"/>
          <w:vertAlign w:val="baseline"/>
        </w:rPr>
        <w:t xml:space="preserve"> této části</w:t>
      </w:r>
      <w:r w:rsidRPr="0013033C">
        <w:rPr>
          <w:sz w:val="22"/>
          <w:vertAlign w:val="baseline"/>
        </w:rPr>
        <w:t xml:space="preserve"> při prohlídce stran na místě provádění díla, bude v rámci protokolu o předání a převzetí </w:t>
      </w:r>
      <w:r w:rsidR="00600DC6">
        <w:rPr>
          <w:sz w:val="22"/>
          <w:vertAlign w:val="baseline"/>
        </w:rPr>
        <w:t xml:space="preserve">zástupci obou stran </w:t>
      </w:r>
      <w:r w:rsidRPr="0013033C">
        <w:rPr>
          <w:sz w:val="22"/>
          <w:vertAlign w:val="baseline"/>
        </w:rPr>
        <w:t>shodně</w:t>
      </w:r>
      <w:r w:rsidR="0013033C">
        <w:rPr>
          <w:sz w:val="22"/>
          <w:vertAlign w:val="baseline"/>
        </w:rPr>
        <w:t xml:space="preserve"> konstatováno, že dokončené stavební práce na díle umožňují užívání historické a provozní budovy Státní opery, tzn., že objednatel převzal dokončené stavební práce na díle</w:t>
      </w:r>
      <w:r w:rsidRPr="0013033C">
        <w:rPr>
          <w:sz w:val="22"/>
          <w:vertAlign w:val="baseline"/>
        </w:rPr>
        <w:t xml:space="preserve"> bez vad a nedodělků bráni</w:t>
      </w:r>
      <w:r w:rsidR="0013033C">
        <w:rPr>
          <w:sz w:val="22"/>
          <w:vertAlign w:val="baseline"/>
        </w:rPr>
        <w:t>cích užívání budov</w:t>
      </w:r>
      <w:r w:rsidRPr="0013033C">
        <w:rPr>
          <w:sz w:val="22"/>
          <w:vertAlign w:val="baseline"/>
        </w:rPr>
        <w:t xml:space="preserve"> a </w:t>
      </w:r>
    </w:p>
    <w:p w14:paraId="35017A0D" w14:textId="0A72330E" w:rsidR="003363FE" w:rsidRPr="009C79BA" w:rsidRDefault="008326F3" w:rsidP="0028079A">
      <w:pPr>
        <w:pStyle w:val="Odstavecseseznamem"/>
        <w:widowControl w:val="0"/>
        <w:numPr>
          <w:ilvl w:val="1"/>
          <w:numId w:val="7"/>
        </w:numPr>
        <w:jc w:val="both"/>
        <w:rPr>
          <w:b/>
          <w:sz w:val="22"/>
          <w:vertAlign w:val="baseline"/>
        </w:rPr>
      </w:pPr>
      <w:r w:rsidRPr="0013033C">
        <w:rPr>
          <w:sz w:val="22"/>
          <w:szCs w:val="22"/>
          <w:vertAlign w:val="baseline"/>
        </w:rPr>
        <w:t>proběhl</w:t>
      </w:r>
      <w:r w:rsidR="00771409">
        <w:rPr>
          <w:sz w:val="22"/>
          <w:szCs w:val="22"/>
          <w:vertAlign w:val="baseline"/>
        </w:rPr>
        <w:t xml:space="preserve">a úspěšná kolaudace </w:t>
      </w:r>
      <w:r w:rsidRPr="0013033C">
        <w:rPr>
          <w:sz w:val="22"/>
          <w:szCs w:val="22"/>
          <w:vertAlign w:val="baseline"/>
        </w:rPr>
        <w:t xml:space="preserve">díla, či zda bylo vydáno jiné obdobné rozhodnutí orgánu veřejné správy, jehož obsahem bude souhlasné stanovisko s užíváním díla </w:t>
      </w:r>
      <w:r w:rsidRPr="009C79BA">
        <w:rPr>
          <w:sz w:val="22"/>
          <w:szCs w:val="22"/>
          <w:vertAlign w:val="baseline"/>
        </w:rPr>
        <w:t>z hlediska jeho bezpečnosti; pro vyloučení pochybností smluvní strany prohlašují, že tímto není vyloučena povinnost zhotovitele odstranit pří</w:t>
      </w:r>
      <w:r w:rsidR="00771409" w:rsidRPr="009C79BA">
        <w:rPr>
          <w:sz w:val="22"/>
          <w:szCs w:val="22"/>
          <w:vertAlign w:val="baseline"/>
        </w:rPr>
        <w:t>padné vady</w:t>
      </w:r>
      <w:r w:rsidR="009F0022" w:rsidRPr="009C79BA">
        <w:rPr>
          <w:sz w:val="22"/>
          <w:szCs w:val="22"/>
          <w:vertAlign w:val="baseline"/>
        </w:rPr>
        <w:t xml:space="preserve"> v dohodnuté lhůtě</w:t>
      </w:r>
      <w:r w:rsidRPr="009C79BA">
        <w:rPr>
          <w:sz w:val="22"/>
          <w:szCs w:val="22"/>
          <w:vertAlign w:val="baseline"/>
        </w:rPr>
        <w:t>.</w:t>
      </w:r>
      <w:r w:rsidR="00F332B3" w:rsidRPr="009C79BA">
        <w:rPr>
          <w:sz w:val="22"/>
        </w:rPr>
        <w:t>“</w:t>
      </w:r>
    </w:p>
    <w:p w14:paraId="5ABE06B8" w14:textId="7E5D3CB3" w:rsidR="00771409" w:rsidRPr="00914CF9" w:rsidRDefault="00771409" w:rsidP="00015AB2">
      <w:pPr>
        <w:widowControl w:val="0"/>
        <w:numPr>
          <w:ilvl w:val="0"/>
          <w:numId w:val="4"/>
        </w:numPr>
        <w:spacing w:before="2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 xml:space="preserve">Smluvní strany dále prohlašují, že stavem umožňujícím užívání historické a provozní budovy Státní opery </w:t>
      </w:r>
      <w:r w:rsidR="00954DE6" w:rsidRPr="009C79BA">
        <w:rPr>
          <w:rFonts w:ascii="Times New Roman" w:eastAsia="Times New Roman" w:hAnsi="Times New Roman" w:cs="Times New Roman"/>
          <w:lang w:eastAsia="cs-CZ"/>
        </w:rPr>
        <w:t xml:space="preserve">je </w:t>
      </w:r>
      <w:r w:rsidRPr="009C79BA">
        <w:rPr>
          <w:rFonts w:ascii="Times New Roman" w:eastAsia="Times New Roman" w:hAnsi="Times New Roman" w:cs="Times New Roman"/>
          <w:lang w:eastAsia="cs-CZ"/>
        </w:rPr>
        <w:t xml:space="preserve">stav, ve kterém je objednateli umožněno využívat historickou a provozní budovu Státní opery k výkonu své činnosti, tj. k uměleckému provozu, představením a zkouškám a dalším akcím naplánovaným na období </w:t>
      </w:r>
      <w:r w:rsidR="00653E06">
        <w:rPr>
          <w:rFonts w:ascii="Times New Roman" w:eastAsia="Times New Roman" w:hAnsi="Times New Roman" w:cs="Times New Roman"/>
          <w:lang w:eastAsia="cs-CZ"/>
        </w:rPr>
        <w:t>16</w:t>
      </w:r>
      <w:r w:rsidRPr="009C79BA">
        <w:rPr>
          <w:rFonts w:ascii="Times New Roman" w:eastAsia="Times New Roman" w:hAnsi="Times New Roman" w:cs="Times New Roman"/>
          <w:lang w:eastAsia="cs-CZ"/>
        </w:rPr>
        <w:t xml:space="preserve">. 12. 2019 až 31. 5. 2020, a to dle Plánu zkoušek, představení a akcí ve Státní opeře, který tvoří přílohu </w:t>
      </w:r>
      <w:r w:rsidR="000C2D56" w:rsidRPr="009C79BA">
        <w:rPr>
          <w:rFonts w:ascii="Times New Roman" w:eastAsia="Times New Roman" w:hAnsi="Times New Roman" w:cs="Times New Roman"/>
          <w:lang w:eastAsia="cs-CZ"/>
        </w:rPr>
        <w:t>č. 39 Smlouvy</w:t>
      </w:r>
      <w:r w:rsidRPr="009C79BA">
        <w:rPr>
          <w:rFonts w:ascii="Times New Roman" w:eastAsia="Times New Roman" w:hAnsi="Times New Roman" w:cs="Times New Roman"/>
          <w:lang w:eastAsia="cs-CZ"/>
        </w:rPr>
        <w:t xml:space="preserve">, a to s minimálním omezením ze strany zhotovitele, </w:t>
      </w:r>
      <w:r w:rsidR="00914CF9" w:rsidRPr="00914CF9">
        <w:rPr>
          <w:rFonts w:ascii="Times New Roman" w:eastAsia="Times New Roman" w:hAnsi="Times New Roman" w:cs="Times New Roman"/>
          <w:lang w:eastAsia="cs-CZ"/>
        </w:rPr>
        <w:t>nebránícími užívání budov a provozování představení pro veřejnost, přičemž dodatečné práce spočívající v odstraňování vad a nedodělků na díle v tomto období budou prováděny se souhlasem objednatele</w:t>
      </w:r>
      <w:r w:rsidRPr="009C79BA">
        <w:rPr>
          <w:rFonts w:ascii="Times New Roman" w:eastAsia="Times New Roman" w:hAnsi="Times New Roman" w:cs="Times New Roman"/>
          <w:lang w:eastAsia="cs-CZ"/>
        </w:rPr>
        <w:t>.</w:t>
      </w:r>
    </w:p>
    <w:p w14:paraId="02B9DD78" w14:textId="77777777" w:rsidR="00BF5B73" w:rsidRPr="009C79BA" w:rsidRDefault="00BF5B73" w:rsidP="00BF5B73">
      <w:pPr>
        <w:widowControl w:val="0"/>
        <w:spacing w:before="20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BEC63D7" w14:textId="77777777" w:rsidR="00771409" w:rsidRPr="009C79BA" w:rsidRDefault="00771409" w:rsidP="00771409">
      <w:pPr>
        <w:widowControl w:val="0"/>
        <w:spacing w:before="20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EFE7C68" w14:textId="471496DC" w:rsidR="00015AB2" w:rsidRPr="00AA1364" w:rsidRDefault="00015AB2" w:rsidP="00015AB2">
      <w:pPr>
        <w:widowControl w:val="0"/>
        <w:numPr>
          <w:ilvl w:val="0"/>
          <w:numId w:val="4"/>
        </w:numPr>
        <w:spacing w:before="2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C79BA">
        <w:rPr>
          <w:rFonts w:ascii="Times New Roman" w:eastAsia="Times New Roman" w:hAnsi="Times New Roman" w:cs="Times New Roman"/>
          <w:lang w:eastAsia="cs-CZ"/>
        </w:rPr>
        <w:t>Nedojde-li ze strany zhotovitele ke splnění termínu</w:t>
      </w:r>
      <w:r w:rsidRPr="00AA1364">
        <w:rPr>
          <w:rFonts w:ascii="Times New Roman" w:eastAsia="Times New Roman" w:hAnsi="Times New Roman" w:cs="Times New Roman"/>
          <w:lang w:eastAsia="cs-CZ"/>
        </w:rPr>
        <w:t xml:space="preserve"> - </w:t>
      </w:r>
      <w:r w:rsidRPr="00AA1364">
        <w:rPr>
          <w:rFonts w:ascii="Times New Roman" w:eastAsia="Times New Roman" w:hAnsi="Times New Roman" w:cs="Times New Roman"/>
          <w:b/>
          <w:lang w:eastAsia="cs-CZ"/>
        </w:rPr>
        <w:t>lhůty pro dokončení stavebních prací na díle do stavu umožňujícího užívání historické a provozní budovy Státní opery</w:t>
      </w:r>
      <w:r w:rsidRPr="00AA1364">
        <w:rPr>
          <w:rFonts w:ascii="Times New Roman" w:eastAsia="Times New Roman" w:hAnsi="Times New Roman" w:cs="Times New Roman"/>
          <w:lang w:eastAsia="cs-CZ"/>
        </w:rPr>
        <w:t xml:space="preserve"> dle čl. V, odst. 1, písm. c) Smlouvy, pak se má za to, že termínem - lhůtou pro předání díla dle čl. V, odst. 1, písm. e) Smlouvy je </w:t>
      </w:r>
      <w:r w:rsidRPr="009C79BA">
        <w:rPr>
          <w:rFonts w:ascii="Times New Roman" w:eastAsia="Times New Roman" w:hAnsi="Times New Roman" w:cs="Times New Roman"/>
          <w:lang w:eastAsia="cs-CZ"/>
        </w:rPr>
        <w:t>termín 15. 12. 2019, ledaže</w:t>
      </w:r>
      <w:r>
        <w:rPr>
          <w:rFonts w:ascii="Times New Roman" w:eastAsia="Times New Roman" w:hAnsi="Times New Roman" w:cs="Times New Roman"/>
          <w:lang w:eastAsia="cs-CZ"/>
        </w:rPr>
        <w:t xml:space="preserve"> se smluvní strany dohodnou jinak</w:t>
      </w:r>
      <w:r w:rsidRPr="00AA1364">
        <w:rPr>
          <w:rFonts w:ascii="Times New Roman" w:eastAsia="Times New Roman" w:hAnsi="Times New Roman" w:cs="Times New Roman"/>
          <w:lang w:eastAsia="cs-CZ"/>
        </w:rPr>
        <w:t>.</w:t>
      </w:r>
    </w:p>
    <w:p w14:paraId="14B422B0" w14:textId="074D4B8F" w:rsidR="003363FE" w:rsidRPr="00015AB2" w:rsidRDefault="003363FE" w:rsidP="00B8220B">
      <w:pPr>
        <w:pStyle w:val="Odstavecseseznamem"/>
        <w:widowControl w:val="0"/>
        <w:ind w:left="426"/>
        <w:rPr>
          <w:vertAlign w:val="baseline"/>
        </w:rPr>
      </w:pPr>
    </w:p>
    <w:p w14:paraId="3BA37C14" w14:textId="7166F9A5" w:rsidR="00771409" w:rsidRPr="000C2D56" w:rsidRDefault="000C2D56" w:rsidP="000C2D56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Plán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 xml:space="preserve"> zkoušek, představení a akcí ve Státní opeře v období </w:t>
      </w:r>
      <w:r w:rsidR="0055717B">
        <w:rPr>
          <w:rFonts w:ascii="Times New Roman" w:eastAsia="Times New Roman" w:hAnsi="Times New Roman" w:cs="Times New Roman"/>
          <w:b/>
          <w:lang w:eastAsia="cs-CZ"/>
        </w:rPr>
        <w:t>16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>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>12.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>2019 – 31.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>05.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>2020</w:t>
      </w:r>
      <w:r>
        <w:rPr>
          <w:rFonts w:ascii="Times New Roman" w:eastAsia="Times New Roman" w:hAnsi="Times New Roman" w:cs="Times New Roman"/>
          <w:b/>
          <w:lang w:eastAsia="cs-CZ"/>
        </w:rPr>
        <w:t>, který</w:t>
      </w:r>
      <w:r w:rsidRPr="000C2D56">
        <w:rPr>
          <w:rFonts w:ascii="Times New Roman" w:eastAsia="Times New Roman" w:hAnsi="Times New Roman" w:cs="Times New Roman"/>
          <w:b/>
          <w:lang w:eastAsia="cs-CZ"/>
        </w:rPr>
        <w:t xml:space="preserve"> tvoří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přílohu B</w:t>
      </w:r>
      <w:r w:rsidR="00771409" w:rsidRPr="000C2D56">
        <w:rPr>
          <w:rFonts w:ascii="Times New Roman" w:eastAsia="Times New Roman" w:hAnsi="Times New Roman" w:cs="Times New Roman"/>
          <w:b/>
          <w:lang w:eastAsia="cs-CZ"/>
        </w:rPr>
        <w:t xml:space="preserve"> tohoto Dodatku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č. 18</w:t>
      </w:r>
      <w:r w:rsidR="00E05C59">
        <w:rPr>
          <w:rFonts w:ascii="Times New Roman" w:eastAsia="Times New Roman" w:hAnsi="Times New Roman" w:cs="Times New Roman"/>
          <w:b/>
          <w:lang w:eastAsia="cs-CZ"/>
        </w:rPr>
        <w:t>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se stává přílohou Smlouvy jako příloha č. 39.</w:t>
      </w:r>
    </w:p>
    <w:p w14:paraId="4FCB0C4B" w14:textId="77777777" w:rsidR="00771409" w:rsidRPr="00771409" w:rsidRDefault="00771409" w:rsidP="00771409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5DA364DF" w14:textId="440CE94A" w:rsidR="003363FE" w:rsidRPr="00811141" w:rsidRDefault="003363FE" w:rsidP="00F332B3">
      <w:pPr>
        <w:widowControl w:val="0"/>
        <w:numPr>
          <w:ilvl w:val="0"/>
          <w:numId w:val="4"/>
        </w:numPr>
        <w:spacing w:before="2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811141">
        <w:rPr>
          <w:rFonts w:ascii="Times New Roman" w:eastAsia="Times New Roman" w:hAnsi="Times New Roman" w:cs="Times New Roman"/>
          <w:b/>
          <w:lang w:eastAsia="cs-CZ"/>
        </w:rPr>
        <w:t xml:space="preserve">V čl. VI. „Staveniště“ se odst. 7 </w:t>
      </w:r>
      <w:r w:rsidR="000C2D56">
        <w:rPr>
          <w:rFonts w:ascii="Times New Roman" w:eastAsia="Times New Roman" w:hAnsi="Times New Roman" w:cs="Times New Roman"/>
          <w:b/>
          <w:lang w:eastAsia="cs-CZ"/>
        </w:rPr>
        <w:t xml:space="preserve">Smlouvy </w:t>
      </w:r>
      <w:r w:rsidRPr="00811141">
        <w:rPr>
          <w:rFonts w:ascii="Times New Roman" w:eastAsia="Times New Roman" w:hAnsi="Times New Roman" w:cs="Times New Roman"/>
          <w:b/>
          <w:lang w:eastAsia="cs-CZ"/>
        </w:rPr>
        <w:t>ruší a nově zní takto:</w:t>
      </w:r>
    </w:p>
    <w:p w14:paraId="1BA78F91" w14:textId="77777777" w:rsidR="003363FE" w:rsidRDefault="003363FE" w:rsidP="00BF5B73">
      <w:pPr>
        <w:widowControl w:val="0"/>
        <w:spacing w:before="20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11141">
        <w:rPr>
          <w:rFonts w:ascii="Times New Roman" w:eastAsia="Times New Roman" w:hAnsi="Times New Roman" w:cs="Times New Roman"/>
          <w:lang w:eastAsia="cs-CZ"/>
        </w:rPr>
        <w:t xml:space="preserve">„ </w:t>
      </w:r>
      <w:r w:rsidR="009F0022">
        <w:rPr>
          <w:rFonts w:ascii="Times New Roman" w:eastAsia="Times New Roman" w:hAnsi="Times New Roman" w:cs="Times New Roman"/>
          <w:lang w:eastAsia="cs-CZ"/>
        </w:rPr>
        <w:t xml:space="preserve">7. </w:t>
      </w:r>
      <w:r w:rsidRPr="00811141">
        <w:rPr>
          <w:rFonts w:ascii="Times New Roman" w:eastAsia="Times New Roman" w:hAnsi="Times New Roman" w:cs="Times New Roman"/>
          <w:lang w:eastAsia="cs-CZ"/>
        </w:rPr>
        <w:t>Zhotovitel se zavazuje vyklidit a uvést do náležitého stavu staveniště v te</w:t>
      </w:r>
      <w:r w:rsidR="00125942">
        <w:rPr>
          <w:rFonts w:ascii="Times New Roman" w:eastAsia="Times New Roman" w:hAnsi="Times New Roman" w:cs="Times New Roman"/>
          <w:lang w:eastAsia="cs-CZ"/>
        </w:rPr>
        <w:t>rmínu dle čl. V. odst. 1 písm. f</w:t>
      </w:r>
      <w:r w:rsidRPr="00811141">
        <w:rPr>
          <w:rFonts w:ascii="Times New Roman" w:eastAsia="Times New Roman" w:hAnsi="Times New Roman" w:cs="Times New Roman"/>
          <w:lang w:eastAsia="cs-CZ"/>
        </w:rPr>
        <w:t>).“</w:t>
      </w:r>
    </w:p>
    <w:p w14:paraId="063B778F" w14:textId="77777777" w:rsidR="003363FE" w:rsidRPr="002F5C4E" w:rsidRDefault="003363FE" w:rsidP="003363FE">
      <w:pPr>
        <w:pStyle w:val="Odstavecseseznamem"/>
        <w:widowControl w:val="0"/>
        <w:numPr>
          <w:ilvl w:val="0"/>
          <w:numId w:val="4"/>
        </w:numPr>
        <w:spacing w:before="200"/>
        <w:ind w:left="426" w:hanging="426"/>
        <w:jc w:val="both"/>
        <w:rPr>
          <w:sz w:val="22"/>
          <w:vertAlign w:val="baseline"/>
        </w:rPr>
      </w:pPr>
      <w:r w:rsidRPr="002F5C4E">
        <w:rPr>
          <w:sz w:val="22"/>
          <w:vertAlign w:val="baseline"/>
        </w:rPr>
        <w:t>Pro vyloučení interpretačních pochybností Smluvní strany s ohledem na některé nepřesné definice pojmů ve Smlouvě prohlašují, že tam, kde se hovoří o „</w:t>
      </w:r>
      <w:r w:rsidRPr="002F5C4E">
        <w:rPr>
          <w:i/>
          <w:sz w:val="22"/>
          <w:vertAlign w:val="baseline"/>
        </w:rPr>
        <w:t>samostatných částech díla</w:t>
      </w:r>
      <w:r w:rsidRPr="002F5C4E">
        <w:rPr>
          <w:sz w:val="22"/>
          <w:vertAlign w:val="baseline"/>
        </w:rPr>
        <w:t>“ má se tím namysli též „</w:t>
      </w:r>
      <w:r w:rsidRPr="002F5C4E">
        <w:rPr>
          <w:i/>
          <w:sz w:val="22"/>
          <w:vertAlign w:val="baseline"/>
        </w:rPr>
        <w:t>samostatná část díla</w:t>
      </w:r>
      <w:r>
        <w:rPr>
          <w:sz w:val="22"/>
          <w:vertAlign w:val="baseline"/>
        </w:rPr>
        <w:t>“ a naopak.</w:t>
      </w:r>
    </w:p>
    <w:p w14:paraId="3266602C" w14:textId="77777777" w:rsidR="003363FE" w:rsidRPr="005E6413" w:rsidRDefault="003363FE" w:rsidP="003363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5E641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IV. Závěrečná ustanovení</w:t>
      </w:r>
    </w:p>
    <w:p w14:paraId="1C844CCE" w14:textId="77777777" w:rsidR="003363FE" w:rsidRPr="005E6413" w:rsidRDefault="003363FE" w:rsidP="00BF5B73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t xml:space="preserve">Otázky výslovně tímto Dodatkem ke Smlouvě o dílo č. INV 799/2016 ze dne 20. 02. 2017 </w:t>
      </w: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br/>
        <w:t>ve znění pozdějších dodatků neupravené se řídí českým právním řádem, zejména ustanoveními občanského zákoníku.</w:t>
      </w:r>
    </w:p>
    <w:p w14:paraId="1A8345FE" w14:textId="77777777" w:rsidR="003363FE" w:rsidRPr="005E6413" w:rsidRDefault="003363FE" w:rsidP="00BF5B73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t xml:space="preserve">Tento Dodatek je vyhotoven ve 4 vyhotoveních, z nichž objednatel obdrží 2 vyhotovení </w:t>
      </w: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a zhotovitel rovněž 2 vyhotovení. </w:t>
      </w:r>
    </w:p>
    <w:p w14:paraId="3920DBDE" w14:textId="77777777" w:rsidR="003363FE" w:rsidRPr="005E6413" w:rsidRDefault="003363FE" w:rsidP="00BF5B73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t>Tento Dodatek nabývá platnosti dnem jeho podpisu smluvními stranami a účinnosti dnem jeho uveřejnění v registru smluv dle zákona č. 340/2015 Sb.</w:t>
      </w:r>
    </w:p>
    <w:p w14:paraId="3C9FAF23" w14:textId="77777777" w:rsidR="003363FE" w:rsidRPr="005E6413" w:rsidRDefault="003363FE" w:rsidP="00BF5B73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550EA33C" w14:textId="77777777" w:rsidR="003363FE" w:rsidRPr="005E6413" w:rsidRDefault="003363FE" w:rsidP="00BF5B73">
      <w:pPr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E6413">
        <w:rPr>
          <w:rFonts w:ascii="Times New Roman" w:eastAsia="Times New Roman" w:hAnsi="Times New Roman" w:cs="Times New Roman"/>
          <w:color w:val="000000"/>
          <w:lang w:eastAsia="cs-CZ"/>
        </w:rPr>
        <w:t>Ostatní ustanovení a přílohy Smlouvy tímto Dodatkem nezměněné zůstávají v platnosti.</w:t>
      </w:r>
    </w:p>
    <w:p w14:paraId="2D99269D" w14:textId="77777777" w:rsidR="003363FE" w:rsidRDefault="003363FE" w:rsidP="00BF5B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676B2B80" w14:textId="77777777" w:rsidR="001517C9" w:rsidRDefault="001517C9" w:rsidP="0028079A">
      <w:pPr>
        <w:widowControl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Nedílnou součástí této Smlouvy jsou tyto přílohy:</w:t>
      </w:r>
    </w:p>
    <w:p w14:paraId="21571DAC" w14:textId="10BE5AE9" w:rsidR="001517C9" w:rsidRDefault="0028079A" w:rsidP="002807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C5740">
        <w:rPr>
          <w:rFonts w:ascii="Times New Roman" w:eastAsia="Times New Roman" w:hAnsi="Times New Roman" w:cs="Times New Roman"/>
          <w:color w:val="000000"/>
          <w:lang w:eastAsia="cs-CZ"/>
        </w:rPr>
        <w:t xml:space="preserve">Příloha A - Příloha č. 38 – Změnové listy </w:t>
      </w:r>
      <w:r w:rsidR="006C5740" w:rsidRPr="006C5740">
        <w:rPr>
          <w:rFonts w:ascii="Times New Roman" w:eastAsia="Times New Roman" w:hAnsi="Times New Roman" w:cs="Times New Roman"/>
          <w:color w:val="000000"/>
          <w:lang w:eastAsia="cs-CZ"/>
        </w:rPr>
        <w:t>ZL 129b, ZL 191, ZL 216, ZL 221a, ZL 233, ZL 246a, ZL 259b, ZL 263a, ZL 263b, ZL 273, ZL 300 a ZL 301</w:t>
      </w:r>
    </w:p>
    <w:p w14:paraId="0465F2D9" w14:textId="77777777" w:rsidR="00BF5B73" w:rsidRPr="006C5740" w:rsidRDefault="00BF5B73" w:rsidP="002807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03EDA66" w14:textId="338A5EBB" w:rsidR="0028079A" w:rsidRPr="006C5740" w:rsidRDefault="0028079A" w:rsidP="002807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C5740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0C2D56" w:rsidRPr="006C5740">
        <w:rPr>
          <w:rFonts w:ascii="Times New Roman" w:eastAsia="Times New Roman" w:hAnsi="Times New Roman" w:cs="Times New Roman"/>
          <w:color w:val="000000"/>
          <w:lang w:eastAsia="cs-CZ"/>
        </w:rPr>
        <w:t>říloha B – Příloha č. 39 - Plán</w:t>
      </w:r>
      <w:r w:rsidRPr="006C5740">
        <w:rPr>
          <w:rFonts w:ascii="Times New Roman" w:eastAsia="Times New Roman" w:hAnsi="Times New Roman" w:cs="Times New Roman"/>
          <w:color w:val="000000"/>
          <w:lang w:eastAsia="cs-CZ"/>
        </w:rPr>
        <w:t xml:space="preserve"> zkoušek, představení a akcí ve Státní opeře v období </w:t>
      </w:r>
      <w:proofErr w:type="gramStart"/>
      <w:r w:rsidR="00653E06">
        <w:rPr>
          <w:rFonts w:ascii="Times New Roman" w:eastAsia="Times New Roman" w:hAnsi="Times New Roman" w:cs="Times New Roman"/>
          <w:color w:val="000000"/>
          <w:lang w:eastAsia="cs-CZ"/>
        </w:rPr>
        <w:t>16</w:t>
      </w:r>
      <w:r w:rsidRPr="006C5740">
        <w:rPr>
          <w:rFonts w:ascii="Times New Roman" w:eastAsia="Times New Roman" w:hAnsi="Times New Roman" w:cs="Times New Roman"/>
          <w:color w:val="000000"/>
          <w:lang w:eastAsia="cs-CZ"/>
        </w:rPr>
        <w:t>.12.2019</w:t>
      </w:r>
      <w:proofErr w:type="gramEnd"/>
      <w:r w:rsidR="00BF5B7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6C5740">
        <w:rPr>
          <w:rFonts w:ascii="Times New Roman" w:eastAsia="Times New Roman" w:hAnsi="Times New Roman" w:cs="Times New Roman"/>
          <w:color w:val="000000"/>
          <w:lang w:eastAsia="cs-CZ"/>
        </w:rPr>
        <w:t>–31.05.2020</w:t>
      </w:r>
    </w:p>
    <w:p w14:paraId="7BFFF346" w14:textId="77777777" w:rsidR="0028079A" w:rsidRDefault="0028079A" w:rsidP="0028079A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09"/>
        <w:gridCol w:w="388"/>
        <w:gridCol w:w="4134"/>
      </w:tblGrid>
      <w:tr w:rsidR="003363FE" w:rsidRPr="005E6413" w14:paraId="131AD52C" w14:textId="77777777" w:rsidTr="00E81EF2">
        <w:trPr>
          <w:jc w:val="center"/>
        </w:trPr>
        <w:tc>
          <w:tcPr>
            <w:tcW w:w="2470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261A0CDA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V Praze dne:</w:t>
            </w: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06BD7F8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54491797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V Praze dne:</w:t>
            </w:r>
          </w:p>
        </w:tc>
      </w:tr>
      <w:tr w:rsidR="003363FE" w:rsidRPr="005E6413" w14:paraId="16117F70" w14:textId="77777777" w:rsidTr="00E81EF2">
        <w:trPr>
          <w:jc w:val="center"/>
        </w:trPr>
        <w:tc>
          <w:tcPr>
            <w:tcW w:w="2470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770C03F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Za zhotovitele:</w:t>
            </w: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B8BDA67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0F4646A9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Za objednatele:</w:t>
            </w:r>
          </w:p>
        </w:tc>
      </w:tr>
      <w:tr w:rsidR="003363FE" w:rsidRPr="005E6413" w14:paraId="568CA49F" w14:textId="77777777" w:rsidTr="00E81EF2">
        <w:trPr>
          <w:trHeight w:val="1257"/>
          <w:jc w:val="center"/>
        </w:trPr>
        <w:tc>
          <w:tcPr>
            <w:tcW w:w="247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852AE73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HOCHTIEF CZ a. s.</w:t>
            </w:r>
          </w:p>
          <w:p w14:paraId="56FB458C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0A7E88D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49110C9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C3DC544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8C58344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C499F13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Národní divadlo</w:t>
            </w:r>
          </w:p>
          <w:p w14:paraId="7F68476F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5E895B9E" w14:textId="77777777" w:rsidR="003363FE" w:rsidRPr="005E6413" w:rsidRDefault="003363FE" w:rsidP="00E81EF2">
            <w:pPr>
              <w:widowControl w:val="0"/>
              <w:spacing w:beforeLines="100" w:before="240"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363FE" w:rsidRPr="005E6413" w14:paraId="7051E837" w14:textId="77777777" w:rsidTr="00E81EF2">
        <w:trPr>
          <w:jc w:val="center"/>
        </w:trPr>
        <w:tc>
          <w:tcPr>
            <w:tcW w:w="247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6C945B00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Ing. Tomáš Koranda</w:t>
            </w: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1273F6C7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5CEF9CD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 xml:space="preserve">prof. </w:t>
            </w:r>
            <w:proofErr w:type="spellStart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MgA</w:t>
            </w:r>
            <w:proofErr w:type="spellEnd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. Jan Burian</w:t>
            </w:r>
            <w:r w:rsidRPr="005E6413">
              <w:rPr>
                <w:rFonts w:ascii="Times New Roman" w:eastAsia="Times New Roman" w:hAnsi="Times New Roman" w:cs="Times New Roman"/>
                <w:i/>
                <w:shd w:val="clear" w:color="auto" w:fill="FFFF00"/>
                <w:lang w:eastAsia="cs-CZ"/>
              </w:rPr>
              <w:t xml:space="preserve"> </w:t>
            </w:r>
          </w:p>
        </w:tc>
      </w:tr>
      <w:tr w:rsidR="003363FE" w:rsidRPr="005E6413" w14:paraId="15C6BEC5" w14:textId="77777777" w:rsidTr="00E81EF2">
        <w:trPr>
          <w:trHeight w:val="60"/>
          <w:jc w:val="center"/>
        </w:trPr>
        <w:tc>
          <w:tcPr>
            <w:tcW w:w="2470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1466F68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předseda představenstva</w:t>
            </w: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562CB223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0BBABBE4" w14:textId="77777777" w:rsidR="003363FE" w:rsidRPr="005E6413" w:rsidRDefault="003363FE" w:rsidP="00E81EF2">
            <w:pPr>
              <w:widowControl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ředitel</w:t>
            </w:r>
          </w:p>
        </w:tc>
      </w:tr>
      <w:tr w:rsidR="003363FE" w:rsidRPr="005E6413" w14:paraId="7F1917CA" w14:textId="77777777" w:rsidTr="00E81EF2">
        <w:trPr>
          <w:trHeight w:val="60"/>
          <w:jc w:val="center"/>
        </w:trPr>
        <w:tc>
          <w:tcPr>
            <w:tcW w:w="2470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491541A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56541654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2E966C9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363FE" w:rsidRPr="005E6413" w14:paraId="2A965342" w14:textId="77777777" w:rsidTr="00E81EF2">
        <w:trPr>
          <w:trHeight w:val="597"/>
          <w:jc w:val="center"/>
        </w:trPr>
        <w:tc>
          <w:tcPr>
            <w:tcW w:w="247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0B29A72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5EDBB6D8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E02557C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363FE" w:rsidRPr="005E6413" w14:paraId="567260F2" w14:textId="77777777" w:rsidTr="00E81EF2">
        <w:trPr>
          <w:trHeight w:val="60"/>
          <w:jc w:val="center"/>
        </w:trPr>
        <w:tc>
          <w:tcPr>
            <w:tcW w:w="247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6404E351" w14:textId="77777777" w:rsidR="003363FE" w:rsidRPr="005E6413" w:rsidRDefault="003363FE" w:rsidP="00E81EF2">
            <w:pPr>
              <w:widowControl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Jörg</w:t>
            </w:r>
            <w:proofErr w:type="spellEnd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Mathew</w:t>
            </w:r>
            <w:proofErr w:type="spellEnd"/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2A917A30" w14:textId="77777777" w:rsidR="003363FE" w:rsidRPr="005E6413" w:rsidRDefault="003363FE" w:rsidP="00E81EF2">
            <w:pPr>
              <w:widowControl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cs-CZ"/>
              </w:rPr>
            </w:pPr>
            <w:r w:rsidRPr="005E6413">
              <w:rPr>
                <w:rFonts w:ascii="Times New Roman" w:eastAsia="Times New Roman" w:hAnsi="Times New Roman" w:cs="Times New Roman"/>
                <w:lang w:eastAsia="cs-CZ"/>
              </w:rPr>
              <w:t>člen představenstva</w:t>
            </w:r>
          </w:p>
        </w:tc>
        <w:tc>
          <w:tcPr>
            <w:tcW w:w="214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A093C29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31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3F55B7A1" w14:textId="77777777" w:rsidR="003363FE" w:rsidRPr="005E6413" w:rsidRDefault="003363FE" w:rsidP="00E81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392D2D91" w14:textId="77777777" w:rsidR="00C25586" w:rsidRDefault="00C25586" w:rsidP="00653E06">
      <w:pPr>
        <w:widowControl w:val="0"/>
        <w:jc w:val="both"/>
      </w:pPr>
    </w:p>
    <w:sectPr w:rsidR="00C25586" w:rsidSect="000C2D56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CC7"/>
    <w:multiLevelType w:val="hybridMultilevel"/>
    <w:tmpl w:val="CEF882FA"/>
    <w:lvl w:ilvl="0" w:tplc="41F2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D7BC2"/>
    <w:multiLevelType w:val="multilevel"/>
    <w:tmpl w:val="D93C635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5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1A0042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479F3"/>
    <w:multiLevelType w:val="hybridMultilevel"/>
    <w:tmpl w:val="D2C0B844"/>
    <w:lvl w:ilvl="0" w:tplc="42DA1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200AC3"/>
    <w:multiLevelType w:val="hybridMultilevel"/>
    <w:tmpl w:val="6C58E23C"/>
    <w:lvl w:ilvl="0" w:tplc="C840F3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6480F"/>
    <w:multiLevelType w:val="hybridMultilevel"/>
    <w:tmpl w:val="B64650C2"/>
    <w:lvl w:ilvl="0" w:tplc="26004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0C7823"/>
    <w:multiLevelType w:val="hybridMultilevel"/>
    <w:tmpl w:val="73225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6CEF"/>
    <w:multiLevelType w:val="hybridMultilevel"/>
    <w:tmpl w:val="424A8C26"/>
    <w:lvl w:ilvl="0" w:tplc="D8C47A2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D8C47A2C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E"/>
    <w:rsid w:val="00015AB2"/>
    <w:rsid w:val="000758F7"/>
    <w:rsid w:val="00096694"/>
    <w:rsid w:val="000C2D56"/>
    <w:rsid w:val="000E4829"/>
    <w:rsid w:val="00125942"/>
    <w:rsid w:val="0013033C"/>
    <w:rsid w:val="001517C9"/>
    <w:rsid w:val="0028079A"/>
    <w:rsid w:val="002D419B"/>
    <w:rsid w:val="003035E6"/>
    <w:rsid w:val="003363FE"/>
    <w:rsid w:val="0051750E"/>
    <w:rsid w:val="005270BD"/>
    <w:rsid w:val="00530713"/>
    <w:rsid w:val="0055717B"/>
    <w:rsid w:val="005E6F0A"/>
    <w:rsid w:val="00600DC6"/>
    <w:rsid w:val="00653E06"/>
    <w:rsid w:val="00680B15"/>
    <w:rsid w:val="006B5A57"/>
    <w:rsid w:val="006C5740"/>
    <w:rsid w:val="00771409"/>
    <w:rsid w:val="00786C64"/>
    <w:rsid w:val="008326F3"/>
    <w:rsid w:val="008F10D9"/>
    <w:rsid w:val="00914CF9"/>
    <w:rsid w:val="00954DE6"/>
    <w:rsid w:val="009C79BA"/>
    <w:rsid w:val="009F0022"/>
    <w:rsid w:val="00A7436E"/>
    <w:rsid w:val="00B525EE"/>
    <w:rsid w:val="00B8220B"/>
    <w:rsid w:val="00BF5B73"/>
    <w:rsid w:val="00C25586"/>
    <w:rsid w:val="00D253FF"/>
    <w:rsid w:val="00E05C59"/>
    <w:rsid w:val="00E70B03"/>
    <w:rsid w:val="00F2616C"/>
    <w:rsid w:val="00F332B3"/>
    <w:rsid w:val="00F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483B"/>
  <w15:docId w15:val="{E3DF89B8-B07C-49BD-88D6-20FBCF2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5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8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8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8F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25942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5942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 David</dc:creator>
  <cp:lastModifiedBy>Růžičková Dagmar</cp:lastModifiedBy>
  <cp:revision>3</cp:revision>
  <cp:lastPrinted>2019-12-06T10:49:00Z</cp:lastPrinted>
  <dcterms:created xsi:type="dcterms:W3CDTF">2019-12-12T15:24:00Z</dcterms:created>
  <dcterms:modified xsi:type="dcterms:W3CDTF">2019-12-12T15:25:00Z</dcterms:modified>
</cp:coreProperties>
</file>