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3E79" w:rsidRDefault="001B3E79">
      <w:pPr>
        <w:jc w:val="center"/>
      </w:pPr>
    </w:p>
    <w:p w:rsidR="00B255D5" w:rsidRDefault="0087355B">
      <w:pPr>
        <w:pStyle w:val="Nadpis1"/>
        <w:jc w:val="center"/>
        <w:rPr>
          <w:rFonts w:cs="Arial"/>
          <w:color w:val="000000"/>
          <w:sz w:val="24"/>
          <w:szCs w:val="20"/>
          <w:u w:val="single"/>
          <w:lang w:eastAsia="cs-CZ"/>
        </w:rPr>
      </w:pPr>
      <w:r w:rsidRPr="0087355B">
        <w:t>206_Ve_ERDF_Stabilizovaný laser HE-NE (FM_152)</w:t>
      </w:r>
    </w:p>
    <w:p w:rsidR="00B255D5" w:rsidRDefault="00204F8A">
      <w:pPr>
        <w:pStyle w:val="Nadpis7"/>
        <w:keepLines w:val="0"/>
        <w:spacing w:before="600" w:after="240"/>
        <w:rPr>
          <w:rFonts w:cs="Arial"/>
          <w:i w:val="0"/>
          <w:iCs w:val="0"/>
          <w:color w:val="000000"/>
          <w:lang w:eastAsia="cs-CZ"/>
        </w:rPr>
      </w:pPr>
      <w:r>
        <w:rPr>
          <w:rFonts w:ascii="Arial" w:hAnsi="Arial" w:cs="Arial"/>
          <w:b/>
          <w:i w:val="0"/>
          <w:iCs w:val="0"/>
          <w:color w:val="000000"/>
          <w:szCs w:val="20"/>
          <w:u w:val="single"/>
          <w:lang w:eastAsia="cs-CZ"/>
        </w:rPr>
        <w:t>Technické parametry</w:t>
      </w:r>
      <w:bookmarkStart w:id="0" w:name="_GoBack"/>
      <w:bookmarkEnd w:id="0"/>
      <w:r w:rsidR="00B255D5">
        <w:rPr>
          <w:rFonts w:ascii="Arial" w:hAnsi="Arial" w:cs="Arial"/>
          <w:b/>
          <w:i w:val="0"/>
          <w:iCs w:val="0"/>
          <w:color w:val="000000"/>
          <w:szCs w:val="20"/>
          <w:u w:val="single"/>
          <w:lang w:eastAsia="cs-CZ"/>
        </w:rPr>
        <w:t>:</w:t>
      </w:r>
    </w:p>
    <w:p w:rsidR="00F26B47" w:rsidRDefault="00B255D5" w:rsidP="0087355B">
      <w:pPr>
        <w:pStyle w:val="Zkladntextodsazen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eastAsia="cs-CZ"/>
        </w:rPr>
        <w:t>Půjde o</w:t>
      </w:r>
      <w:r w:rsidR="00C2267A" w:rsidRPr="0087355B">
        <w:rPr>
          <w:color w:val="000000"/>
          <w:sz w:val="24"/>
          <w:szCs w:val="24"/>
          <w:lang w:val="cs-CZ" w:eastAsia="cs-CZ"/>
        </w:rPr>
        <w:t xml:space="preserve"> </w:t>
      </w:r>
      <w:r w:rsidR="0087355B">
        <w:rPr>
          <w:color w:val="000000"/>
          <w:sz w:val="24"/>
          <w:szCs w:val="24"/>
          <w:lang w:val="cs-CZ" w:eastAsia="cs-CZ"/>
        </w:rPr>
        <w:t xml:space="preserve">dodávku stabilizovaného laseru GLK3250 TS </w:t>
      </w:r>
      <w:r w:rsidR="00C81495" w:rsidRPr="00C81495">
        <w:rPr>
          <w:color w:val="000000"/>
          <w:sz w:val="24"/>
          <w:szCs w:val="24"/>
          <w:lang w:val="cs-CZ" w:eastAsia="cs-CZ"/>
        </w:rPr>
        <w:t>včetně zdroje</w:t>
      </w:r>
      <w:r w:rsidR="0087355B">
        <w:rPr>
          <w:color w:val="000000"/>
          <w:sz w:val="24"/>
          <w:szCs w:val="24"/>
          <w:lang w:val="cs-CZ" w:eastAsia="cs-CZ"/>
        </w:rPr>
        <w:t xml:space="preserve"> a</w:t>
      </w:r>
      <w:r w:rsidR="00C81495" w:rsidRPr="00C81495">
        <w:rPr>
          <w:color w:val="000000"/>
          <w:sz w:val="24"/>
          <w:szCs w:val="24"/>
          <w:lang w:val="cs-CZ" w:eastAsia="cs-CZ"/>
        </w:rPr>
        <w:t xml:space="preserve"> řídicí jednotky</w:t>
      </w:r>
      <w:r w:rsidR="0087355B">
        <w:rPr>
          <w:color w:val="000000"/>
          <w:sz w:val="24"/>
          <w:szCs w:val="24"/>
          <w:lang w:val="cs-CZ" w:eastAsia="cs-CZ"/>
        </w:rPr>
        <w:t xml:space="preserve">, od dodavatele, firmy </w:t>
      </w:r>
      <w:proofErr w:type="spellStart"/>
      <w:r w:rsidR="0087355B">
        <w:rPr>
          <w:color w:val="000000"/>
          <w:sz w:val="24"/>
          <w:szCs w:val="24"/>
          <w:lang w:val="cs-CZ" w:eastAsia="cs-CZ"/>
        </w:rPr>
        <w:t>Lasos</w:t>
      </w:r>
      <w:proofErr w:type="spellEnd"/>
      <w:r w:rsidR="0087355B">
        <w:rPr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87355B">
        <w:rPr>
          <w:color w:val="000000"/>
          <w:sz w:val="24"/>
          <w:szCs w:val="24"/>
          <w:lang w:val="cs-CZ" w:eastAsia="cs-CZ"/>
        </w:rPr>
        <w:t>Lasertechnik</w:t>
      </w:r>
      <w:proofErr w:type="spellEnd"/>
      <w:r w:rsidR="0087355B">
        <w:rPr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87355B">
        <w:rPr>
          <w:color w:val="000000"/>
          <w:sz w:val="24"/>
          <w:szCs w:val="24"/>
          <w:lang w:val="cs-CZ" w:eastAsia="cs-CZ"/>
        </w:rPr>
        <w:t>GmbH</w:t>
      </w:r>
      <w:proofErr w:type="spellEnd"/>
      <w:r w:rsidR="0087355B">
        <w:rPr>
          <w:color w:val="000000"/>
          <w:sz w:val="24"/>
          <w:szCs w:val="24"/>
          <w:lang w:val="cs-CZ" w:eastAsia="cs-CZ"/>
        </w:rPr>
        <w:t>.</w:t>
      </w:r>
    </w:p>
    <w:p w:rsidR="0087355B" w:rsidRDefault="0087355B" w:rsidP="0087355B">
      <w:pPr>
        <w:pStyle w:val="Zkladntextodsazen"/>
        <w:rPr>
          <w:color w:val="000000"/>
          <w:sz w:val="24"/>
          <w:szCs w:val="24"/>
          <w:lang w:val="cs-CZ" w:eastAsia="cs-CZ"/>
        </w:rPr>
      </w:pPr>
      <w:r w:rsidRPr="0087355B">
        <w:rPr>
          <w:color w:val="000000"/>
          <w:sz w:val="24"/>
          <w:szCs w:val="24"/>
          <w:lang w:val="cs-CZ" w:eastAsia="cs-CZ"/>
        </w:rPr>
        <w:t xml:space="preserve">Nabízený laser zajistí splnění všech požadovaných minimálních parametrů a bude mít </w:t>
      </w:r>
      <w:r>
        <w:rPr>
          <w:color w:val="000000"/>
          <w:sz w:val="24"/>
          <w:szCs w:val="24"/>
          <w:lang w:val="cs-CZ" w:eastAsia="cs-CZ"/>
        </w:rPr>
        <w:t xml:space="preserve">tyto </w:t>
      </w:r>
      <w:r w:rsidRPr="0087355B">
        <w:rPr>
          <w:color w:val="000000"/>
          <w:sz w:val="24"/>
          <w:szCs w:val="24"/>
          <w:lang w:val="cs-CZ" w:eastAsia="cs-CZ"/>
        </w:rPr>
        <w:t>technické specifikace</w:t>
      </w:r>
      <w:r>
        <w:rPr>
          <w:color w:val="000000"/>
          <w:sz w:val="24"/>
          <w:szCs w:val="24"/>
          <w:lang w:val="cs-CZ" w:eastAsia="cs-CZ"/>
        </w:rPr>
        <w:t>:</w:t>
      </w:r>
    </w:p>
    <w:p w:rsidR="009E6D9B" w:rsidRDefault="009E6D9B" w:rsidP="00C2267A">
      <w:pPr>
        <w:pStyle w:val="Zkladntextodsazen"/>
        <w:rPr>
          <w:sz w:val="24"/>
          <w:szCs w:val="24"/>
          <w:lang w:val="cs-CZ"/>
        </w:rPr>
      </w:pPr>
    </w:p>
    <w:tbl>
      <w:tblPr>
        <w:tblW w:w="954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2268"/>
        <w:gridCol w:w="2935"/>
      </w:tblGrid>
      <w:tr w:rsidR="00D0611E" w:rsidRPr="00DD4C52" w:rsidTr="00D0611E">
        <w:trPr>
          <w:trHeight w:val="630"/>
        </w:trPr>
        <w:tc>
          <w:tcPr>
            <w:tcW w:w="434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  <w:t>popis parametru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  <w:t>požadovaná hodnota</w:t>
            </w:r>
          </w:p>
        </w:tc>
        <w:tc>
          <w:tcPr>
            <w:tcW w:w="2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  <w:t>nabízená hodnota</w:t>
            </w:r>
          </w:p>
          <w:p w:rsidR="00D0611E" w:rsidRPr="00DD4C52" w:rsidRDefault="00D0611E" w:rsidP="00DD4C52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D0611E" w:rsidRPr="00DD4C52" w:rsidTr="00D0611E">
        <w:trPr>
          <w:trHeight w:val="330"/>
        </w:trPr>
        <w:tc>
          <w:tcPr>
            <w:tcW w:w="434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  <w:t>Stabilizovaný laser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 w:bidi="ar-SA"/>
              </w:rPr>
              <w:t>1 kus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0611E" w:rsidRPr="00ED1966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cs-CZ" w:bidi="ar-SA"/>
              </w:rPr>
            </w:pPr>
            <w:r w:rsidRPr="0087355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cs-CZ" w:bidi="ar-SA"/>
              </w:rPr>
              <w:t>1 kus, model GLK 3250 TS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Typ laseru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kontinuální,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jednomódový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kontinuální,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jednomódový</w:t>
            </w:r>
            <w:proofErr w:type="spellEnd"/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Vlnová délka (centrum spektrální čáry)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532±1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nm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532±0,5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nm</w:t>
            </w:r>
            <w:proofErr w:type="spellEnd"/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Stabilita vlnové délky (po zahřátí laseru, po dobu 8 hodin)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±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3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pm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±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3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pm</w:t>
            </w:r>
            <w:proofErr w:type="spellEnd"/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Šířka spektrální čáry (FWHM)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1,0 MHz</w:t>
            </w:r>
          </w:p>
        </w:tc>
        <w:tc>
          <w:tcPr>
            <w:tcW w:w="2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≤ 1,0 MHz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Výkon výstupního svazku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min 50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mW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≥ 50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mW</w:t>
            </w:r>
            <w:proofErr w:type="spellEnd"/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Dlouhodobá stabilita výkonu (po dobu 8 hodin a teploty ± 3°C)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lepší než ±2%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≤ ±2% 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Šum (30 Hz – 10 MHz) při maximálním výkonu (RMS)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0,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5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%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≤ 0,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5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%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Výstupní mód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TEM00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TEM00</w:t>
            </w:r>
          </w:p>
        </w:tc>
      </w:tr>
      <w:tr w:rsidR="00D0611E" w:rsidRPr="00DD4C52" w:rsidTr="00D0611E">
        <w:trPr>
          <w:trHeight w:val="37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Kvalita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výstulního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módu (M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  <w:lang w:eastAsia="cs-CZ" w:bidi="ar-SA"/>
              </w:rPr>
              <w:t>2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1,2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≤ 1,2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Divergence svazku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1,3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mrad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≤ 1,3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mrad</w:t>
            </w:r>
            <w:proofErr w:type="spellEnd"/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Kruhovitost svazku (poměr dlouhé a krátké osy průřezu svazku)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1,15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≤ 1,15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Výstupní polarizace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lineární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lineární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Poměr užitečné polarizace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min 100:1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≥ 200:1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Stabilita pozice svazku (po zahřátí laseru, po dobu 2 hodin a teploty ± 3°C)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6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μrad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/ °C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≤ 6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μrad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/ °C</w:t>
            </w:r>
          </w:p>
        </w:tc>
      </w:tr>
      <w:tr w:rsidR="00D0611E" w:rsidRPr="00DD4C52" w:rsidTr="00D0611E">
        <w:trPr>
          <w:trHeight w:val="630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Zahrnuje knihovny pro ovladače (či seznam příkazů pro standardní sériový port) pro uživatelem psaný software v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LabVIEW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ANO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Ano, součástí dodávky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Nejdelší rozměr laserové hlavy (šířka nebo výška nebo hloubka)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150 mm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100 mm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Doba zahřátí laseru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max</w:t>
            </w:r>
            <w:proofErr w:type="spellEnd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 15 min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&lt;10 minut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Zabezpečení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interlock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Ano, </w:t>
            </w:r>
            <w:proofErr w:type="spellStart"/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interlock</w:t>
            </w:r>
            <w:proofErr w:type="spellEnd"/>
          </w:p>
        </w:tc>
      </w:tr>
      <w:tr w:rsidR="00D0611E" w:rsidRPr="00DD4C52" w:rsidTr="00D0611E">
        <w:trPr>
          <w:trHeight w:val="630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 xml:space="preserve">Veškeré příslušenství nezbytné k trvalému provozu laseru za splnění všech </w:t>
            </w: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lastRenderedPageBreak/>
              <w:t>požadovaných parametrů je součástí dodávky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lastRenderedPageBreak/>
              <w:t>ANO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Ano, půjde o kompletní dodávku s veškerým nezbytným příslušenstvím</w:t>
            </w:r>
          </w:p>
        </w:tc>
      </w:tr>
      <w:tr w:rsidR="00D0611E" w:rsidRPr="00DD4C52" w:rsidTr="00D0611E">
        <w:trPr>
          <w:trHeight w:val="315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Záruční doba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min 12 měsíců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D4C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12 měsíců</w:t>
            </w:r>
          </w:p>
        </w:tc>
      </w:tr>
      <w:tr w:rsidR="00D0611E" w:rsidRPr="00DD4C52" w:rsidTr="00D0611E">
        <w:trPr>
          <w:trHeight w:val="330"/>
        </w:trPr>
        <w:tc>
          <w:tcPr>
            <w:tcW w:w="43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1E" w:rsidRPr="00DD4C52" w:rsidRDefault="00D0611E" w:rsidP="00D0611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Provozní doba pokrytá zárukou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0611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min 5000 hodin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611E" w:rsidRPr="00DD4C52" w:rsidRDefault="00D0611E" w:rsidP="00D0611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</w:pPr>
            <w:r w:rsidRPr="00DD4C52">
              <w:rPr>
                <w:rFonts w:ascii="Arial" w:eastAsia="Times New Roman" w:hAnsi="Arial" w:cs="Arial"/>
                <w:kern w:val="0"/>
                <w:sz w:val="22"/>
                <w:szCs w:val="22"/>
                <w:lang w:eastAsia="cs-CZ" w:bidi="ar-SA"/>
              </w:rPr>
              <w:t>5000 hodin</w:t>
            </w:r>
          </w:p>
        </w:tc>
      </w:tr>
    </w:tbl>
    <w:p w:rsidR="0021281C" w:rsidRDefault="0021281C" w:rsidP="0021281C">
      <w:pPr>
        <w:pStyle w:val="dka"/>
        <w:widowControl w:val="0"/>
      </w:pPr>
    </w:p>
    <w:p w:rsidR="00910444" w:rsidRPr="0021281C" w:rsidRDefault="00910444" w:rsidP="0021281C">
      <w:pPr>
        <w:pStyle w:val="dka"/>
        <w:widowControl w:val="0"/>
      </w:pPr>
    </w:p>
    <w:p w:rsidR="00B255D5" w:rsidRDefault="00B255D5">
      <w:pPr>
        <w:tabs>
          <w:tab w:val="left" w:pos="8080"/>
        </w:tabs>
        <w:rPr>
          <w:rFonts w:ascii="Arial" w:hAnsi="Arial" w:cs="Arial"/>
          <w:b/>
          <w:color w:val="000000"/>
          <w:szCs w:val="20"/>
          <w:u w:val="single"/>
          <w:lang w:eastAsia="cs-CZ"/>
        </w:rPr>
      </w:pPr>
      <w:r>
        <w:rPr>
          <w:rFonts w:ascii="Arial" w:hAnsi="Arial" w:cs="Arial"/>
        </w:rPr>
        <w:t>Další parametry a popis k laser</w:t>
      </w:r>
      <w:r w:rsidR="00ED1966">
        <w:rPr>
          <w:rFonts w:ascii="Arial" w:hAnsi="Arial" w:cs="Arial"/>
        </w:rPr>
        <w:t>ům</w:t>
      </w:r>
      <w:r>
        <w:rPr>
          <w:rFonts w:ascii="Arial" w:hAnsi="Arial" w:cs="Arial"/>
        </w:rPr>
        <w:t xml:space="preserve"> lze nalézt samostatně v datových listech v příloze. </w:t>
      </w:r>
      <w:r w:rsidR="00ED1966">
        <w:rPr>
          <w:rFonts w:ascii="Arial" w:hAnsi="Arial" w:cs="Arial"/>
        </w:rPr>
        <w:t>Jedná se o informativní datové listy, kde se uvedené parametry mohou nepatrně lišit. Garantované parametry jsou uvedeny v tabulce výše.</w:t>
      </w:r>
    </w:p>
    <w:p w:rsidR="00B255D5" w:rsidRDefault="00B255D5">
      <w:pPr>
        <w:spacing w:before="600" w:after="240"/>
        <w:ind w:left="851" w:hanging="851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b/>
          <w:color w:val="000000"/>
          <w:szCs w:val="20"/>
          <w:u w:val="single"/>
          <w:lang w:eastAsia="cs-CZ"/>
        </w:rPr>
        <w:t xml:space="preserve">Záruční </w:t>
      </w:r>
      <w:proofErr w:type="gramStart"/>
      <w:r>
        <w:rPr>
          <w:rFonts w:ascii="Arial" w:hAnsi="Arial" w:cs="Arial"/>
          <w:b/>
          <w:color w:val="000000"/>
          <w:szCs w:val="20"/>
          <w:u w:val="single"/>
          <w:lang w:eastAsia="cs-CZ"/>
        </w:rPr>
        <w:t>podmínky :</w:t>
      </w:r>
      <w:proofErr w:type="gramEnd"/>
    </w:p>
    <w:p w:rsidR="00B255D5" w:rsidRDefault="00B255D5">
      <w:pPr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Záruka na kompletní dodávku celé sestavy je </w:t>
      </w:r>
      <w:r w:rsidR="00ED1966">
        <w:rPr>
          <w:rFonts w:ascii="Arial" w:hAnsi="Arial" w:cs="Arial"/>
          <w:szCs w:val="20"/>
          <w:lang w:eastAsia="cs-CZ"/>
        </w:rPr>
        <w:t>12</w:t>
      </w:r>
      <w:r>
        <w:rPr>
          <w:rFonts w:ascii="Arial" w:hAnsi="Arial" w:cs="Arial"/>
          <w:szCs w:val="20"/>
          <w:lang w:eastAsia="cs-CZ"/>
        </w:rPr>
        <w:t xml:space="preserve"> měsíců</w:t>
      </w:r>
      <w:r w:rsidR="00ED1966">
        <w:rPr>
          <w:rFonts w:ascii="Arial" w:hAnsi="Arial" w:cs="Arial"/>
          <w:szCs w:val="20"/>
          <w:lang w:eastAsia="cs-CZ"/>
        </w:rPr>
        <w:t xml:space="preserve">, </w:t>
      </w:r>
      <w:r w:rsidR="00D0611E">
        <w:rPr>
          <w:rFonts w:ascii="Arial" w:hAnsi="Arial" w:cs="Arial"/>
          <w:szCs w:val="20"/>
          <w:lang w:eastAsia="cs-CZ"/>
        </w:rPr>
        <w:t>resp.</w:t>
      </w:r>
      <w:r w:rsidR="00ED1966">
        <w:rPr>
          <w:rFonts w:ascii="Arial" w:hAnsi="Arial" w:cs="Arial"/>
          <w:szCs w:val="20"/>
          <w:lang w:eastAsia="cs-CZ"/>
        </w:rPr>
        <w:t xml:space="preserve"> 5000 provozních hodin v rámci záruky 12 měsíců.</w:t>
      </w:r>
      <w:r>
        <w:rPr>
          <w:rFonts w:ascii="Arial" w:hAnsi="Arial" w:cs="Arial"/>
          <w:szCs w:val="20"/>
          <w:lang w:eastAsia="cs-CZ"/>
        </w:rPr>
        <w:t xml:space="preserve"> </w:t>
      </w:r>
    </w:p>
    <w:p w:rsidR="00B255D5" w:rsidRDefault="00B255D5">
      <w:pPr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Záruka začíná běžet od podepsání předávacího protokolu. </w:t>
      </w:r>
    </w:p>
    <w:p w:rsidR="00B255D5" w:rsidRDefault="00B255D5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:rsidR="00B255D5" w:rsidRDefault="00B255D5">
      <w:pPr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V případě záručního servisu bude odezva ze strany prodávajícího na oznámení závady maximálně do 48 hodin telefonicky či e-mailem nebo maximálně do 120 hodin návštěvou technika, zpravidla dříve. </w:t>
      </w:r>
    </w:p>
    <w:p w:rsidR="00B255D5" w:rsidRDefault="009268AF">
      <w:pPr>
        <w:rPr>
          <w:rFonts w:ascii="Arial" w:hAnsi="Arial" w:cs="Arial"/>
          <w:szCs w:val="20"/>
          <w:lang w:eastAsia="cs-CZ"/>
        </w:rPr>
      </w:pPr>
      <w:r w:rsidRPr="009268AF">
        <w:rPr>
          <w:rFonts w:ascii="Arial" w:hAnsi="Arial" w:cs="Arial"/>
          <w:szCs w:val="20"/>
          <w:lang w:eastAsia="cs-CZ"/>
        </w:rPr>
        <w:t xml:space="preserve">Odstranění závady bude provedeno v co nejkratším termínu, termín odstranění závady je vázán na případnou dodávku náhradního dílu. Běžně to bývá do </w:t>
      </w:r>
      <w:r w:rsidR="006C643B">
        <w:rPr>
          <w:rFonts w:ascii="Arial" w:hAnsi="Arial" w:cs="Arial"/>
          <w:szCs w:val="20"/>
          <w:lang w:eastAsia="cs-CZ"/>
        </w:rPr>
        <w:t>30 dnů,</w:t>
      </w:r>
      <w:r w:rsidRPr="009268AF">
        <w:rPr>
          <w:rFonts w:ascii="Arial" w:hAnsi="Arial" w:cs="Arial"/>
          <w:szCs w:val="20"/>
          <w:lang w:eastAsia="cs-CZ"/>
        </w:rPr>
        <w:t xml:space="preserve"> v případě potřeby dodávky specifického náhradního dílu či odesílání přístroje k výrobci </w:t>
      </w:r>
      <w:r w:rsidR="006C643B">
        <w:rPr>
          <w:rFonts w:ascii="Arial" w:hAnsi="Arial" w:cs="Arial"/>
          <w:szCs w:val="20"/>
          <w:lang w:eastAsia="cs-CZ"/>
        </w:rPr>
        <w:t>bude</w:t>
      </w:r>
      <w:r w:rsidR="00CE6667">
        <w:rPr>
          <w:rFonts w:ascii="Arial" w:hAnsi="Arial" w:cs="Arial"/>
          <w:szCs w:val="20"/>
          <w:lang w:eastAsia="cs-CZ"/>
        </w:rPr>
        <w:t xml:space="preserve"> termín záruční opravy </w:t>
      </w:r>
      <w:r w:rsidR="006C643B">
        <w:rPr>
          <w:rFonts w:ascii="Arial" w:hAnsi="Arial" w:cs="Arial"/>
          <w:szCs w:val="20"/>
          <w:lang w:eastAsia="cs-CZ"/>
        </w:rPr>
        <w:t>řešen</w:t>
      </w:r>
      <w:r w:rsidR="008300D7">
        <w:rPr>
          <w:rFonts w:ascii="Arial" w:hAnsi="Arial" w:cs="Arial"/>
          <w:szCs w:val="20"/>
          <w:lang w:eastAsia="cs-CZ"/>
        </w:rPr>
        <w:t xml:space="preserve"> vzájemnou domluvou.</w:t>
      </w:r>
    </w:p>
    <w:p w:rsidR="00B255D5" w:rsidRDefault="00B255D5">
      <w:pPr>
        <w:ind w:left="851" w:hanging="851"/>
        <w:rPr>
          <w:rFonts w:ascii="Arial" w:hAnsi="Arial" w:cs="Arial"/>
          <w:bCs/>
          <w:color w:val="000000"/>
          <w:szCs w:val="20"/>
          <w:lang w:eastAsia="cs-CZ"/>
        </w:rPr>
      </w:pPr>
    </w:p>
    <w:p w:rsidR="00B255D5" w:rsidRDefault="00B255D5">
      <w:pPr>
        <w:pStyle w:val="Nadpis3"/>
        <w:numPr>
          <w:ilvl w:val="0"/>
          <w:numId w:val="0"/>
        </w:numPr>
        <w:rPr>
          <w:rFonts w:cs="Arial"/>
          <w:b w:val="0"/>
          <w:bCs w:val="0"/>
          <w:sz w:val="24"/>
          <w:szCs w:val="24"/>
        </w:rPr>
      </w:pPr>
      <w:r>
        <w:rPr>
          <w:rFonts w:cs="Arial"/>
          <w:sz w:val="24"/>
          <w:szCs w:val="24"/>
        </w:rPr>
        <w:t>Čestné prohlášení:</w:t>
      </w:r>
    </w:p>
    <w:p w:rsidR="00B255D5" w:rsidRDefault="00B255D5">
      <w:pPr>
        <w:pStyle w:val="Zkladntext"/>
        <w:spacing w:before="200" w:after="0"/>
        <w:rPr>
          <w:rFonts w:ascii="Arial" w:hAnsi="Arial" w:cs="Arial"/>
        </w:rPr>
      </w:pPr>
      <w:r>
        <w:rPr>
          <w:rFonts w:ascii="Arial" w:hAnsi="Arial" w:cs="Arial"/>
        </w:rPr>
        <w:t>Čestně prohlašujeme, že naše nabídka splňuje všechny technické požadavky zadavatele. Nabízené zboží je nové a nepoužité.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1673" w:rsidRDefault="00DC1673">
      <w:pPr>
        <w:pStyle w:val="Zkladntext"/>
        <w:spacing w:before="200" w:after="0"/>
        <w:rPr>
          <w:rFonts w:ascii="Arial" w:hAnsi="Arial" w:cs="Arial"/>
        </w:rPr>
      </w:pPr>
    </w:p>
    <w:p w:rsidR="00B255D5" w:rsidRDefault="00B255D5">
      <w:pPr>
        <w:pStyle w:val="Zkladntext"/>
        <w:spacing w:before="200" w:after="0"/>
        <w:rPr>
          <w:rFonts w:ascii="Arial" w:hAnsi="Arial" w:cs="Arial"/>
        </w:rPr>
      </w:pPr>
      <w:r>
        <w:rPr>
          <w:rFonts w:ascii="Arial" w:hAnsi="Arial" w:cs="Arial"/>
        </w:rPr>
        <w:t xml:space="preserve">V  Praze dne </w:t>
      </w:r>
      <w:proofErr w:type="gramStart"/>
      <w:r w:rsidR="005D24BA">
        <w:rPr>
          <w:rFonts w:ascii="Arial" w:hAnsi="Arial" w:cs="Arial"/>
        </w:rPr>
        <w:t>06.12</w:t>
      </w:r>
      <w:r w:rsidR="002419F2">
        <w:rPr>
          <w:rFonts w:ascii="Arial" w:hAnsi="Arial" w:cs="Arial"/>
        </w:rPr>
        <w:t>.2019</w:t>
      </w:r>
      <w:proofErr w:type="gramEnd"/>
    </w:p>
    <w:p w:rsidR="00B255D5" w:rsidRDefault="00B255D5">
      <w:pPr>
        <w:pStyle w:val="Zkladntext"/>
        <w:spacing w:before="20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…....………….……….……….………………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975653">
        <w:rPr>
          <w:rFonts w:ascii="Arial" w:hAnsi="Arial" w:cs="Arial"/>
        </w:rPr>
        <w:t>xxx</w:t>
      </w:r>
    </w:p>
    <w:p w:rsidR="00B255D5" w:rsidRDefault="00B255D5">
      <w:pPr>
        <w:pStyle w:val="dka"/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Seznam příloh: </w:t>
      </w:r>
    </w:p>
    <w:p w:rsidR="00B255D5" w:rsidRDefault="00B255D5">
      <w:pPr>
        <w:pStyle w:val="dka"/>
        <w:widowControl w:val="0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Cenová nabídka</w:t>
      </w:r>
    </w:p>
    <w:p w:rsidR="00B255D5" w:rsidRDefault="00B255D5">
      <w:pPr>
        <w:pStyle w:val="dka"/>
        <w:widowControl w:val="0"/>
        <w:ind w:left="1632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Datové listy</w:t>
      </w:r>
    </w:p>
    <w:sectPr w:rsidR="00B25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134" w:bottom="19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B0" w:rsidRDefault="00EB28B0">
      <w:r>
        <w:separator/>
      </w:r>
    </w:p>
  </w:endnote>
  <w:endnote w:type="continuationSeparator" w:id="0">
    <w:p w:rsidR="00EB28B0" w:rsidRDefault="00EB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D7" w:rsidRDefault="003079D7">
    <w:pPr>
      <w:pStyle w:val="Zpat"/>
      <w:rPr>
        <w:rFonts w:ascii="Calibri" w:hAnsi="Calibri" w:cs="Calibri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04F8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 w:rsidR="00204F8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proofErr w:type="spellStart"/>
    <w:r>
      <w:rPr>
        <w:rFonts w:ascii="Calibri" w:hAnsi="Calibri" w:cs="Calibri"/>
        <w:b/>
        <w:bCs/>
      </w:rPr>
      <w:t>OptiXs</w:t>
    </w:r>
    <w:proofErr w:type="spellEnd"/>
    <w:r>
      <w:rPr>
        <w:rFonts w:ascii="Calibri" w:hAnsi="Calibri" w:cs="Calibri"/>
        <w:b/>
        <w:bCs/>
      </w:rPr>
      <w:t>, s.r.o.</w:t>
    </w:r>
  </w:p>
  <w:p w:rsidR="003079D7" w:rsidRDefault="003079D7">
    <w:pPr>
      <w:pStyle w:val="Zpat"/>
      <w:jc w:val="right"/>
    </w:pPr>
    <w:r>
      <w:rPr>
        <w:rFonts w:ascii="Calibri" w:hAnsi="Calibri" w:cs="Calibri"/>
        <w:sz w:val="20"/>
        <w:szCs w:val="20"/>
      </w:rPr>
      <w:t>IČ: 02 016 770, DIČ: CZ 02 016 770, Křivoklátská 37, CZ, 199 00 Praha 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D7" w:rsidRDefault="00307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B0" w:rsidRDefault="00EB28B0">
      <w:r>
        <w:separator/>
      </w:r>
    </w:p>
  </w:footnote>
  <w:footnote w:type="continuationSeparator" w:id="0">
    <w:p w:rsidR="00EB28B0" w:rsidRDefault="00EB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D7" w:rsidRDefault="00BA0364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-381635</wp:posOffset>
          </wp:positionV>
          <wp:extent cx="1210945" cy="53784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0" t="19934" b="19934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D7" w:rsidRDefault="003079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151C26"/>
    <w:multiLevelType w:val="hybridMultilevel"/>
    <w:tmpl w:val="29DE8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rYwNTc0tDQ3NjNT0lEKTi0uzszPAykwrQUAjBA3hiwAAAA="/>
  </w:docVars>
  <w:rsids>
    <w:rsidRoot w:val="0021281C"/>
    <w:rsid w:val="000323CF"/>
    <w:rsid w:val="000A61DC"/>
    <w:rsid w:val="00143F9F"/>
    <w:rsid w:val="00175386"/>
    <w:rsid w:val="001765C9"/>
    <w:rsid w:val="001907D2"/>
    <w:rsid w:val="001B3E79"/>
    <w:rsid w:val="00204F8A"/>
    <w:rsid w:val="0021178F"/>
    <w:rsid w:val="0021281C"/>
    <w:rsid w:val="002419F2"/>
    <w:rsid w:val="00246384"/>
    <w:rsid w:val="0027215E"/>
    <w:rsid w:val="002D6F54"/>
    <w:rsid w:val="003079D7"/>
    <w:rsid w:val="0035382D"/>
    <w:rsid w:val="00370B54"/>
    <w:rsid w:val="004068FA"/>
    <w:rsid w:val="004A6A9F"/>
    <w:rsid w:val="005D24BA"/>
    <w:rsid w:val="00603F02"/>
    <w:rsid w:val="006339DC"/>
    <w:rsid w:val="006C643B"/>
    <w:rsid w:val="00800969"/>
    <w:rsid w:val="008300D7"/>
    <w:rsid w:val="0084677B"/>
    <w:rsid w:val="0087355B"/>
    <w:rsid w:val="00910444"/>
    <w:rsid w:val="009268AF"/>
    <w:rsid w:val="00971E3D"/>
    <w:rsid w:val="00975653"/>
    <w:rsid w:val="009A3B0E"/>
    <w:rsid w:val="009A5F6B"/>
    <w:rsid w:val="009C3164"/>
    <w:rsid w:val="009D790A"/>
    <w:rsid w:val="009E6D9B"/>
    <w:rsid w:val="00A339F9"/>
    <w:rsid w:val="00A84508"/>
    <w:rsid w:val="00B255D5"/>
    <w:rsid w:val="00B32EBC"/>
    <w:rsid w:val="00B56E16"/>
    <w:rsid w:val="00B84EDB"/>
    <w:rsid w:val="00BA0364"/>
    <w:rsid w:val="00C15D8A"/>
    <w:rsid w:val="00C20438"/>
    <w:rsid w:val="00C2267A"/>
    <w:rsid w:val="00C81495"/>
    <w:rsid w:val="00CB6A28"/>
    <w:rsid w:val="00CC1631"/>
    <w:rsid w:val="00CD131E"/>
    <w:rsid w:val="00CE6667"/>
    <w:rsid w:val="00D0611E"/>
    <w:rsid w:val="00D62A18"/>
    <w:rsid w:val="00DB68BC"/>
    <w:rsid w:val="00DC1673"/>
    <w:rsid w:val="00DC4AAC"/>
    <w:rsid w:val="00DD4C52"/>
    <w:rsid w:val="00EB28B0"/>
    <w:rsid w:val="00ED1966"/>
    <w:rsid w:val="00F26B47"/>
    <w:rsid w:val="00F43B8E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92AC5F"/>
  <w15:chartTrackingRefBased/>
  <w15:docId w15:val="{C781F065-70EA-4B86-999C-26C7A41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" w:hAnsi="DejaVu Sans" w:cs="DejaVu Sans" w:hint="default"/>
      <w:sz w:val="22"/>
      <w:szCs w:val="22"/>
    </w:rPr>
  </w:style>
  <w:style w:type="character" w:customStyle="1" w:styleId="WW8Num3z0">
    <w:name w:val="WW8Num3z0"/>
    <w:rPr>
      <w:rFonts w:ascii="DejaVu Sans" w:hAnsi="DejaVu Sans" w:cs="DejaVu Sans"/>
    </w:rPr>
  </w:style>
  <w:style w:type="character" w:customStyle="1" w:styleId="WW8Num36z0">
    <w:name w:val="WW8Num36z0"/>
    <w:rPr>
      <w:rFonts w:ascii="DejaVu Sans" w:eastAsia="Times New Roman" w:hAnsi="DejaVu Sans" w:cs="DejaVu Sans" w:hint="default"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Calibri" w:hAnsi="Calibri" w:cs="Calibri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</w:style>
  <w:style w:type="paragraph" w:styleId="Zkladntextodsazen">
    <w:name w:val="Body Text Indent"/>
    <w:basedOn w:val="Normln"/>
    <w:rPr>
      <w:rFonts w:ascii="Arial" w:hAnsi="Arial" w:cs="Arial"/>
      <w:sz w:val="20"/>
      <w:szCs w:val="20"/>
      <w:lang w:val="x-none"/>
    </w:rPr>
  </w:style>
  <w:style w:type="paragraph" w:customStyle="1" w:styleId="dka">
    <w:name w:val="Řádka"/>
    <w:pPr>
      <w:suppressAutoHyphens/>
    </w:pPr>
    <w:rPr>
      <w:rFonts w:ascii="TimesE" w:hAnsi="TimesE" w:cs="TimesE"/>
      <w:color w:val="000000"/>
      <w:sz w:val="24"/>
      <w:lang w:eastAsia="zh-CN"/>
    </w:rPr>
  </w:style>
  <w:style w:type="character" w:styleId="Hypertextovodkaz">
    <w:name w:val="Hyperlink"/>
    <w:uiPriority w:val="99"/>
    <w:semiHidden/>
    <w:unhideWhenUsed/>
    <w:rsid w:val="00DD4C52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DD4C52"/>
    <w:rPr>
      <w:color w:val="954F72"/>
      <w:u w:val="single"/>
    </w:rPr>
  </w:style>
  <w:style w:type="paragraph" w:customStyle="1" w:styleId="msonormal0">
    <w:name w:val="msonormal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font5">
    <w:name w:val="font5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font6">
    <w:name w:val="font6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font7">
    <w:name w:val="font7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font8">
    <w:name w:val="font8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font9">
    <w:name w:val="font9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cs-CZ" w:bidi="ar-SA"/>
    </w:rPr>
  </w:style>
  <w:style w:type="paragraph" w:customStyle="1" w:styleId="xl65">
    <w:name w:val="xl65"/>
    <w:basedOn w:val="Normln"/>
    <w:rsid w:val="00DD4C5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66">
    <w:name w:val="xl66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xl67">
    <w:name w:val="xl67"/>
    <w:basedOn w:val="Normln"/>
    <w:rsid w:val="00DD4C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xl68">
    <w:name w:val="xl68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69">
    <w:name w:val="xl69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70">
    <w:name w:val="xl70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71">
    <w:name w:val="xl71"/>
    <w:basedOn w:val="Normln"/>
    <w:rsid w:val="00DD4C52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72">
    <w:name w:val="xl72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73">
    <w:name w:val="xl73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74">
    <w:name w:val="xl74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75">
    <w:name w:val="xl75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76">
    <w:name w:val="xl76"/>
    <w:basedOn w:val="Normln"/>
    <w:rsid w:val="00DD4C5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77">
    <w:name w:val="xl77"/>
    <w:basedOn w:val="Normln"/>
    <w:rsid w:val="00DD4C5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78">
    <w:name w:val="xl78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79">
    <w:name w:val="xl79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0">
    <w:name w:val="xl80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1">
    <w:name w:val="xl81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2">
    <w:name w:val="xl82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xl83">
    <w:name w:val="xl83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84">
    <w:name w:val="xl84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5">
    <w:name w:val="xl85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6">
    <w:name w:val="xl86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7">
    <w:name w:val="xl87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8">
    <w:name w:val="xl88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89">
    <w:name w:val="xl89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90">
    <w:name w:val="xl90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1">
    <w:name w:val="xl91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2">
    <w:name w:val="xl92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3">
    <w:name w:val="xl93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4">
    <w:name w:val="xl94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5">
    <w:name w:val="xl95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6">
    <w:name w:val="xl96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cs-CZ" w:bidi="ar-SA"/>
    </w:rPr>
  </w:style>
  <w:style w:type="paragraph" w:customStyle="1" w:styleId="xl97">
    <w:name w:val="xl97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8">
    <w:name w:val="xl98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99">
    <w:name w:val="xl99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0">
    <w:name w:val="xl100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101">
    <w:name w:val="xl101"/>
    <w:basedOn w:val="Normln"/>
    <w:rsid w:val="00DD4C5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2">
    <w:name w:val="xl102"/>
    <w:basedOn w:val="Normln"/>
    <w:rsid w:val="00DD4C52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3">
    <w:name w:val="xl103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4">
    <w:name w:val="xl104"/>
    <w:basedOn w:val="Normln"/>
    <w:rsid w:val="00DD4C5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5">
    <w:name w:val="xl105"/>
    <w:basedOn w:val="Normln"/>
    <w:rsid w:val="00DD4C5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6">
    <w:name w:val="xl106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07">
    <w:name w:val="xl107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108">
    <w:name w:val="xl108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109">
    <w:name w:val="xl109"/>
    <w:basedOn w:val="Normln"/>
    <w:rsid w:val="00DD4C5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cs-CZ" w:bidi="ar-SA"/>
    </w:rPr>
  </w:style>
  <w:style w:type="paragraph" w:customStyle="1" w:styleId="xl110">
    <w:name w:val="xl110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customStyle="1" w:styleId="xl111">
    <w:name w:val="xl111"/>
    <w:basedOn w:val="Normln"/>
    <w:rsid w:val="00DD4C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78F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178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8E7A-1821-43DF-AEFE-F9A39EAA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Eismann</dc:creator>
  <cp:keywords/>
  <dc:description/>
  <cp:lastModifiedBy>Marianna</cp:lastModifiedBy>
  <cp:revision>3</cp:revision>
  <cp:lastPrinted>2018-10-26T12:42:00Z</cp:lastPrinted>
  <dcterms:created xsi:type="dcterms:W3CDTF">2019-12-12T14:03:00Z</dcterms:created>
  <dcterms:modified xsi:type="dcterms:W3CDTF">2019-12-12T14:03:00Z</dcterms:modified>
</cp:coreProperties>
</file>