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smlouva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(§ 2079 a násl. zák. č. 89/2012 Sb., obč. zákoníku - dále jen „OZ“)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3175" distL="0" distR="0" simplePos="0" relativeHeight="125829378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0</wp:posOffset>
                </wp:positionV>
                <wp:extent cx="1456690" cy="17653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669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č. smlouvy prodávajícího: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1.049999999999997pt;margin-top:0;width:114.7pt;height:13.9pt;z-index:-125829375;mso-wrap-distance-left:0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č. smlouvy prodávajícího: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3891280</wp:posOffset>
                </wp:positionH>
                <wp:positionV relativeFrom="paragraph">
                  <wp:posOffset>0</wp:posOffset>
                </wp:positionV>
                <wp:extent cx="1286510" cy="17970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651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č. smlouvy kupujícího: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06.39999999999998pt;margin-top:0;width:101.3pt;height:14.15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č. smlouvy kupujícího: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100330" distL="0" distR="0" simplePos="0" relativeHeight="125829382" behindDoc="0" locked="0" layoutInCell="1" allowOverlap="1">
                <wp:simplePos x="0" y="0"/>
                <wp:positionH relativeFrom="page">
                  <wp:posOffset>5290185</wp:posOffset>
                </wp:positionH>
                <wp:positionV relativeFrom="paragraph">
                  <wp:posOffset>0</wp:posOffset>
                </wp:positionV>
                <wp:extent cx="1033145" cy="15557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314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16.55000000000001pt;margin-top:0;width:81.349999999999994pt;height:12.25pt;z-index:-125829371;mso-wrap-distance-left:0;mso-wrap-distance-right:0;mso-wrap-distance-bottom:7.9000000000000004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5570" distB="0" distL="0" distR="0" simplePos="0" relativeHeight="125829384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ragraph">
                  <wp:posOffset>115570</wp:posOffset>
                </wp:positionV>
                <wp:extent cx="1191895" cy="14033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9189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SMLOUVA REGISTROVÁNA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16.30000000000001pt;margin-top:9.0999999999999996pt;width:93.849999999999994pt;height:11.050000000000001pt;z-index:-125829369;mso-wrap-distance-left:0;mso-wrap-distance-top:9.0999999999999996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REGISTROVÁNA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20015" distB="0" distL="0" distR="0" simplePos="0" relativeHeight="125829386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120015</wp:posOffset>
                </wp:positionV>
                <wp:extent cx="2700655" cy="118872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00655" cy="11887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Prodávající: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Zemědělské obchodní družstvo v Herálci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Herálec č.p. 134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582 55 Herálec u Havlíčkova Brodu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00122335 DIČ: CZ00122335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Zastoupený: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86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předsedou představenstva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7.5pt;margin-top:9.4499999999999993pt;width:212.65000000000001pt;height:93.599999999999994pt;z-index:-125829367;mso-wrap-distance-left:0;mso-wrap-distance-top:9.4499999999999993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Prodávající: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Zemědělské obchodní družstvo v Herálci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Herálec č.p. 134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582 55 Herálec u Havlíčkova Brodu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00122335 DIČ: CZ00122335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86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předsedou představenstva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1600" distB="1036320" distL="0" distR="0" simplePos="0" relativeHeight="125829388" behindDoc="0" locked="0" layoutInCell="1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101600</wp:posOffset>
                </wp:positionV>
                <wp:extent cx="1033145" cy="17081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314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KUPUJÍCÍ: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11.19999999999999pt;margin-top:8.pt;width:81.349999999999994pt;height:13.449999999999999pt;z-index:-125829365;mso-wrap-distance-left:0;mso-wrap-distance-top:8.pt;mso-wrap-distance-right:0;mso-wrap-distance-bottom:81.59999999999999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KUPUJÍCÍ: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45110" distB="600075" distL="0" distR="0" simplePos="0" relativeHeight="125829390" behindDoc="0" locked="0" layoutInCell="1" allowOverlap="1">
                <wp:simplePos x="0" y="0"/>
                <wp:positionH relativeFrom="page">
                  <wp:posOffset>3945890</wp:posOffset>
                </wp:positionH>
                <wp:positionV relativeFrom="paragraph">
                  <wp:posOffset>245110</wp:posOffset>
                </wp:positionV>
                <wp:extent cx="2450465" cy="46355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50465" cy="4635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 příspěvková organizace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Kosovská 1122/16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10.69999999999999pt;margin-top:19.300000000000001pt;width:192.94999999999999pt;height:36.5pt;z-index:-125829363;mso-wrap-distance-left:0;mso-wrap-distance-top:19.300000000000001pt;mso-wrap-distance-right:0;mso-wrap-distance-bottom:47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 příspěvková organizace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Kosovská 1122/16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11200" distB="274320" distL="0" distR="0" simplePos="0" relativeHeight="125829392" behindDoc="0" locked="0" layoutInCell="1" allowOverlap="1">
                <wp:simplePos x="0" y="0"/>
                <wp:positionH relativeFrom="page">
                  <wp:posOffset>3945890</wp:posOffset>
                </wp:positionH>
                <wp:positionV relativeFrom="paragraph">
                  <wp:posOffset>711200</wp:posOffset>
                </wp:positionV>
                <wp:extent cx="2450465" cy="32321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50465" cy="323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58601 Jihlava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10.69999999999999pt;margin-top:56.pt;width:192.94999999999999pt;height:25.449999999999999pt;z-index:-125829361;mso-wrap-distance-left:0;mso-wrap-distance-top:56.pt;mso-wrap-distance-right:0;mso-wrap-distance-bottom:21.6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58601 Jihlava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6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16330" distB="18415" distL="0" distR="0" simplePos="0" relativeHeight="125829394" behindDoc="0" locked="0" layoutInCell="1" allowOverlap="1">
                <wp:simplePos x="0" y="0"/>
                <wp:positionH relativeFrom="page">
                  <wp:posOffset>3949065</wp:posOffset>
                </wp:positionH>
                <wp:positionV relativeFrom="paragraph">
                  <wp:posOffset>1116330</wp:posOffset>
                </wp:positionV>
                <wp:extent cx="2005330" cy="17399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0533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00090450 DIČ: CZ00090450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10.94999999999999pt;margin-top:87.900000000000006pt;width:157.90000000000001pt;height:13.699999999999999pt;z-index:-125829359;mso-wrap-distance-left:0;mso-wrap-distance-top:87.900000000000006pt;mso-wrap-distance-right:0;mso-wrap-distance-bottom:1.4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00090450 DIČ: CZ00090450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Ing. Radovanem Necidem, ředitelem organizace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 věcech technických: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73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koordinátorem MTZ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smlouvy: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prodej nafty motorové (dále také jako „zboží“)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Termín dodávky: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1.1.2020 do 31.12.2020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Místo plnění dodávky: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areál prodávajícího v Herálci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Kupní cena je stanovena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dle aktuálních kupních cen PHM v období platnosti smlouvy.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Platební podmínky: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64" w:lineRule="auto"/>
        <w:ind w:left="3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Množství PHM bude odvislé od skutečného odběru v daném období. Kupní cena bude uhrazena na základě vystavené faktury. Fakturace bude provedena vždy jednou za měsíc. V případě prodlení se kupující zavazuje zaplatit prodávajícímu smluvní pokutu ve výši 0,2% z fakturované kupní ceny za každý den prodleni. V případě prodlení s dodáním zboží, se prodávající zavazuje zaplatit kupujícímu smluvní pokutu ve výši 0,2 % za každý pracovní den prodlení z ceny zboží, s jejímž dodáním je v prodlení.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30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ceny dodávek bude prováděna bezhotovostně v CZK. Faktura bude obsahovat veškeré náležitosti daňového dokladu dle platných právních předpisů. Splatnost faktury je 30 dní od data jejího doručení.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66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Zboží přechází do vlastnictví kupujícího až po jeho zaplacení prodávajícímu.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3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ujednání: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66" w:lineRule="auto"/>
        <w:ind w:left="30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poskytuje kupujícímu záruku za jakost zboží. Obě smluvní strany se v případě reklamace zavazují sepsat reklamační zápis. Prodávající je povinen o reklamaci rozhodnout do 30 - ti dnů ode dne sepsání reklamačního zápisu.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je oprávněn uveřejnit celý obsah smlouvy, včetně identifikačních údajů prodávajícího.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3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je vyhotovena ve 2 stejnopisech. Každá smluvní strana obdrží vyhotovení (kupující 1 x, prodávající 1 x). Změny a dodatky lze činit pouze písemně s podpisy oprávněných osob. Tato smlouva nabývá platnosti dnem podpisu oběma smluvními stranami a účinnosti dnem uveřejnění v informačním systému veřejné správy- Registru smluv. Účastníci se dohodli, že zákonnou povinnost dle § 5 odst. 2 zákona č. 340/2015 Sb., v platném znění (zákon o registru smluv) splní kupující. Prodávající a kupující shodně prohlašují, že si smlouvy přečetli, že smlouva byla uzavřena jako projev svobodné vůle, bez nátlaku a oběma stranám jsou zřejmá jejich práva a povinnosti z této smlouvy vyplývající.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702" w:val="left"/>
          <w:tab w:pos="8566" w:val="left"/>
        </w:tabs>
        <w:bidi w:val="0"/>
        <w:spacing w:before="0" w:after="240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Herálci dne: ZJ //,</w:t>
        <w:tab/>
        <w:t>V Jihlavě</w:t>
        <w:tab/>
        <w:t>0 9. TZ. 2019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702" w:val="left"/>
        </w:tabs>
        <w:bidi w:val="0"/>
        <w:spacing w:before="0" w:after="0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prodávajícíhc</w:t>
        <w:tab/>
        <w:t>za kupujícího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1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570" w:val="left"/>
          <w:tab w:pos="6702" w:val="left"/>
        </w:tabs>
        <w:bidi w:val="0"/>
        <w:spacing w:before="0" w:after="240" w:line="286" w:lineRule="auto"/>
        <w:ind w:left="300" w:right="0" w:firstLine="6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 předseda představenstva</w:t>
        <w:tab/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?s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>ředitel</w:t>
      </w:r>
    </w:p>
    <w:sectPr>
      <w:footnotePr>
        <w:pos w:val="pageBottom"/>
        <w:numFmt w:val="decimal"/>
        <w:numRestart w:val="continuous"/>
      </w:footnotePr>
      <w:pgSz w:w="11900" w:h="16840"/>
      <w:pgMar w:top="291" w:left="1021" w:right="377" w:bottom="1613" w:header="0" w:footer="118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9">
    <w:name w:val="Základní text (4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/>
      <w:strike w:val="0"/>
      <w:sz w:val="52"/>
      <w:szCs w:val="52"/>
      <w:u w:val="none"/>
    </w:rPr>
  </w:style>
  <w:style w:type="character" w:customStyle="1" w:styleId="CharStyle11">
    <w:name w:val="Základní text (3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line="262" w:lineRule="auto"/>
      <w:ind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8">
    <w:name w:val="Základní text (4)"/>
    <w:basedOn w:val="Normal"/>
    <w:link w:val="CharStyle9"/>
    <w:pPr>
      <w:widowControl w:val="0"/>
      <w:shd w:val="clear" w:color="auto" w:fill="FFFFFF"/>
      <w:ind w:left="2200"/>
    </w:pPr>
    <w:rPr>
      <w:rFonts w:ascii="Arial" w:eastAsia="Arial" w:hAnsi="Arial" w:cs="Arial"/>
      <w:b w:val="0"/>
      <w:bCs w:val="0"/>
      <w:i w:val="0"/>
      <w:iCs w:val="0"/>
      <w:smallCaps/>
      <w:strike w:val="0"/>
      <w:sz w:val="52"/>
      <w:szCs w:val="52"/>
      <w:u w:val="none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FFFFFF"/>
      <w:spacing w:after="4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