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C0C5" w14:textId="63BF83D5" w:rsidR="00AC2BB2" w:rsidRPr="00E10DFE" w:rsidRDefault="00AC2BB2" w:rsidP="00AC2BB2">
      <w:pPr>
        <w:ind w:left="720"/>
        <w:jc w:val="center"/>
        <w:rPr>
          <w:rFonts w:cs="Arial"/>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E10DFE">
        <w:rPr>
          <w:rFonts w:cs="Arial"/>
          <w:b/>
          <w:szCs w:val="22"/>
        </w:rPr>
        <w:t xml:space="preserve">                                  </w:t>
      </w:r>
      <w:r w:rsidR="00FC1FFA" w:rsidRPr="00E10DFE">
        <w:rPr>
          <w:rFonts w:cs="Arial"/>
          <w:b/>
          <w:szCs w:val="22"/>
        </w:rPr>
        <w:t xml:space="preserve"> </w:t>
      </w:r>
      <w:r w:rsidRPr="00E10DFE">
        <w:rPr>
          <w:rFonts w:cs="Arial"/>
          <w:szCs w:val="22"/>
        </w:rPr>
        <w:t>ev. č.</w:t>
      </w:r>
      <w:r w:rsidR="00B04B1F" w:rsidRPr="00E10DFE">
        <w:rPr>
          <w:rFonts w:cs="Arial"/>
          <w:szCs w:val="22"/>
        </w:rPr>
        <w:t xml:space="preserve"> </w:t>
      </w:r>
      <w:r w:rsidR="00D26992">
        <w:rPr>
          <w:rFonts w:cs="Arial"/>
          <w:szCs w:val="22"/>
        </w:rPr>
        <w:t>598</w:t>
      </w:r>
      <w:r w:rsidR="00E330DA" w:rsidRPr="00E10DFE">
        <w:rPr>
          <w:rFonts w:cs="Arial"/>
          <w:szCs w:val="22"/>
        </w:rPr>
        <w:t>/1</w:t>
      </w:r>
      <w:r w:rsidR="00E10DFE" w:rsidRPr="00E10DFE">
        <w:rPr>
          <w:rFonts w:cs="Arial"/>
          <w:szCs w:val="22"/>
        </w:rPr>
        <w:t>9</w:t>
      </w:r>
      <w:r w:rsidR="00E330DA" w:rsidRPr="00E10DFE">
        <w:rPr>
          <w:rFonts w:cs="Arial"/>
          <w:szCs w:val="22"/>
        </w:rPr>
        <w:t>/</w:t>
      </w:r>
      <w:r w:rsidR="00E10DFE" w:rsidRPr="00E10DFE">
        <w:rPr>
          <w:rFonts w:cs="Arial"/>
          <w:szCs w:val="22"/>
        </w:rPr>
        <w:t>03</w:t>
      </w:r>
    </w:p>
    <w:p w14:paraId="4F2C4D4F" w14:textId="719EA3B1" w:rsidR="00FF67C2" w:rsidRPr="00E10DFE" w:rsidRDefault="00FF67C2" w:rsidP="004106FD">
      <w:pPr>
        <w:jc w:val="center"/>
        <w:rPr>
          <w:rFonts w:cs="Arial"/>
          <w:b/>
          <w:sz w:val="28"/>
          <w:szCs w:val="32"/>
        </w:rPr>
      </w:pPr>
      <w:r w:rsidRPr="00E10DFE">
        <w:rPr>
          <w:rFonts w:cs="Arial"/>
          <w:b/>
          <w:sz w:val="28"/>
          <w:szCs w:val="32"/>
        </w:rPr>
        <w:t>Dodatek č. 1</w:t>
      </w:r>
    </w:p>
    <w:p w14:paraId="2EEEE36A" w14:textId="61F592FF" w:rsidR="004106FD" w:rsidRPr="00E10DFE" w:rsidRDefault="00FF67C2" w:rsidP="004106FD">
      <w:pPr>
        <w:jc w:val="center"/>
        <w:rPr>
          <w:rFonts w:cs="Arial"/>
          <w:b/>
          <w:sz w:val="28"/>
          <w:szCs w:val="32"/>
        </w:rPr>
      </w:pPr>
      <w:r w:rsidRPr="00E10DFE">
        <w:rPr>
          <w:rFonts w:cs="Arial"/>
          <w:b/>
          <w:sz w:val="28"/>
          <w:szCs w:val="32"/>
        </w:rPr>
        <w:t>ke Smlouvě o dílo</w:t>
      </w:r>
      <w:r w:rsidR="00DC7A9A" w:rsidRPr="00DC7A9A">
        <w:rPr>
          <w:rFonts w:cs="Arial"/>
          <w:b/>
          <w:bCs/>
          <w:szCs w:val="22"/>
        </w:rPr>
        <w:t xml:space="preserve"> </w:t>
      </w:r>
      <w:r w:rsidR="00DC7A9A" w:rsidRPr="00DC7A9A">
        <w:rPr>
          <w:rFonts w:cs="Arial"/>
          <w:b/>
          <w:bCs/>
          <w:sz w:val="28"/>
          <w:szCs w:val="28"/>
        </w:rPr>
        <w:t>ev.č. 355/19/03</w:t>
      </w:r>
    </w:p>
    <w:p w14:paraId="1D9728A2" w14:textId="77777777" w:rsidR="00B04B1F" w:rsidRPr="00E10DFE" w:rsidRDefault="00B04B1F" w:rsidP="004106FD">
      <w:pPr>
        <w:jc w:val="center"/>
        <w:rPr>
          <w:rFonts w:cs="Arial"/>
          <w:b/>
          <w:szCs w:val="22"/>
        </w:rPr>
      </w:pPr>
    </w:p>
    <w:p w14:paraId="4AFEA17F" w14:textId="0BC6D269" w:rsidR="00B04B1F" w:rsidRPr="00E10DFE" w:rsidRDefault="00FF67C2" w:rsidP="008D04B3">
      <w:pPr>
        <w:jc w:val="center"/>
        <w:rPr>
          <w:rFonts w:cs="Arial"/>
          <w:b/>
          <w:bCs/>
          <w:szCs w:val="22"/>
        </w:rPr>
      </w:pPr>
      <w:r w:rsidRPr="00E10DFE">
        <w:rPr>
          <w:rFonts w:cs="Arial"/>
          <w:b/>
          <w:szCs w:val="22"/>
        </w:rPr>
        <w:t>na realizaci zakázky</w:t>
      </w:r>
      <w:r w:rsidR="00B04B1F" w:rsidRPr="00E10DFE">
        <w:rPr>
          <w:rFonts w:cs="Arial"/>
          <w:b/>
          <w:szCs w:val="22"/>
        </w:rPr>
        <w:t xml:space="preserve"> „</w:t>
      </w:r>
      <w:r w:rsidR="00E10DFE" w:rsidRPr="00E10DFE">
        <w:rPr>
          <w:rFonts w:cs="Arial"/>
          <w:b/>
          <w:szCs w:val="22"/>
        </w:rPr>
        <w:t>Oprava sklobetonového zakrytí anglických dvorků v objektu Jungmannova 36/31, Praha 1, Palác Adria</w:t>
      </w:r>
      <w:r w:rsidRPr="00E10DFE">
        <w:rPr>
          <w:rFonts w:cs="Arial"/>
          <w:b/>
          <w:bCs/>
          <w:szCs w:val="22"/>
        </w:rPr>
        <w:t xml:space="preserve">, </w:t>
      </w:r>
    </w:p>
    <w:p w14:paraId="25866C64" w14:textId="77777777" w:rsidR="00B04B1F" w:rsidRPr="00E10DFE" w:rsidRDefault="00B04B1F" w:rsidP="004106FD">
      <w:pPr>
        <w:jc w:val="center"/>
        <w:rPr>
          <w:rFonts w:cs="Arial"/>
          <w:b/>
          <w:szCs w:val="22"/>
        </w:rPr>
      </w:pPr>
    </w:p>
    <w:p w14:paraId="30F8F758" w14:textId="5564CE81" w:rsidR="00B04B1F" w:rsidRPr="00E10DFE" w:rsidRDefault="00B04B1F" w:rsidP="00B04B1F">
      <w:pPr>
        <w:spacing w:before="60"/>
        <w:jc w:val="center"/>
        <w:rPr>
          <w:rFonts w:cs="Arial"/>
          <w:i/>
          <w:szCs w:val="22"/>
        </w:rPr>
      </w:pPr>
      <w:r w:rsidRPr="00E10DFE">
        <w:rPr>
          <w:rFonts w:cs="Arial"/>
          <w:i/>
          <w:szCs w:val="22"/>
        </w:rPr>
        <w:t>uzavřen</w:t>
      </w:r>
      <w:r w:rsidR="00E10DFE">
        <w:rPr>
          <w:rFonts w:cs="Arial"/>
          <w:i/>
          <w:szCs w:val="22"/>
        </w:rPr>
        <w:t>á</w:t>
      </w:r>
      <w:r w:rsidRPr="00E10DFE">
        <w:rPr>
          <w:rFonts w:cs="Arial"/>
          <w:i/>
          <w:szCs w:val="22"/>
        </w:rPr>
        <w:t xml:space="preserve"> </w:t>
      </w:r>
      <w:r w:rsidR="00E93AF2" w:rsidRPr="00E10DFE">
        <w:rPr>
          <w:rFonts w:cs="Arial"/>
          <w:i/>
          <w:szCs w:val="22"/>
        </w:rPr>
        <w:t>d</w:t>
      </w:r>
      <w:r w:rsidR="00500194" w:rsidRPr="00E10DFE">
        <w:rPr>
          <w:rFonts w:cs="Arial"/>
          <w:i/>
          <w:szCs w:val="22"/>
        </w:rPr>
        <w:t xml:space="preserve">ne </w:t>
      </w:r>
      <w:r w:rsidR="00E10DFE">
        <w:rPr>
          <w:rFonts w:cs="Arial"/>
          <w:i/>
          <w:szCs w:val="22"/>
        </w:rPr>
        <w:t>8</w:t>
      </w:r>
      <w:r w:rsidR="00500194" w:rsidRPr="00E10DFE">
        <w:rPr>
          <w:rFonts w:cs="Arial"/>
          <w:i/>
          <w:szCs w:val="22"/>
        </w:rPr>
        <w:t>.7.201</w:t>
      </w:r>
      <w:r w:rsidR="00E10DFE">
        <w:rPr>
          <w:rFonts w:cs="Arial"/>
          <w:i/>
          <w:szCs w:val="22"/>
        </w:rPr>
        <w:t>9</w:t>
      </w:r>
      <w:r w:rsidRPr="00E10DFE">
        <w:rPr>
          <w:rFonts w:cs="Arial"/>
          <w:i/>
          <w:szCs w:val="22"/>
        </w:rPr>
        <w:t xml:space="preserve"> dle ust. § 2586 a násl. zákona č. 89/2012 Sb., občanský zákoník, ve znění pozdějších předpisů (dále jako „</w:t>
      </w:r>
      <w:r w:rsidRPr="00E10DFE">
        <w:rPr>
          <w:rFonts w:cs="Arial"/>
          <w:b/>
          <w:i/>
          <w:szCs w:val="22"/>
        </w:rPr>
        <w:t>Smlouva</w:t>
      </w:r>
      <w:r w:rsidRPr="00E10DFE">
        <w:rPr>
          <w:rFonts w:cs="Arial"/>
          <w:i/>
          <w:szCs w:val="22"/>
        </w:rPr>
        <w:t>“)</w:t>
      </w:r>
    </w:p>
    <w:p w14:paraId="5A35BB97" w14:textId="77777777" w:rsidR="004106FD" w:rsidRPr="00E10DFE" w:rsidRDefault="004106FD" w:rsidP="004106FD">
      <w:pPr>
        <w:rPr>
          <w:rFonts w:cs="Arial"/>
          <w:szCs w:val="22"/>
        </w:rPr>
      </w:pPr>
    </w:p>
    <w:p w14:paraId="41F505DA" w14:textId="288A43E2" w:rsidR="007F11C5" w:rsidRPr="00E10DFE" w:rsidRDefault="007F11C5" w:rsidP="007F11C5">
      <w:pPr>
        <w:jc w:val="center"/>
        <w:rPr>
          <w:rFonts w:cs="Arial"/>
          <w:b/>
          <w:szCs w:val="22"/>
        </w:rPr>
      </w:pPr>
    </w:p>
    <w:p w14:paraId="6FEE42B3" w14:textId="77777777" w:rsidR="00732790" w:rsidRPr="00E10DFE" w:rsidRDefault="004106FD" w:rsidP="00A829F2">
      <w:pPr>
        <w:jc w:val="center"/>
        <w:rPr>
          <w:rFonts w:cs="Arial"/>
          <w:b/>
          <w:szCs w:val="22"/>
        </w:rPr>
      </w:pPr>
      <w:r w:rsidRPr="00E10DFE">
        <w:rPr>
          <w:rFonts w:cs="Arial"/>
          <w:b/>
          <w:szCs w:val="22"/>
        </w:rPr>
        <w:t>Smluvní strany</w:t>
      </w:r>
    </w:p>
    <w:p w14:paraId="2281CA4F" w14:textId="77777777" w:rsidR="007F11C5" w:rsidRPr="00E10DFE" w:rsidRDefault="007F11C5" w:rsidP="00A829F2">
      <w:pPr>
        <w:numPr>
          <w:ilvl w:val="0"/>
          <w:numId w:val="14"/>
        </w:numPr>
        <w:tabs>
          <w:tab w:val="clear" w:pos="567"/>
          <w:tab w:val="num" w:pos="284"/>
          <w:tab w:val="left" w:pos="3402"/>
        </w:tabs>
        <w:spacing w:before="120" w:after="120"/>
        <w:ind w:left="284" w:hanging="284"/>
        <w:rPr>
          <w:rFonts w:cs="Arial"/>
          <w:b/>
          <w:szCs w:val="22"/>
        </w:rPr>
      </w:pPr>
      <w:r w:rsidRPr="00E10DFE">
        <w:rPr>
          <w:rFonts w:cs="Arial"/>
          <w:b/>
          <w:szCs w:val="22"/>
        </w:rPr>
        <w:t>Objednatel:</w:t>
      </w:r>
      <w:r w:rsidRPr="00E10DFE">
        <w:rPr>
          <w:rFonts w:cs="Arial"/>
          <w:b/>
          <w:szCs w:val="22"/>
        </w:rPr>
        <w:tab/>
      </w:r>
    </w:p>
    <w:p w14:paraId="683B0726" w14:textId="77777777" w:rsidR="00A6741B" w:rsidRPr="00E10DFE" w:rsidRDefault="00A829F2" w:rsidP="00A6741B">
      <w:pPr>
        <w:tabs>
          <w:tab w:val="num" w:pos="284"/>
          <w:tab w:val="left" w:pos="3402"/>
        </w:tabs>
        <w:ind w:left="357" w:hanging="357"/>
        <w:rPr>
          <w:rFonts w:cs="Arial"/>
          <w:b/>
          <w:szCs w:val="22"/>
        </w:rPr>
      </w:pPr>
      <w:r w:rsidRPr="00E10DFE">
        <w:rPr>
          <w:rFonts w:cs="Arial"/>
          <w:b/>
          <w:szCs w:val="22"/>
        </w:rPr>
        <w:tab/>
      </w:r>
      <w:r w:rsidR="00A6741B" w:rsidRPr="00E10DFE">
        <w:rPr>
          <w:rFonts w:cs="Arial"/>
          <w:b/>
          <w:szCs w:val="22"/>
        </w:rPr>
        <w:t>Hlavní město Praha</w:t>
      </w:r>
    </w:p>
    <w:p w14:paraId="3B8E1D76"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se sídlem Mariánské náměstí 2, Praha 1, PSČ: 110 01</w:t>
      </w:r>
    </w:p>
    <w:p w14:paraId="560D1DD8"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IČO: 00064581</w:t>
      </w:r>
    </w:p>
    <w:p w14:paraId="503EC979" w14:textId="77777777" w:rsidR="00656E30" w:rsidRPr="00E10DFE" w:rsidRDefault="00A6741B">
      <w:pPr>
        <w:tabs>
          <w:tab w:val="num" w:pos="284"/>
          <w:tab w:val="left" w:pos="3402"/>
        </w:tabs>
        <w:spacing w:after="120"/>
        <w:ind w:left="357" w:hanging="357"/>
        <w:rPr>
          <w:rFonts w:cs="Arial"/>
          <w:szCs w:val="22"/>
        </w:rPr>
      </w:pPr>
      <w:r w:rsidRPr="00E10DFE">
        <w:rPr>
          <w:rFonts w:cs="Arial"/>
          <w:szCs w:val="22"/>
        </w:rPr>
        <w:tab/>
        <w:t>DIČ: CZ00064581</w:t>
      </w:r>
    </w:p>
    <w:p w14:paraId="13C41747" w14:textId="77777777" w:rsidR="00656E30" w:rsidRPr="00E10DFE" w:rsidRDefault="00A6741B">
      <w:pPr>
        <w:tabs>
          <w:tab w:val="num" w:pos="284"/>
          <w:tab w:val="left" w:pos="3402"/>
        </w:tabs>
        <w:spacing w:after="120"/>
        <w:ind w:left="357" w:hanging="357"/>
        <w:rPr>
          <w:rFonts w:cs="Arial"/>
          <w:szCs w:val="22"/>
        </w:rPr>
      </w:pPr>
      <w:r w:rsidRPr="00E10DFE">
        <w:rPr>
          <w:rFonts w:cs="Arial"/>
          <w:szCs w:val="22"/>
        </w:rPr>
        <w:tab/>
        <w:t>zastoupené</w:t>
      </w:r>
    </w:p>
    <w:p w14:paraId="64BDBCFB" w14:textId="77777777" w:rsidR="00A6741B" w:rsidRPr="00E10DFE" w:rsidRDefault="00A6741B" w:rsidP="00A6741B">
      <w:pPr>
        <w:tabs>
          <w:tab w:val="num" w:pos="284"/>
          <w:tab w:val="left" w:pos="3402"/>
        </w:tabs>
        <w:ind w:left="357" w:hanging="357"/>
        <w:rPr>
          <w:rFonts w:cs="Arial"/>
          <w:b/>
          <w:szCs w:val="22"/>
        </w:rPr>
      </w:pPr>
      <w:r w:rsidRPr="00E10DFE">
        <w:rPr>
          <w:rFonts w:cs="Arial"/>
          <w:szCs w:val="22"/>
        </w:rPr>
        <w:tab/>
      </w:r>
      <w:r w:rsidR="002D11A2" w:rsidRPr="00E10DFE">
        <w:rPr>
          <w:rFonts w:cs="Arial"/>
          <w:b/>
          <w:szCs w:val="22"/>
        </w:rPr>
        <w:t>TRADE CENTRE PRAHA a.s.</w:t>
      </w:r>
    </w:p>
    <w:p w14:paraId="5E07E03E"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se sídlem Blanická 1008/28, Praha 2, PSČ: 120 00</w:t>
      </w:r>
    </w:p>
    <w:p w14:paraId="6F329C69"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IČO: 00409316</w:t>
      </w:r>
    </w:p>
    <w:p w14:paraId="03A76BF3"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DIČ: CZ00409316</w:t>
      </w:r>
    </w:p>
    <w:p w14:paraId="48E4E9DF" w14:textId="77777777" w:rsidR="00A6741B" w:rsidRPr="00E10DFE" w:rsidRDefault="00A6741B" w:rsidP="00A6741B">
      <w:pPr>
        <w:tabs>
          <w:tab w:val="num" w:pos="284"/>
          <w:tab w:val="left" w:pos="3402"/>
        </w:tabs>
        <w:ind w:left="357" w:hanging="357"/>
        <w:rPr>
          <w:rFonts w:cs="Arial"/>
          <w:szCs w:val="22"/>
        </w:rPr>
      </w:pPr>
      <w:r w:rsidRPr="00E10DFE">
        <w:rPr>
          <w:rFonts w:cs="Arial"/>
          <w:szCs w:val="22"/>
        </w:rPr>
        <w:tab/>
        <w:t>zapsaná v obchodním rejstříku vedeném Městským soudem v Praze v oddíle B vl. 43</w:t>
      </w:r>
    </w:p>
    <w:p w14:paraId="10ECEA61" w14:textId="070D238C" w:rsidR="00A6741B" w:rsidRPr="00E10DFE" w:rsidRDefault="00A6741B" w:rsidP="00A6741B">
      <w:pPr>
        <w:tabs>
          <w:tab w:val="num" w:pos="284"/>
          <w:tab w:val="left" w:pos="3402"/>
        </w:tabs>
        <w:ind w:left="284" w:hanging="357"/>
        <w:rPr>
          <w:rFonts w:cs="Arial"/>
          <w:szCs w:val="22"/>
        </w:rPr>
      </w:pPr>
      <w:r w:rsidRPr="00E10DFE">
        <w:rPr>
          <w:rFonts w:cs="Arial"/>
          <w:szCs w:val="22"/>
        </w:rPr>
        <w:tab/>
        <w:t xml:space="preserve">zastoupená: </w:t>
      </w:r>
      <w:r w:rsidR="00C13E51">
        <w:rPr>
          <w:rFonts w:cs="Arial"/>
          <w:szCs w:val="22"/>
        </w:rPr>
        <w:t>Filipem Veselým</w:t>
      </w:r>
      <w:r w:rsidR="00500194" w:rsidRPr="00E10DFE">
        <w:rPr>
          <w:rFonts w:cs="Arial"/>
          <w:szCs w:val="22"/>
        </w:rPr>
        <w:t>,</w:t>
      </w:r>
      <w:r w:rsidRPr="00E10DFE">
        <w:rPr>
          <w:rFonts w:cs="Arial"/>
          <w:szCs w:val="22"/>
        </w:rPr>
        <w:t xml:space="preserve"> předsedou představenstva a </w:t>
      </w:r>
      <w:r w:rsidR="00C13E51">
        <w:rPr>
          <w:rFonts w:cs="Arial"/>
          <w:szCs w:val="22"/>
        </w:rPr>
        <w:t>Mgr. Janem Bouškou</w:t>
      </w:r>
      <w:r w:rsidRPr="00E10DFE">
        <w:rPr>
          <w:rFonts w:cs="Arial"/>
          <w:szCs w:val="22"/>
        </w:rPr>
        <w:t xml:space="preserve">, </w:t>
      </w:r>
      <w:r w:rsidR="00C13E51">
        <w:rPr>
          <w:rFonts w:cs="Arial"/>
          <w:szCs w:val="22"/>
        </w:rPr>
        <w:t>místopředsedou</w:t>
      </w:r>
      <w:r w:rsidRPr="00E10DFE">
        <w:rPr>
          <w:rFonts w:cs="Arial"/>
          <w:szCs w:val="22"/>
        </w:rPr>
        <w:t xml:space="preserve"> představenstva</w:t>
      </w:r>
    </w:p>
    <w:p w14:paraId="6BE840F6" w14:textId="77777777" w:rsidR="00656E30" w:rsidRPr="00E10DFE" w:rsidRDefault="00CD7779">
      <w:pPr>
        <w:tabs>
          <w:tab w:val="num" w:pos="284"/>
          <w:tab w:val="left" w:pos="3402"/>
        </w:tabs>
        <w:spacing w:before="60"/>
        <w:ind w:left="357" w:hanging="357"/>
        <w:rPr>
          <w:rFonts w:cs="Arial"/>
          <w:szCs w:val="22"/>
        </w:rPr>
      </w:pPr>
      <w:r w:rsidRPr="00E10DFE">
        <w:rPr>
          <w:rFonts w:cs="Arial"/>
          <w:szCs w:val="22"/>
        </w:rPr>
        <w:t xml:space="preserve"> </w:t>
      </w:r>
      <w:r w:rsidR="00A829F2" w:rsidRPr="00E10DFE">
        <w:rPr>
          <w:rFonts w:cs="Arial"/>
          <w:szCs w:val="22"/>
        </w:rPr>
        <w:tab/>
      </w:r>
      <w:r w:rsidR="007F11C5" w:rsidRPr="00E10DFE">
        <w:rPr>
          <w:rFonts w:cs="Arial"/>
          <w:szCs w:val="22"/>
        </w:rPr>
        <w:t>(dále jen „</w:t>
      </w:r>
      <w:r w:rsidR="007F11C5" w:rsidRPr="00E10DFE">
        <w:rPr>
          <w:rFonts w:cs="Arial"/>
          <w:b/>
          <w:szCs w:val="22"/>
        </w:rPr>
        <w:t>objednatel</w:t>
      </w:r>
      <w:r w:rsidR="007F11C5" w:rsidRPr="00E10DFE">
        <w:rPr>
          <w:rFonts w:cs="Arial"/>
          <w:szCs w:val="22"/>
        </w:rPr>
        <w:t>“)</w:t>
      </w:r>
    </w:p>
    <w:p w14:paraId="48110046" w14:textId="77777777" w:rsidR="007F11C5" w:rsidRPr="00E10DFE" w:rsidRDefault="007F11C5" w:rsidP="00A829F2">
      <w:pPr>
        <w:numPr>
          <w:ilvl w:val="12"/>
          <w:numId w:val="0"/>
        </w:numPr>
        <w:tabs>
          <w:tab w:val="num" w:pos="284"/>
          <w:tab w:val="left" w:pos="3402"/>
        </w:tabs>
        <w:ind w:left="284" w:hanging="284"/>
        <w:rPr>
          <w:rFonts w:cs="Arial"/>
          <w:szCs w:val="22"/>
        </w:rPr>
      </w:pPr>
    </w:p>
    <w:p w14:paraId="4F444E47" w14:textId="217FA76E" w:rsidR="007F11C5" w:rsidRPr="00E10DFE" w:rsidRDefault="00E10DFE" w:rsidP="00E10DFE">
      <w:pPr>
        <w:tabs>
          <w:tab w:val="left" w:pos="3402"/>
        </w:tabs>
        <w:spacing w:before="120" w:after="120"/>
        <w:jc w:val="left"/>
        <w:rPr>
          <w:rFonts w:cs="Arial"/>
          <w:b/>
          <w:szCs w:val="22"/>
        </w:rPr>
      </w:pPr>
      <w:r w:rsidRPr="00E10DFE">
        <w:rPr>
          <w:rFonts w:cs="Arial"/>
          <w:bCs/>
          <w:szCs w:val="22"/>
        </w:rPr>
        <w:t xml:space="preserve">  2.</w:t>
      </w:r>
      <w:r>
        <w:rPr>
          <w:rFonts w:cs="Arial"/>
          <w:b/>
          <w:szCs w:val="22"/>
        </w:rPr>
        <w:t xml:space="preserve"> </w:t>
      </w:r>
      <w:r w:rsidRPr="00E10DFE">
        <w:rPr>
          <w:rFonts w:cs="Arial"/>
          <w:b/>
          <w:szCs w:val="22"/>
        </w:rPr>
        <w:t>Dodavatel</w:t>
      </w:r>
      <w:r w:rsidR="007F11C5" w:rsidRPr="00E10DFE">
        <w:rPr>
          <w:rFonts w:cs="Arial"/>
          <w:b/>
          <w:szCs w:val="22"/>
        </w:rPr>
        <w:t>:</w:t>
      </w:r>
    </w:p>
    <w:p w14:paraId="69DC3D0C" w14:textId="77777777" w:rsidR="00E10DFE" w:rsidRPr="00E10DFE" w:rsidRDefault="00E10DFE" w:rsidP="00E10DFE">
      <w:pPr>
        <w:pStyle w:val="Odstavecseseznamem"/>
        <w:ind w:left="360"/>
        <w:rPr>
          <w:b/>
          <w:szCs w:val="22"/>
        </w:rPr>
      </w:pPr>
      <w:r w:rsidRPr="00E10DFE">
        <w:rPr>
          <w:b/>
          <w:bCs/>
          <w:szCs w:val="22"/>
        </w:rPr>
        <w:t>IM-stav Praha s.r.o.</w:t>
      </w:r>
    </w:p>
    <w:p w14:paraId="411EEB72" w14:textId="08D4347E" w:rsidR="00E10DFE" w:rsidRPr="00E10DFE" w:rsidRDefault="00E10DFE" w:rsidP="00E10DFE">
      <w:pPr>
        <w:pStyle w:val="Odstavecseseznamem"/>
        <w:ind w:left="360"/>
        <w:rPr>
          <w:b/>
          <w:szCs w:val="22"/>
        </w:rPr>
      </w:pPr>
      <w:r w:rsidRPr="00E10DFE">
        <w:rPr>
          <w:rFonts w:cs="Arial"/>
          <w:szCs w:val="22"/>
        </w:rPr>
        <w:t>se sídlem Zenklova 22/56, 180 00 Praha 8 - Libeň</w:t>
      </w:r>
    </w:p>
    <w:p w14:paraId="0C1FDDE3" w14:textId="10414FA5" w:rsidR="00E10DFE" w:rsidRDefault="00E10DFE" w:rsidP="00E10DFE">
      <w:pPr>
        <w:pStyle w:val="Odstavecseseznamem"/>
        <w:widowControl w:val="0"/>
        <w:ind w:left="360"/>
        <w:rPr>
          <w:szCs w:val="22"/>
        </w:rPr>
      </w:pPr>
      <w:r w:rsidRPr="00E10DFE">
        <w:rPr>
          <w:szCs w:val="22"/>
        </w:rPr>
        <w:t>IČO: 26465728</w:t>
      </w:r>
    </w:p>
    <w:p w14:paraId="203C9987" w14:textId="77777777" w:rsidR="00E10DFE" w:rsidRDefault="00E10DFE" w:rsidP="00E10DFE">
      <w:pPr>
        <w:pStyle w:val="Odstavecseseznamem"/>
        <w:widowControl w:val="0"/>
        <w:ind w:left="360"/>
        <w:rPr>
          <w:szCs w:val="22"/>
        </w:rPr>
      </w:pPr>
      <w:r w:rsidRPr="00E10DFE">
        <w:rPr>
          <w:szCs w:val="22"/>
        </w:rPr>
        <w:t>DIČ: CZ26465728</w:t>
      </w:r>
    </w:p>
    <w:p w14:paraId="3A962672" w14:textId="71BA83E1" w:rsidR="00E10DFE" w:rsidRPr="00E10DFE" w:rsidRDefault="00E10DFE" w:rsidP="00E10DFE">
      <w:pPr>
        <w:pStyle w:val="Odstavecseseznamem"/>
        <w:widowControl w:val="0"/>
        <w:ind w:left="360"/>
        <w:rPr>
          <w:szCs w:val="22"/>
        </w:rPr>
      </w:pPr>
      <w:r w:rsidRPr="00E10DFE">
        <w:rPr>
          <w:szCs w:val="22"/>
        </w:rPr>
        <w:t>zapsaná v obchodním rejstříku, vedeném Městským soudem v Praze</w:t>
      </w:r>
      <w:r w:rsidRPr="00E10DFE">
        <w:rPr>
          <w:b/>
          <w:szCs w:val="22"/>
        </w:rPr>
        <w:t>,</w:t>
      </w:r>
      <w:r w:rsidRPr="00E10DFE">
        <w:rPr>
          <w:szCs w:val="22"/>
        </w:rPr>
        <w:t xml:space="preserve"> oddíl C, vložka 84107</w:t>
      </w:r>
      <w:r>
        <w:rPr>
          <w:szCs w:val="22"/>
        </w:rPr>
        <w:br/>
      </w:r>
      <w:r w:rsidRPr="00E10DFE">
        <w:rPr>
          <w:szCs w:val="22"/>
        </w:rPr>
        <w:t>zastoupená: Petrem Michovským, jednatelem</w:t>
      </w:r>
    </w:p>
    <w:p w14:paraId="71A0924A" w14:textId="6856CA50" w:rsidR="007F11C5" w:rsidRPr="00E10DFE" w:rsidRDefault="00A829F2" w:rsidP="00FC7732">
      <w:pPr>
        <w:numPr>
          <w:ilvl w:val="12"/>
          <w:numId w:val="0"/>
        </w:numPr>
        <w:tabs>
          <w:tab w:val="num" w:pos="284"/>
          <w:tab w:val="left" w:pos="3402"/>
          <w:tab w:val="left" w:pos="3544"/>
        </w:tabs>
        <w:spacing w:before="60"/>
        <w:ind w:left="357" w:hanging="357"/>
        <w:rPr>
          <w:rFonts w:cs="Arial"/>
          <w:szCs w:val="22"/>
        </w:rPr>
      </w:pPr>
      <w:r w:rsidRPr="00E10DFE">
        <w:rPr>
          <w:rFonts w:cs="Arial"/>
          <w:szCs w:val="22"/>
        </w:rPr>
        <w:tab/>
      </w:r>
      <w:r w:rsidR="007F11C5" w:rsidRPr="00E10DFE">
        <w:rPr>
          <w:rFonts w:cs="Arial"/>
          <w:szCs w:val="22"/>
        </w:rPr>
        <w:t>(dále jen „</w:t>
      </w:r>
      <w:r w:rsidR="00E10DFE" w:rsidRPr="00E10DFE">
        <w:rPr>
          <w:rFonts w:cs="Arial"/>
          <w:b/>
          <w:bCs/>
          <w:szCs w:val="22"/>
        </w:rPr>
        <w:t>dodavatel</w:t>
      </w:r>
      <w:r w:rsidR="007F11C5" w:rsidRPr="00E10DFE">
        <w:rPr>
          <w:rFonts w:cs="Arial"/>
          <w:szCs w:val="22"/>
        </w:rPr>
        <w:t>“)</w:t>
      </w:r>
    </w:p>
    <w:p w14:paraId="38192715" w14:textId="77777777" w:rsidR="007F11C5" w:rsidRPr="00E10DFE" w:rsidRDefault="00A829F2" w:rsidP="00A829F2">
      <w:pPr>
        <w:numPr>
          <w:ilvl w:val="12"/>
          <w:numId w:val="0"/>
        </w:numPr>
        <w:tabs>
          <w:tab w:val="num" w:pos="284"/>
          <w:tab w:val="left" w:pos="3402"/>
          <w:tab w:val="left" w:pos="3544"/>
        </w:tabs>
        <w:spacing w:before="60"/>
        <w:ind w:left="357" w:hanging="357"/>
        <w:rPr>
          <w:rFonts w:cs="Arial"/>
          <w:szCs w:val="22"/>
        </w:rPr>
      </w:pPr>
      <w:r w:rsidRPr="00E10DFE">
        <w:rPr>
          <w:rFonts w:cs="Arial"/>
          <w:szCs w:val="22"/>
        </w:rPr>
        <w:tab/>
      </w:r>
      <w:r w:rsidR="007F11C5" w:rsidRPr="00E10DFE">
        <w:rPr>
          <w:rFonts w:cs="Arial"/>
          <w:szCs w:val="22"/>
        </w:rPr>
        <w:t>(společně dále jen „</w:t>
      </w:r>
      <w:r w:rsidR="007F11C5" w:rsidRPr="00E10DFE">
        <w:rPr>
          <w:rFonts w:cs="Arial"/>
          <w:b/>
          <w:szCs w:val="22"/>
        </w:rPr>
        <w:t>smluvní strany</w:t>
      </w:r>
      <w:r w:rsidR="007F11C5" w:rsidRPr="00E10DFE">
        <w:rPr>
          <w:rFonts w:cs="Arial"/>
          <w:szCs w:val="22"/>
        </w:rPr>
        <w:t>“)</w:t>
      </w:r>
    </w:p>
    <w:p w14:paraId="37FD1065" w14:textId="77777777" w:rsidR="00732790" w:rsidRPr="00E10DFE" w:rsidRDefault="00732790" w:rsidP="00732790">
      <w:pPr>
        <w:ind w:left="2124"/>
        <w:rPr>
          <w:rFonts w:cs="Arial"/>
          <w:szCs w:val="22"/>
          <w:highlight w:val="yellow"/>
        </w:rPr>
      </w:pPr>
    </w:p>
    <w:p w14:paraId="34D7E485" w14:textId="77777777" w:rsidR="00E93AF2" w:rsidRPr="00E10DFE" w:rsidRDefault="00E93AF2" w:rsidP="00E93AF2">
      <w:pPr>
        <w:numPr>
          <w:ilvl w:val="12"/>
          <w:numId w:val="0"/>
        </w:numPr>
        <w:tabs>
          <w:tab w:val="left" w:pos="3402"/>
          <w:tab w:val="left" w:pos="3544"/>
        </w:tabs>
        <w:spacing w:before="60"/>
        <w:ind w:left="567"/>
        <w:jc w:val="center"/>
        <w:rPr>
          <w:rFonts w:cs="Arial"/>
        </w:rPr>
      </w:pPr>
      <w:r w:rsidRPr="00E10DFE">
        <w:rPr>
          <w:rFonts w:cs="Arial"/>
        </w:rPr>
        <w:t>Preambule</w:t>
      </w:r>
    </w:p>
    <w:p w14:paraId="5966812E" w14:textId="77777777" w:rsidR="00E93AF2" w:rsidRPr="00E10DFE" w:rsidRDefault="00E93AF2" w:rsidP="00E93AF2">
      <w:pPr>
        <w:rPr>
          <w:rFonts w:cs="Arial"/>
          <w:b/>
          <w:bCs/>
        </w:rPr>
      </w:pPr>
    </w:p>
    <w:p w14:paraId="307514FB" w14:textId="1FD6B37A" w:rsidR="008728D5" w:rsidRDefault="00E93AF2" w:rsidP="00E93AF2">
      <w:pPr>
        <w:numPr>
          <w:ilvl w:val="12"/>
          <w:numId w:val="0"/>
        </w:numPr>
        <w:tabs>
          <w:tab w:val="left" w:pos="3402"/>
          <w:tab w:val="left" w:pos="3544"/>
        </w:tabs>
        <w:spacing w:before="120" w:after="120" w:line="276" w:lineRule="auto"/>
        <w:rPr>
          <w:rFonts w:cs="Arial"/>
          <w:color w:val="000000"/>
          <w:szCs w:val="22"/>
        </w:rPr>
      </w:pPr>
      <w:r w:rsidRPr="00E10DFE">
        <w:rPr>
          <w:rFonts w:cs="Arial"/>
          <w:color w:val="000000"/>
          <w:szCs w:val="22"/>
        </w:rPr>
        <w:t>Změna smluvního závazku je realizována z důvodu nových skutečností, které nebyly smluvním stranám známy při uzavírání smlouvy, zejména se jedná o</w:t>
      </w:r>
      <w:r w:rsidR="003E2DD4">
        <w:rPr>
          <w:rFonts w:cs="Arial"/>
          <w:color w:val="000000"/>
          <w:szCs w:val="22"/>
        </w:rPr>
        <w:t xml:space="preserve"> </w:t>
      </w:r>
      <w:r w:rsidR="003E2DD4">
        <w:rPr>
          <w:color w:val="000000"/>
        </w:rPr>
        <w:t xml:space="preserve">následující skutečnosti zjištěné po vybourání </w:t>
      </w:r>
      <w:r w:rsidR="003E2DD4">
        <w:t>konstrukce sklobetonu zakrytí anglických dvorků</w:t>
      </w:r>
      <w:r w:rsidR="008728D5">
        <w:rPr>
          <w:rFonts w:cs="Arial"/>
          <w:color w:val="000000"/>
          <w:szCs w:val="22"/>
        </w:rPr>
        <w:t>:</w:t>
      </w:r>
    </w:p>
    <w:p w14:paraId="4468AB34" w14:textId="0F118F6A" w:rsidR="00900641" w:rsidRDefault="00900641" w:rsidP="00900641">
      <w:r>
        <w:rPr>
          <w:color w:val="000000"/>
        </w:rPr>
        <w:t xml:space="preserve">- </w:t>
      </w:r>
      <w:r w:rsidR="00DC7A9A">
        <w:rPr>
          <w:color w:val="000000"/>
        </w:rPr>
        <w:t>B</w:t>
      </w:r>
      <w:r>
        <w:rPr>
          <w:color w:val="000000"/>
        </w:rPr>
        <w:t xml:space="preserve">ylo zjištěno, že konstrukce sklobetonu </w:t>
      </w:r>
      <w:r w:rsidR="00DC7A9A">
        <w:rPr>
          <w:color w:val="000000"/>
        </w:rPr>
        <w:t>je</w:t>
      </w:r>
      <w:r>
        <w:rPr>
          <w:color w:val="000000"/>
        </w:rPr>
        <w:t xml:space="preserve"> provedena zcela atypicky.  Nosná železobetonová žebra mezi skleněnými tvárnicemi sklobetonu byla nahrazena ocelovou konstrukcí. </w:t>
      </w:r>
      <w:r>
        <w:t xml:space="preserve">Tato nosná ocelová konstrukce </w:t>
      </w:r>
      <w:r w:rsidR="00DC7A9A">
        <w:t>je</w:t>
      </w:r>
      <w:r>
        <w:t xml:space="preserve"> místy zcela zkorodována a nebylo možné ji použít na osazení nové sklobetonové desky. Navíc použití takové ocelové konstrukce není pro prefabrikované sklobetonové desky možné. V současnosti se jinou technologií (než jako prefa desky) sklobeton neprovádí. Proto </w:t>
      </w:r>
      <w:r w:rsidR="00DC7A9A">
        <w:t>je</w:t>
      </w:r>
      <w:r>
        <w:t xml:space="preserve"> nutné tuto konstrukci vybourat.</w:t>
      </w:r>
    </w:p>
    <w:p w14:paraId="11B3E828" w14:textId="05D5C53C" w:rsidR="00900641" w:rsidRDefault="00900641" w:rsidP="00900641">
      <w:r>
        <w:lastRenderedPageBreak/>
        <w:t>Pro osazení prefabrikované sklobetonové desky je nutné vytvořit po obvodě této desky podporu, na kterou se obvodové žebro sklobetonové desky osadí</w:t>
      </w:r>
      <w:r w:rsidR="00DC7A9A">
        <w:t xml:space="preserve">. </w:t>
      </w:r>
      <w:r>
        <w:t>Stávající stav konstrukcí anglického dvorku toto neumožňuje (po obvodě není podpora pro osazení desky)</w:t>
      </w:r>
      <w:r w:rsidR="00DC7A9A">
        <w:t>,</w:t>
      </w:r>
      <w:r>
        <w:t xml:space="preserve"> a proto je nutné osadit po obvodě novou ocelovou konstrukci, na kterou se prefabrikovaná deska sklobetonu osadí.</w:t>
      </w:r>
      <w:r w:rsidRPr="00226E61">
        <w:t xml:space="preserve"> </w:t>
      </w:r>
      <w:r>
        <w:t>Tato nová konstrukce bude osazena na stávající žel.</w:t>
      </w:r>
      <w:r w:rsidR="00DC7A9A">
        <w:t xml:space="preserve"> </w:t>
      </w:r>
      <w:r>
        <w:t>bet. konstrukci rámů suterénu a na suterénní zdi objektu Adria.</w:t>
      </w:r>
    </w:p>
    <w:p w14:paraId="08318BE0" w14:textId="4A44FC20" w:rsidR="00900641" w:rsidRDefault="00900641" w:rsidP="00900641">
      <w:r>
        <w:t xml:space="preserve">- Pro uložení nové ocelové podkladní konstrukce, na kterou se prefabrikovaná deska sklobetonu po    obvodě osadí, je nutné částečné vyříznutí stávající kamenné dlažby obvodu anglických dvorků. Tyto úpravy dlažby si vyžádají demontáž a zpětnou montáž dlažby. </w:t>
      </w:r>
      <w:r w:rsidR="008F2564">
        <w:t>Tato úprava bude nutná i v případě, kdy část konstrukcí byla provedena jako sklobetonová deska uložena po obvodě, bylo však zjištěno oslabení tloušťky desky v uložení po celém obvodě na 40 mm. Tato tloušťka desky v uložení znamená výrazné snížení únosnosti desky na zcela nevyhovující hodnoty.</w:t>
      </w:r>
    </w:p>
    <w:p w14:paraId="11E9A4BD" w14:textId="0E5EB3E5" w:rsidR="00900641" w:rsidRDefault="00900641" w:rsidP="00900641">
      <w:r>
        <w:t>- Výztuž a železobeton žeber nosné konstrukce suterénu, na kterou je sklobeton uložen</w:t>
      </w:r>
      <w:r w:rsidR="0051639F">
        <w:t>,</w:t>
      </w:r>
      <w:r>
        <w:t xml:space="preserve"> je nutné </w:t>
      </w:r>
      <w:r w:rsidR="00D7783E">
        <w:t xml:space="preserve">sanovat a </w:t>
      </w:r>
      <w:r>
        <w:t>provést sanaci narušené výztuže a reprofilaci žeber.</w:t>
      </w:r>
    </w:p>
    <w:p w14:paraId="4B61AA52" w14:textId="5085F4AF" w:rsidR="00900641" w:rsidRDefault="00900641" w:rsidP="00900641">
      <w:r>
        <w:t>- Ocelové podélné nosníky (půdorysně lícují s hranou objektu), které podpírají výkladce, místy i schodiště vstupu do objektu, jsou silně narušeny korozí a je nutné je vyměnit. Tato výměna má dopad i na konstrukci výkladců.</w:t>
      </w:r>
    </w:p>
    <w:p w14:paraId="7CCFE673" w14:textId="44A07401" w:rsidR="00900641" w:rsidRDefault="00F523E8" w:rsidP="00900641">
      <w:r>
        <w:t>Podrobné zdůvodnění víceprací zpracované společností HABENA spol. s r.o., dne 18.10.2019 je o</w:t>
      </w:r>
      <w:r w:rsidR="00C1423D">
        <w:t>bsahem</w:t>
      </w:r>
      <w:r>
        <w:t xml:space="preserve"> Příloh</w:t>
      </w:r>
      <w:r w:rsidR="005B4CC9">
        <w:t>y</w:t>
      </w:r>
      <w:r>
        <w:t xml:space="preserve"> č. 3 tohoto dodatku.</w:t>
      </w:r>
    </w:p>
    <w:p w14:paraId="259FD1D9" w14:textId="77777777" w:rsidR="00900641" w:rsidRDefault="00900641" w:rsidP="00900641"/>
    <w:p w14:paraId="7F423916" w14:textId="77777777" w:rsidR="00900641" w:rsidRDefault="00900641" w:rsidP="00900641">
      <w:r>
        <w:t xml:space="preserve">Výše uvedené skutečnosti nemohly být před zpracování projektu známy. Skutečný stav konstrukcí a způsob provedení původní sklobetonové desky bylo možné zjistit až po vybourání této sklobetonové desky. </w:t>
      </w:r>
    </w:p>
    <w:p w14:paraId="6D3064BF" w14:textId="318CE991" w:rsidR="002A30EC" w:rsidRDefault="00E93AF2" w:rsidP="00E93AF2">
      <w:pPr>
        <w:numPr>
          <w:ilvl w:val="12"/>
          <w:numId w:val="0"/>
        </w:numPr>
        <w:tabs>
          <w:tab w:val="left" w:pos="3402"/>
          <w:tab w:val="left" w:pos="3544"/>
        </w:tabs>
        <w:spacing w:before="120" w:after="120" w:line="276" w:lineRule="auto"/>
        <w:rPr>
          <w:rFonts w:cs="Arial"/>
        </w:rPr>
      </w:pPr>
      <w:r w:rsidRPr="00E10DFE">
        <w:rPr>
          <w:rFonts w:cs="Arial"/>
        </w:rPr>
        <w:t>Smluvní strany se dohodly na následujícím znění dodatku č. 1, který je uzavírán v souladu se zákonem č. 89/2012 Sb., občanský zákoník, v platném znění (dále také jen „</w:t>
      </w:r>
      <w:r w:rsidRPr="00E10DFE">
        <w:rPr>
          <w:rFonts w:cs="Arial"/>
          <w:b/>
        </w:rPr>
        <w:t>občanský zákoník</w:t>
      </w:r>
      <w:r w:rsidRPr="00E10DFE">
        <w:rPr>
          <w:rFonts w:cs="Arial"/>
        </w:rPr>
        <w:t xml:space="preserve">“), a v souladu se záznamem průběhu stavby a výčtem </w:t>
      </w:r>
      <w:r w:rsidR="00ED6E35">
        <w:rPr>
          <w:rFonts w:cs="Arial"/>
        </w:rPr>
        <w:t>výkazů výměr</w:t>
      </w:r>
      <w:r w:rsidRPr="00E10DFE">
        <w:rPr>
          <w:rFonts w:cs="Arial"/>
        </w:rPr>
        <w:t xml:space="preserve"> stavby takto:</w:t>
      </w:r>
    </w:p>
    <w:p w14:paraId="55E7F136" w14:textId="77777777" w:rsidR="005B4CC9" w:rsidRPr="005B4CC9" w:rsidRDefault="005B4CC9" w:rsidP="00F523E8">
      <w:pPr>
        <w:pStyle w:val="Zkladntext"/>
        <w:numPr>
          <w:ilvl w:val="0"/>
          <w:numId w:val="44"/>
        </w:numPr>
        <w:tabs>
          <w:tab w:val="right" w:pos="0"/>
        </w:tabs>
        <w:spacing w:before="240" w:after="240"/>
        <w:ind w:left="357" w:hanging="357"/>
        <w:jc w:val="center"/>
        <w:rPr>
          <w:rFonts w:cs="Arial"/>
          <w:b/>
          <w:bCs/>
          <w:szCs w:val="22"/>
        </w:rPr>
      </w:pPr>
    </w:p>
    <w:p w14:paraId="430F21FC" w14:textId="43ACE20B" w:rsidR="00E93AF2" w:rsidRPr="00F523E8" w:rsidRDefault="005B4CC9" w:rsidP="005B4CC9">
      <w:pPr>
        <w:pStyle w:val="Zkladntext"/>
        <w:tabs>
          <w:tab w:val="right" w:pos="0"/>
        </w:tabs>
        <w:spacing w:before="240" w:after="240"/>
        <w:ind w:left="357"/>
        <w:rPr>
          <w:rFonts w:cs="Arial"/>
          <w:b/>
          <w:bCs/>
          <w:szCs w:val="22"/>
        </w:rPr>
      </w:pPr>
      <w:r>
        <w:rPr>
          <w:rFonts w:cs="Arial"/>
          <w:szCs w:val="22"/>
        </w:rPr>
        <w:t xml:space="preserve">                                                            </w:t>
      </w:r>
      <w:r w:rsidR="00F523E8" w:rsidRPr="00F523E8">
        <w:rPr>
          <w:rFonts w:cs="Arial"/>
          <w:b/>
          <w:bCs/>
          <w:szCs w:val="22"/>
        </w:rPr>
        <w:t>Změny smlouvy</w:t>
      </w:r>
    </w:p>
    <w:p w14:paraId="3F73534A" w14:textId="7A199543" w:rsidR="006305D4" w:rsidRDefault="00F523E8" w:rsidP="006305D4">
      <w:pPr>
        <w:numPr>
          <w:ilvl w:val="1"/>
          <w:numId w:val="44"/>
        </w:numPr>
        <w:tabs>
          <w:tab w:val="left" w:pos="0"/>
        </w:tabs>
        <w:spacing w:before="120" w:after="120" w:line="276" w:lineRule="auto"/>
        <w:ind w:left="0" w:firstLine="0"/>
        <w:rPr>
          <w:rFonts w:cs="Arial"/>
          <w:szCs w:val="22"/>
          <w:u w:val="single"/>
        </w:rPr>
      </w:pPr>
      <w:r>
        <w:rPr>
          <w:rFonts w:cs="Arial"/>
          <w:szCs w:val="22"/>
          <w:u w:val="single"/>
        </w:rPr>
        <w:t>Č</w:t>
      </w:r>
      <w:r w:rsidR="006305D4" w:rsidRPr="00E10DFE">
        <w:rPr>
          <w:rFonts w:cs="Arial"/>
          <w:szCs w:val="22"/>
          <w:u w:val="single"/>
        </w:rPr>
        <w:t xml:space="preserve">lánek </w:t>
      </w:r>
      <w:r w:rsidR="006305D4">
        <w:rPr>
          <w:rFonts w:cs="Arial"/>
          <w:szCs w:val="22"/>
          <w:u w:val="single"/>
        </w:rPr>
        <w:t>3</w:t>
      </w:r>
      <w:r w:rsidR="006305D4" w:rsidRPr="00E10DFE">
        <w:rPr>
          <w:rFonts w:cs="Arial"/>
          <w:szCs w:val="22"/>
          <w:u w:val="single"/>
        </w:rPr>
        <w:t xml:space="preserve"> odst. </w:t>
      </w:r>
      <w:r w:rsidR="006305D4">
        <w:rPr>
          <w:rFonts w:cs="Arial"/>
          <w:szCs w:val="22"/>
          <w:u w:val="single"/>
        </w:rPr>
        <w:t>3.2</w:t>
      </w:r>
      <w:r w:rsidR="006305D4" w:rsidRPr="00E10DFE">
        <w:rPr>
          <w:rFonts w:cs="Arial"/>
          <w:szCs w:val="22"/>
          <w:u w:val="single"/>
        </w:rPr>
        <w:t xml:space="preserve"> smlouvy se ruší a nahrazuje tímto zněním:</w:t>
      </w:r>
    </w:p>
    <w:p w14:paraId="6B601A58" w14:textId="65A88722" w:rsidR="000F0D55" w:rsidRDefault="00F523E8" w:rsidP="000F0D55">
      <w:pPr>
        <w:spacing w:after="120"/>
        <w:rPr>
          <w:szCs w:val="22"/>
        </w:rPr>
      </w:pPr>
      <w:r>
        <w:rPr>
          <w:szCs w:val="22"/>
        </w:rPr>
        <w:t>„</w:t>
      </w:r>
      <w:r w:rsidR="000F0D55" w:rsidRPr="000F0D55">
        <w:rPr>
          <w:szCs w:val="22"/>
        </w:rPr>
        <w:t xml:space="preserve">3.2.     Termín ukončení: do </w:t>
      </w:r>
      <w:r w:rsidR="00D7783E">
        <w:rPr>
          <w:szCs w:val="22"/>
        </w:rPr>
        <w:t>31. 1. 2020</w:t>
      </w:r>
      <w:r>
        <w:rPr>
          <w:szCs w:val="22"/>
        </w:rPr>
        <w:t>“</w:t>
      </w:r>
    </w:p>
    <w:p w14:paraId="3454CD96" w14:textId="77777777" w:rsidR="00DA36FF" w:rsidRDefault="00DA36FF" w:rsidP="000F0D55">
      <w:pPr>
        <w:spacing w:after="120"/>
        <w:rPr>
          <w:szCs w:val="22"/>
        </w:rPr>
      </w:pPr>
    </w:p>
    <w:p w14:paraId="15D9D997" w14:textId="6B119776" w:rsidR="00D7783E" w:rsidRDefault="00F523E8" w:rsidP="00D7783E">
      <w:pPr>
        <w:numPr>
          <w:ilvl w:val="1"/>
          <w:numId w:val="44"/>
        </w:numPr>
        <w:tabs>
          <w:tab w:val="left" w:pos="0"/>
        </w:tabs>
        <w:spacing w:before="120" w:after="120" w:line="276" w:lineRule="auto"/>
        <w:ind w:left="0" w:firstLine="0"/>
        <w:rPr>
          <w:rFonts w:cs="Arial"/>
          <w:szCs w:val="22"/>
          <w:u w:val="single"/>
        </w:rPr>
      </w:pPr>
      <w:r>
        <w:rPr>
          <w:rFonts w:cs="Arial"/>
          <w:szCs w:val="22"/>
          <w:u w:val="single"/>
        </w:rPr>
        <w:t xml:space="preserve">Do </w:t>
      </w:r>
      <w:r w:rsidR="00D7783E" w:rsidRPr="00E10DFE">
        <w:rPr>
          <w:rFonts w:cs="Arial"/>
          <w:szCs w:val="22"/>
          <w:u w:val="single"/>
        </w:rPr>
        <w:t>článk</w:t>
      </w:r>
      <w:r w:rsidR="00D26992">
        <w:rPr>
          <w:rFonts w:cs="Arial"/>
          <w:szCs w:val="22"/>
          <w:u w:val="single"/>
        </w:rPr>
        <w:t>u</w:t>
      </w:r>
      <w:r w:rsidR="00D7783E" w:rsidRPr="00E10DFE">
        <w:rPr>
          <w:rFonts w:cs="Arial"/>
          <w:szCs w:val="22"/>
          <w:u w:val="single"/>
        </w:rPr>
        <w:t xml:space="preserve"> </w:t>
      </w:r>
      <w:r w:rsidR="00D7783E">
        <w:rPr>
          <w:rFonts w:cs="Arial"/>
          <w:szCs w:val="22"/>
          <w:u w:val="single"/>
        </w:rPr>
        <w:t>3</w:t>
      </w:r>
      <w:r w:rsidR="00D7783E" w:rsidRPr="00E10DFE">
        <w:rPr>
          <w:rFonts w:cs="Arial"/>
          <w:szCs w:val="22"/>
          <w:u w:val="single"/>
        </w:rPr>
        <w:t xml:space="preserve"> se </w:t>
      </w:r>
      <w:r w:rsidR="00D7783E">
        <w:rPr>
          <w:rFonts w:cs="Arial"/>
          <w:szCs w:val="22"/>
          <w:u w:val="single"/>
        </w:rPr>
        <w:t>vkládá odst. 3.3 s tímto zněním</w:t>
      </w:r>
      <w:r w:rsidR="00D7783E" w:rsidRPr="00E10DFE">
        <w:rPr>
          <w:rFonts w:cs="Arial"/>
          <w:szCs w:val="22"/>
          <w:u w:val="single"/>
        </w:rPr>
        <w:t>:</w:t>
      </w:r>
    </w:p>
    <w:p w14:paraId="389D4B27" w14:textId="4F7EA349" w:rsidR="006305D4" w:rsidRDefault="00F523E8" w:rsidP="00C72351">
      <w:pPr>
        <w:spacing w:after="120"/>
      </w:pPr>
      <w:r>
        <w:t>„</w:t>
      </w:r>
      <w:r w:rsidR="00DA36FF">
        <w:t xml:space="preserve">3.3 </w:t>
      </w:r>
      <w:r w:rsidR="00DA36FF">
        <w:tab/>
      </w:r>
      <w:r w:rsidR="00B97E55" w:rsidRPr="00D7783E">
        <w:t xml:space="preserve">Termín ukončení díla lze prodloužit o dobu, po kterou nebylo z důvodu nepříznivého počasí možné provádět práce v souladu s technologickým postupem stanoveným pro jednotlivé druhy prací. Při uplatnění prodloužení termínu z tohoto důvodu je </w:t>
      </w:r>
      <w:r w:rsidR="00ED6E35">
        <w:t>dodavatel</w:t>
      </w:r>
      <w:r w:rsidR="00B97E55" w:rsidRPr="00D7783E">
        <w:t xml:space="preserve"> povinen za každý jednotlivý den, o který má být termín prodloužen, předložit objednateli stavební deník se soupisem neprováděných prací majících vliv na termín dokončení díla a zápisem o stavu počasí v ranních i odpoledních hodinách.</w:t>
      </w:r>
      <w:r w:rsidR="00C72351">
        <w:t xml:space="preserve"> </w:t>
      </w:r>
      <w:r w:rsidR="00551E45">
        <w:t>Záměr p</w:t>
      </w:r>
      <w:r w:rsidR="00C72351">
        <w:t>řerušení prací je však dodavatel povinen neprodleně oznámit objednateli.</w:t>
      </w:r>
      <w:r>
        <w:t>“</w:t>
      </w:r>
    </w:p>
    <w:p w14:paraId="001DBEED" w14:textId="77777777" w:rsidR="00DA36FF" w:rsidRPr="00C72351" w:rsidRDefault="00DA36FF" w:rsidP="00C72351">
      <w:pPr>
        <w:spacing w:after="120"/>
        <w:rPr>
          <w:szCs w:val="22"/>
        </w:rPr>
      </w:pPr>
    </w:p>
    <w:p w14:paraId="369790CC" w14:textId="6E905498" w:rsidR="00E93AF2" w:rsidRPr="00E10DFE" w:rsidRDefault="00F523E8" w:rsidP="00E93AF2">
      <w:pPr>
        <w:numPr>
          <w:ilvl w:val="1"/>
          <w:numId w:val="44"/>
        </w:numPr>
        <w:tabs>
          <w:tab w:val="left" w:pos="0"/>
        </w:tabs>
        <w:spacing w:before="120" w:after="120" w:line="276" w:lineRule="auto"/>
        <w:ind w:left="0" w:firstLine="0"/>
        <w:rPr>
          <w:rFonts w:cs="Arial"/>
          <w:szCs w:val="22"/>
          <w:u w:val="single"/>
        </w:rPr>
      </w:pPr>
      <w:r>
        <w:rPr>
          <w:rFonts w:cs="Arial"/>
          <w:szCs w:val="22"/>
          <w:u w:val="single"/>
        </w:rPr>
        <w:t>Č</w:t>
      </w:r>
      <w:r w:rsidR="00E93AF2" w:rsidRPr="00E10DFE">
        <w:rPr>
          <w:rFonts w:cs="Arial"/>
          <w:szCs w:val="22"/>
          <w:u w:val="single"/>
        </w:rPr>
        <w:t xml:space="preserve">lánek </w:t>
      </w:r>
      <w:r w:rsidR="007874F8">
        <w:rPr>
          <w:rFonts w:cs="Arial"/>
          <w:szCs w:val="22"/>
          <w:u w:val="single"/>
        </w:rPr>
        <w:t>4</w:t>
      </w:r>
      <w:r w:rsidR="00E93AF2" w:rsidRPr="00E10DFE">
        <w:rPr>
          <w:rFonts w:cs="Arial"/>
          <w:szCs w:val="22"/>
          <w:u w:val="single"/>
        </w:rPr>
        <w:t xml:space="preserve"> odst. </w:t>
      </w:r>
      <w:r w:rsidR="007874F8">
        <w:rPr>
          <w:rFonts w:cs="Arial"/>
          <w:szCs w:val="22"/>
          <w:u w:val="single"/>
        </w:rPr>
        <w:t>4.</w:t>
      </w:r>
      <w:r w:rsidR="00E93AF2" w:rsidRPr="00E10DFE">
        <w:rPr>
          <w:rFonts w:cs="Arial"/>
          <w:szCs w:val="22"/>
          <w:u w:val="single"/>
        </w:rPr>
        <w:t>1 smlouvy se ruší a nahrazuje tímto zněním:</w:t>
      </w:r>
    </w:p>
    <w:p w14:paraId="7C65E5AC" w14:textId="48279A4D" w:rsidR="007874F8" w:rsidRDefault="00F523E8" w:rsidP="007874F8">
      <w:pPr>
        <w:rPr>
          <w:rFonts w:cs="Arial"/>
          <w:color w:val="000000"/>
          <w:szCs w:val="22"/>
        </w:rPr>
      </w:pPr>
      <w:r>
        <w:rPr>
          <w:color w:val="000000"/>
          <w:szCs w:val="22"/>
        </w:rPr>
        <w:t>„</w:t>
      </w:r>
      <w:r w:rsidR="00DA36FF">
        <w:rPr>
          <w:color w:val="000000"/>
          <w:szCs w:val="22"/>
        </w:rPr>
        <w:t>4.1</w:t>
      </w:r>
      <w:r w:rsidR="00DA36FF">
        <w:rPr>
          <w:color w:val="000000"/>
          <w:szCs w:val="22"/>
        </w:rPr>
        <w:tab/>
      </w:r>
      <w:r w:rsidR="007874F8" w:rsidRPr="00964C4D">
        <w:rPr>
          <w:color w:val="000000"/>
          <w:szCs w:val="22"/>
        </w:rPr>
        <w:t>C</w:t>
      </w:r>
      <w:r w:rsidR="007874F8">
        <w:rPr>
          <w:color w:val="000000"/>
          <w:szCs w:val="22"/>
        </w:rPr>
        <w:t>elková c</w:t>
      </w:r>
      <w:r w:rsidR="007874F8" w:rsidRPr="00964C4D">
        <w:rPr>
          <w:color w:val="000000"/>
          <w:szCs w:val="22"/>
        </w:rPr>
        <w:t xml:space="preserve">ena díla je stanovena dohodou smluvních stran v souladu s cenovou nabídkou </w:t>
      </w:r>
      <w:r w:rsidR="007874F8">
        <w:rPr>
          <w:rFonts w:cs="Arial"/>
          <w:szCs w:val="22"/>
        </w:rPr>
        <w:t>dodavatel</w:t>
      </w:r>
      <w:r w:rsidR="007874F8" w:rsidRPr="00964C4D">
        <w:rPr>
          <w:color w:val="000000"/>
          <w:szCs w:val="22"/>
        </w:rPr>
        <w:t>e na realizaci předmětu díla</w:t>
      </w:r>
      <w:r>
        <w:rPr>
          <w:color w:val="000000"/>
          <w:szCs w:val="22"/>
        </w:rPr>
        <w:t>,</w:t>
      </w:r>
      <w:r w:rsidR="007874F8" w:rsidRPr="00964C4D">
        <w:rPr>
          <w:color w:val="000000"/>
          <w:szCs w:val="22"/>
        </w:rPr>
        <w:t xml:space="preserve"> </w:t>
      </w:r>
      <w:r>
        <w:rPr>
          <w:color w:val="000000"/>
          <w:szCs w:val="22"/>
        </w:rPr>
        <w:t>jenž tvoří Přílohu</w:t>
      </w:r>
      <w:r w:rsidR="00551E45">
        <w:rPr>
          <w:color w:val="000000"/>
          <w:szCs w:val="22"/>
        </w:rPr>
        <w:t xml:space="preserve"> č. 2</w:t>
      </w:r>
      <w:r w:rsidR="007874F8" w:rsidRPr="00964C4D">
        <w:rPr>
          <w:color w:val="000000"/>
          <w:szCs w:val="22"/>
        </w:rPr>
        <w:t>,</w:t>
      </w:r>
      <w:r w:rsidR="00FA5FD4">
        <w:rPr>
          <w:color w:val="000000"/>
          <w:szCs w:val="22"/>
        </w:rPr>
        <w:t xml:space="preserve"> a</w:t>
      </w:r>
      <w:r w:rsidR="007874F8" w:rsidRPr="00964C4D">
        <w:rPr>
          <w:color w:val="000000"/>
          <w:szCs w:val="22"/>
        </w:rPr>
        <w:t xml:space="preserve"> </w:t>
      </w:r>
      <w:r>
        <w:rPr>
          <w:color w:val="000000"/>
          <w:szCs w:val="22"/>
        </w:rPr>
        <w:t>je</w:t>
      </w:r>
      <w:r w:rsidR="007874F8" w:rsidRPr="00964C4D">
        <w:rPr>
          <w:color w:val="000000"/>
          <w:szCs w:val="22"/>
        </w:rPr>
        <w:t xml:space="preserve"> ve výši:</w:t>
      </w:r>
      <w:r w:rsidR="007874F8" w:rsidRPr="00964C4D">
        <w:rPr>
          <w:rFonts w:cs="Arial"/>
          <w:color w:val="000000"/>
          <w:szCs w:val="22"/>
        </w:rPr>
        <w:t xml:space="preserve"> </w:t>
      </w:r>
    </w:p>
    <w:p w14:paraId="2B8DAEBB" w14:textId="77777777" w:rsidR="00551E45" w:rsidRDefault="00551E45" w:rsidP="007874F8">
      <w:pPr>
        <w:rPr>
          <w:rFonts w:cs="Arial"/>
          <w:color w:val="000000"/>
          <w:szCs w:val="22"/>
        </w:rPr>
      </w:pPr>
    </w:p>
    <w:p w14:paraId="0C12E1A5" w14:textId="4833F4DF" w:rsidR="00DA36FF" w:rsidRDefault="00DA36FF" w:rsidP="007874F8">
      <w:pPr>
        <w:pStyle w:val="Zkladntext"/>
        <w:tabs>
          <w:tab w:val="right" w:pos="0"/>
        </w:tabs>
        <w:spacing w:after="240"/>
        <w:rPr>
          <w:color w:val="000000"/>
          <w:szCs w:val="22"/>
        </w:rPr>
      </w:pPr>
      <w:r>
        <w:rPr>
          <w:rFonts w:cs="Arial"/>
          <w:b/>
          <w:bCs/>
          <w:color w:val="000000"/>
          <w:szCs w:val="22"/>
        </w:rPr>
        <w:tab/>
      </w:r>
      <w:r>
        <w:rPr>
          <w:rFonts w:cs="Arial"/>
          <w:b/>
          <w:bCs/>
          <w:color w:val="000000"/>
          <w:szCs w:val="22"/>
        </w:rPr>
        <w:tab/>
      </w:r>
      <w:r>
        <w:rPr>
          <w:rFonts w:cs="Arial"/>
          <w:b/>
          <w:bCs/>
          <w:color w:val="000000"/>
          <w:szCs w:val="22"/>
        </w:rPr>
        <w:tab/>
      </w:r>
      <w:r>
        <w:rPr>
          <w:rFonts w:cs="Arial"/>
          <w:b/>
          <w:bCs/>
          <w:color w:val="000000"/>
          <w:szCs w:val="22"/>
        </w:rPr>
        <w:tab/>
      </w:r>
      <w:r w:rsidR="00551E45">
        <w:rPr>
          <w:rFonts w:cs="Arial"/>
          <w:b/>
          <w:bCs/>
          <w:color w:val="000000"/>
          <w:szCs w:val="22"/>
        </w:rPr>
        <w:t>1</w:t>
      </w:r>
      <w:r w:rsidR="00D26992">
        <w:rPr>
          <w:rFonts w:cs="Arial"/>
          <w:b/>
          <w:bCs/>
          <w:color w:val="000000"/>
          <w:szCs w:val="22"/>
        </w:rPr>
        <w:t> 736 651</w:t>
      </w:r>
      <w:r w:rsidR="007874F8" w:rsidRPr="00954C15">
        <w:rPr>
          <w:rFonts w:cs="Arial"/>
          <w:b/>
          <w:bCs/>
          <w:color w:val="000000"/>
          <w:szCs w:val="22"/>
        </w:rPr>
        <w:t>,</w:t>
      </w:r>
      <w:r w:rsidR="00551E45">
        <w:rPr>
          <w:rFonts w:cs="Arial"/>
          <w:b/>
          <w:bCs/>
          <w:color w:val="000000"/>
          <w:szCs w:val="22"/>
        </w:rPr>
        <w:t>-</w:t>
      </w:r>
      <w:r w:rsidR="007874F8" w:rsidRPr="00954C15">
        <w:rPr>
          <w:rFonts w:cs="Arial"/>
          <w:b/>
          <w:bCs/>
          <w:color w:val="000000"/>
          <w:szCs w:val="22"/>
        </w:rPr>
        <w:t xml:space="preserve"> Kč</w:t>
      </w:r>
      <w:r w:rsidR="007874F8" w:rsidRPr="00964C4D">
        <w:rPr>
          <w:b/>
          <w:color w:val="000000"/>
          <w:szCs w:val="22"/>
        </w:rPr>
        <w:t xml:space="preserve"> </w:t>
      </w:r>
      <w:r w:rsidR="007874F8" w:rsidRPr="00964C4D">
        <w:rPr>
          <w:color w:val="000000"/>
          <w:szCs w:val="22"/>
        </w:rPr>
        <w:t xml:space="preserve">plus DPH, </w:t>
      </w:r>
    </w:p>
    <w:p w14:paraId="416E0D5F" w14:textId="0E18C2A2" w:rsidR="00E93AF2" w:rsidRDefault="00DA36FF" w:rsidP="007874F8">
      <w:pPr>
        <w:pStyle w:val="Zkladntext"/>
        <w:tabs>
          <w:tab w:val="right" w:pos="0"/>
        </w:tabs>
        <w:spacing w:after="240"/>
        <w:rPr>
          <w:color w:val="000000"/>
          <w:szCs w:val="22"/>
        </w:rPr>
      </w:pPr>
      <w:r>
        <w:rPr>
          <w:color w:val="000000"/>
          <w:szCs w:val="22"/>
        </w:rPr>
        <w:tab/>
      </w:r>
      <w:r w:rsidR="007874F8" w:rsidRPr="00964C4D">
        <w:rPr>
          <w:color w:val="000000"/>
          <w:szCs w:val="22"/>
        </w:rPr>
        <w:t xml:space="preserve">(slovy: </w:t>
      </w:r>
      <w:r w:rsidR="00551E45">
        <w:rPr>
          <w:color w:val="000000"/>
          <w:szCs w:val="22"/>
        </w:rPr>
        <w:t>Jedenmilonsedmse</w:t>
      </w:r>
      <w:r w:rsidR="00D26992">
        <w:rPr>
          <w:color w:val="000000"/>
          <w:szCs w:val="22"/>
        </w:rPr>
        <w:t>ttřicetšesttisícšestsetpadesátjedna</w:t>
      </w:r>
      <w:r w:rsidR="007874F8">
        <w:rPr>
          <w:color w:val="000000"/>
          <w:szCs w:val="22"/>
        </w:rPr>
        <w:t xml:space="preserve"> </w:t>
      </w:r>
      <w:r w:rsidR="007874F8" w:rsidRPr="00964C4D">
        <w:rPr>
          <w:color w:val="000000"/>
          <w:szCs w:val="22"/>
        </w:rPr>
        <w:t>korun</w:t>
      </w:r>
      <w:r>
        <w:rPr>
          <w:color w:val="000000"/>
          <w:szCs w:val="22"/>
        </w:rPr>
        <w:t xml:space="preserve"> </w:t>
      </w:r>
      <w:r w:rsidR="007874F8" w:rsidRPr="00964C4D">
        <w:rPr>
          <w:color w:val="000000"/>
          <w:szCs w:val="22"/>
        </w:rPr>
        <w:t>českých).</w:t>
      </w:r>
    </w:p>
    <w:p w14:paraId="4E94647A" w14:textId="2319F9FA" w:rsidR="00C72351" w:rsidRPr="00E10DFE" w:rsidRDefault="00F523E8" w:rsidP="00C72351">
      <w:pPr>
        <w:numPr>
          <w:ilvl w:val="1"/>
          <w:numId w:val="44"/>
        </w:numPr>
        <w:tabs>
          <w:tab w:val="left" w:pos="0"/>
        </w:tabs>
        <w:spacing w:before="120" w:after="120" w:line="276" w:lineRule="auto"/>
        <w:ind w:left="0" w:firstLine="0"/>
        <w:rPr>
          <w:rFonts w:cs="Arial"/>
          <w:szCs w:val="22"/>
          <w:u w:val="single"/>
        </w:rPr>
      </w:pPr>
      <w:r>
        <w:rPr>
          <w:rFonts w:cs="Arial"/>
          <w:szCs w:val="22"/>
          <w:u w:val="single"/>
        </w:rPr>
        <w:lastRenderedPageBreak/>
        <w:t>Č</w:t>
      </w:r>
      <w:r w:rsidR="00C72351" w:rsidRPr="00E10DFE">
        <w:rPr>
          <w:rFonts w:cs="Arial"/>
          <w:szCs w:val="22"/>
          <w:u w:val="single"/>
        </w:rPr>
        <w:t xml:space="preserve">lánek </w:t>
      </w:r>
      <w:r w:rsidR="00C72351">
        <w:rPr>
          <w:rFonts w:cs="Arial"/>
          <w:szCs w:val="22"/>
          <w:u w:val="single"/>
        </w:rPr>
        <w:t>4</w:t>
      </w:r>
      <w:r w:rsidR="00C72351" w:rsidRPr="00E10DFE">
        <w:rPr>
          <w:rFonts w:cs="Arial"/>
          <w:szCs w:val="22"/>
          <w:u w:val="single"/>
        </w:rPr>
        <w:t xml:space="preserve"> odst. </w:t>
      </w:r>
      <w:r w:rsidR="00C72351">
        <w:rPr>
          <w:rFonts w:cs="Arial"/>
          <w:szCs w:val="22"/>
          <w:u w:val="single"/>
        </w:rPr>
        <w:t>4.3</w:t>
      </w:r>
      <w:r w:rsidR="00C72351" w:rsidRPr="00E10DFE">
        <w:rPr>
          <w:rFonts w:cs="Arial"/>
          <w:szCs w:val="22"/>
          <w:u w:val="single"/>
        </w:rPr>
        <w:t xml:space="preserve"> smlouvy se ruší a nahrazuje tímto zněním:</w:t>
      </w:r>
    </w:p>
    <w:p w14:paraId="5851462A" w14:textId="7FD932BC" w:rsidR="00C72351" w:rsidRDefault="00F523E8" w:rsidP="00702A83">
      <w:r>
        <w:rPr>
          <w:rFonts w:cs="Arial"/>
          <w:szCs w:val="22"/>
        </w:rPr>
        <w:t>„</w:t>
      </w:r>
      <w:r w:rsidR="00C72351" w:rsidRPr="00702A83">
        <w:rPr>
          <w:rFonts w:cs="Arial"/>
          <w:szCs w:val="22"/>
        </w:rPr>
        <w:t>C</w:t>
      </w:r>
      <w:r w:rsidR="00C72351" w:rsidRPr="000530F4">
        <w:t xml:space="preserve">ena za dílo bude uhrazena objednatelem </w:t>
      </w:r>
      <w:r w:rsidR="00ED6E35">
        <w:t>dodavatel</w:t>
      </w:r>
      <w:r w:rsidR="00C72351" w:rsidRPr="000530F4">
        <w:t xml:space="preserve">i </w:t>
      </w:r>
      <w:r w:rsidR="00702A83">
        <w:t xml:space="preserve">ve dvou </w:t>
      </w:r>
      <w:r w:rsidR="008433EF">
        <w:t>platbách</w:t>
      </w:r>
      <w:r w:rsidR="00702A83">
        <w:t xml:space="preserve"> s tím, že v první </w:t>
      </w:r>
      <w:r w:rsidR="008433EF">
        <w:t>platbě</w:t>
      </w:r>
      <w:r w:rsidR="00702A83">
        <w:t xml:space="preserve"> budou uhrazeny veškeré prokazatelně provedené a odsouhlasené práce a náklady v roce 2019</w:t>
      </w:r>
      <w:r w:rsidR="008433EF">
        <w:t>.</w:t>
      </w:r>
      <w:r w:rsidR="00702A83">
        <w:t xml:space="preserve"> </w:t>
      </w:r>
      <w:r w:rsidR="008433EF">
        <w:t xml:space="preserve">V </w:t>
      </w:r>
      <w:r w:rsidR="00702A83">
        <w:t xml:space="preserve">druhé </w:t>
      </w:r>
      <w:r w:rsidR="008433EF">
        <w:t>platbě</w:t>
      </w:r>
      <w:r w:rsidR="00702A83">
        <w:t xml:space="preserve"> </w:t>
      </w:r>
      <w:r w:rsidR="008433EF">
        <w:t xml:space="preserve">budou uhrazeny veškeré prokazatelně provedené a odsouhlasené práce a náklady v roce 2020. Druhá platba bude uhrazena </w:t>
      </w:r>
      <w:r w:rsidR="00C72351" w:rsidRPr="000530F4">
        <w:t>po předání a převzetí díla a po odstranění případných vad a nedodělků</w:t>
      </w:r>
      <w:r w:rsidR="008433EF">
        <w:t xml:space="preserve"> v rozsahu celého předmětu díla. Platby budou provedeny</w:t>
      </w:r>
      <w:r w:rsidR="00C72351" w:rsidRPr="000530F4">
        <w:t xml:space="preserve"> na základě </w:t>
      </w:r>
      <w:r w:rsidR="00C72351">
        <w:t>d</w:t>
      </w:r>
      <w:r w:rsidR="00C72351" w:rsidRPr="000530F4">
        <w:t>aňov</w:t>
      </w:r>
      <w:r w:rsidR="008433EF">
        <w:t>ých</w:t>
      </w:r>
      <w:r w:rsidR="00C72351" w:rsidRPr="000530F4">
        <w:t xml:space="preserve"> doklad</w:t>
      </w:r>
      <w:r w:rsidR="008433EF">
        <w:t>ů</w:t>
      </w:r>
      <w:r w:rsidR="00C72351" w:rsidRPr="000530F4">
        <w:t xml:space="preserve"> (faktur) vystaven</w:t>
      </w:r>
      <w:r w:rsidR="000D6373">
        <w:t>ých</w:t>
      </w:r>
      <w:r w:rsidR="00C72351" w:rsidRPr="000530F4">
        <w:t xml:space="preserve"> </w:t>
      </w:r>
      <w:r w:rsidR="00ED6E35">
        <w:t>dodavatel</w:t>
      </w:r>
      <w:r w:rsidR="00C72351" w:rsidRPr="000530F4">
        <w:t>em se splatností minimálně 20 dnů ode dne jeho prokazatelného doručení objednateli</w:t>
      </w:r>
      <w:r w:rsidR="00C72351">
        <w:t xml:space="preserve"> </w:t>
      </w:r>
      <w:r w:rsidR="00C72351" w:rsidRPr="00702A83">
        <w:rPr>
          <w:rFonts w:cs="Arial"/>
        </w:rPr>
        <w:t>na adresu</w:t>
      </w:r>
      <w:r w:rsidR="00ED6E35">
        <w:rPr>
          <w:rFonts w:cs="Arial"/>
        </w:rPr>
        <w:t>:</w:t>
      </w:r>
      <w:bookmarkStart w:id="0" w:name="_GoBack"/>
      <w:bookmarkEnd w:id="0"/>
      <w:r w:rsidR="00C72351">
        <w:t>.</w:t>
      </w:r>
    </w:p>
    <w:p w14:paraId="38BE5226" w14:textId="77777777" w:rsidR="000D6373" w:rsidRDefault="00C72351" w:rsidP="00702A83">
      <w:r>
        <w:t>Na daňov</w:t>
      </w:r>
      <w:r w:rsidR="000D6373">
        <w:t>ých</w:t>
      </w:r>
      <w:r>
        <w:t xml:space="preserve"> doklad</w:t>
      </w:r>
      <w:r w:rsidR="000D6373">
        <w:t>ech</w:t>
      </w:r>
      <w:r>
        <w:t xml:space="preserve"> musí být objednatel uveden následujícím způsobem:</w:t>
      </w:r>
    </w:p>
    <w:p w14:paraId="64BA1240" w14:textId="1B0773D3" w:rsidR="00C72351" w:rsidRDefault="00C72351" w:rsidP="000D6373">
      <w:pPr>
        <w:rPr>
          <w:szCs w:val="22"/>
        </w:rPr>
      </w:pPr>
      <w:r w:rsidRPr="00702A83">
        <w:rPr>
          <w:szCs w:val="22"/>
        </w:rPr>
        <w:t xml:space="preserve">Hlavní město Praha, Mariánské náměstí 2, Praha 1, PSČ: 110 01, IČO: 00064581, </w:t>
      </w:r>
      <w:r w:rsidR="000D6373">
        <w:rPr>
          <w:szCs w:val="22"/>
        </w:rPr>
        <w:t xml:space="preserve">                              </w:t>
      </w:r>
      <w:r w:rsidRPr="00702A83">
        <w:rPr>
          <w:szCs w:val="22"/>
        </w:rPr>
        <w:t xml:space="preserve">DIČ: CZ00064581, </w:t>
      </w:r>
      <w:r w:rsidR="000D6373">
        <w:rPr>
          <w:szCs w:val="22"/>
        </w:rPr>
        <w:t xml:space="preserve"> </w:t>
      </w:r>
      <w:r w:rsidRPr="00702A83">
        <w:rPr>
          <w:szCs w:val="22"/>
        </w:rPr>
        <w:t>v zastoupení TRADE CENTRE PRAHA a.s.,</w:t>
      </w:r>
      <w:r w:rsidR="000D6373">
        <w:rPr>
          <w:szCs w:val="22"/>
        </w:rPr>
        <w:t xml:space="preserve"> </w:t>
      </w:r>
      <w:r w:rsidRPr="00702A83">
        <w:rPr>
          <w:szCs w:val="22"/>
        </w:rPr>
        <w:t xml:space="preserve"> Blanická 1008/28, </w:t>
      </w:r>
      <w:r w:rsidR="000D6373">
        <w:rPr>
          <w:szCs w:val="22"/>
        </w:rPr>
        <w:t xml:space="preserve">  </w:t>
      </w:r>
      <w:r w:rsidRPr="00702A83">
        <w:rPr>
          <w:szCs w:val="22"/>
        </w:rPr>
        <w:t>Praha 2,</w:t>
      </w:r>
      <w:r w:rsidR="000D6373">
        <w:rPr>
          <w:szCs w:val="22"/>
        </w:rPr>
        <w:t xml:space="preserve">   </w:t>
      </w:r>
      <w:r w:rsidRPr="00702A83">
        <w:rPr>
          <w:szCs w:val="22"/>
        </w:rPr>
        <w:t xml:space="preserve"> </w:t>
      </w:r>
      <w:r w:rsidR="000D6373">
        <w:rPr>
          <w:szCs w:val="22"/>
        </w:rPr>
        <w:t xml:space="preserve"> </w:t>
      </w:r>
      <w:r w:rsidRPr="00702A83">
        <w:rPr>
          <w:szCs w:val="22"/>
        </w:rPr>
        <w:t xml:space="preserve">PSČ: </w:t>
      </w:r>
      <w:r w:rsidR="000D6373">
        <w:rPr>
          <w:szCs w:val="22"/>
        </w:rPr>
        <w:t xml:space="preserve">  </w:t>
      </w:r>
      <w:r w:rsidRPr="00702A83">
        <w:rPr>
          <w:szCs w:val="22"/>
        </w:rPr>
        <w:t>120 00,</w:t>
      </w:r>
      <w:r w:rsidR="000D6373">
        <w:rPr>
          <w:szCs w:val="22"/>
        </w:rPr>
        <w:t xml:space="preserve">  </w:t>
      </w:r>
      <w:r w:rsidRPr="00702A83">
        <w:rPr>
          <w:szCs w:val="22"/>
        </w:rPr>
        <w:t>IČO: 00409316,</w:t>
      </w:r>
      <w:r w:rsidR="000D6373">
        <w:rPr>
          <w:szCs w:val="22"/>
        </w:rPr>
        <w:t xml:space="preserve"> </w:t>
      </w:r>
      <w:r w:rsidRPr="00702A83">
        <w:rPr>
          <w:szCs w:val="22"/>
        </w:rPr>
        <w:t>DIČ: CZ00409316</w:t>
      </w:r>
      <w:r w:rsidR="0031499A">
        <w:rPr>
          <w:szCs w:val="22"/>
        </w:rPr>
        <w:t>.</w:t>
      </w:r>
      <w:r w:rsidR="00F523E8">
        <w:rPr>
          <w:szCs w:val="22"/>
        </w:rPr>
        <w:t>“</w:t>
      </w:r>
      <w:r w:rsidR="0031499A">
        <w:rPr>
          <w:szCs w:val="22"/>
        </w:rPr>
        <w:t xml:space="preserve"> </w:t>
      </w:r>
    </w:p>
    <w:p w14:paraId="41571AAF" w14:textId="77777777" w:rsidR="00DA36FF" w:rsidRPr="000D6373" w:rsidRDefault="00DA36FF" w:rsidP="000D6373">
      <w:pPr>
        <w:rPr>
          <w:szCs w:val="22"/>
        </w:rPr>
      </w:pPr>
    </w:p>
    <w:p w14:paraId="1683D2B0" w14:textId="0D66911D" w:rsidR="00A83D81" w:rsidRPr="00A83D81" w:rsidRDefault="00F523E8" w:rsidP="00A83D81">
      <w:pPr>
        <w:numPr>
          <w:ilvl w:val="1"/>
          <w:numId w:val="44"/>
        </w:numPr>
        <w:tabs>
          <w:tab w:val="left" w:pos="0"/>
        </w:tabs>
        <w:spacing w:before="120" w:after="120" w:line="276" w:lineRule="auto"/>
        <w:ind w:left="0" w:firstLine="0"/>
        <w:rPr>
          <w:rFonts w:cs="Arial"/>
          <w:szCs w:val="22"/>
          <w:u w:val="single"/>
        </w:rPr>
      </w:pPr>
      <w:r w:rsidRPr="00F523E8">
        <w:rPr>
          <w:rFonts w:cs="Arial"/>
          <w:szCs w:val="22"/>
          <w:u w:val="single"/>
        </w:rPr>
        <w:t>V</w:t>
      </w:r>
      <w:r w:rsidR="00E43F06" w:rsidRPr="00F523E8">
        <w:rPr>
          <w:rFonts w:cs="Arial"/>
          <w:szCs w:val="22"/>
          <w:u w:val="single"/>
        </w:rPr>
        <w:t xml:space="preserve"> </w:t>
      </w:r>
      <w:r w:rsidR="00DA36FF" w:rsidRPr="00F523E8">
        <w:rPr>
          <w:rFonts w:cs="Arial"/>
          <w:szCs w:val="22"/>
          <w:u w:val="single"/>
        </w:rPr>
        <w:t>článk</w:t>
      </w:r>
      <w:r w:rsidR="00E43F06" w:rsidRPr="00F523E8">
        <w:rPr>
          <w:rFonts w:cs="Arial"/>
          <w:szCs w:val="22"/>
          <w:u w:val="single"/>
        </w:rPr>
        <w:t>u</w:t>
      </w:r>
      <w:r w:rsidR="00E43F06">
        <w:rPr>
          <w:rFonts w:cs="Arial"/>
          <w:szCs w:val="22"/>
          <w:u w:val="single"/>
        </w:rPr>
        <w:t xml:space="preserve"> </w:t>
      </w:r>
      <w:r w:rsidR="00DA36FF">
        <w:rPr>
          <w:rFonts w:cs="Arial"/>
          <w:szCs w:val="22"/>
          <w:u w:val="single"/>
        </w:rPr>
        <w:t>13</w:t>
      </w:r>
      <w:r w:rsidR="00DA36FF" w:rsidRPr="00E10DFE">
        <w:rPr>
          <w:rFonts w:cs="Arial"/>
          <w:szCs w:val="22"/>
          <w:u w:val="single"/>
        </w:rPr>
        <w:t xml:space="preserve"> odst. </w:t>
      </w:r>
      <w:r w:rsidR="00DA36FF">
        <w:rPr>
          <w:rFonts w:cs="Arial"/>
          <w:szCs w:val="22"/>
          <w:u w:val="single"/>
        </w:rPr>
        <w:t>13.1</w:t>
      </w:r>
      <w:r w:rsidR="00DA36FF" w:rsidRPr="00E10DFE">
        <w:rPr>
          <w:rFonts w:cs="Arial"/>
          <w:szCs w:val="22"/>
          <w:u w:val="single"/>
        </w:rPr>
        <w:t xml:space="preserve"> smlouvy se ruší </w:t>
      </w:r>
      <w:r>
        <w:rPr>
          <w:rFonts w:cs="Arial"/>
          <w:szCs w:val="22"/>
          <w:u w:val="single"/>
        </w:rPr>
        <w:t xml:space="preserve">Příloha č. 1 – Výkaz výměr </w:t>
      </w:r>
      <w:r w:rsidR="00DA36FF" w:rsidRPr="00E10DFE">
        <w:rPr>
          <w:rFonts w:cs="Arial"/>
          <w:szCs w:val="22"/>
          <w:u w:val="single"/>
        </w:rPr>
        <w:t xml:space="preserve">a nahrazuje </w:t>
      </w:r>
      <w:r>
        <w:rPr>
          <w:rFonts w:cs="Arial"/>
          <w:szCs w:val="22"/>
          <w:u w:val="single"/>
        </w:rPr>
        <w:t>se</w:t>
      </w:r>
      <w:r w:rsidRPr="00FA5FD4">
        <w:rPr>
          <w:rFonts w:cs="Arial"/>
          <w:szCs w:val="22"/>
        </w:rPr>
        <w:t xml:space="preserve"> </w:t>
      </w:r>
      <w:r w:rsidR="00FA5FD4">
        <w:rPr>
          <w:rFonts w:cs="Arial"/>
          <w:szCs w:val="22"/>
        </w:rPr>
        <w:t>„P</w:t>
      </w:r>
      <w:r w:rsidR="00E43F06" w:rsidRPr="00E43F06">
        <w:rPr>
          <w:rFonts w:cs="Arial"/>
          <w:szCs w:val="22"/>
        </w:rPr>
        <w:t xml:space="preserve">řílohou č. 2 – </w:t>
      </w:r>
      <w:r w:rsidR="00FA5FD4">
        <w:rPr>
          <w:rFonts w:cs="Arial"/>
          <w:szCs w:val="22"/>
        </w:rPr>
        <w:t>V</w:t>
      </w:r>
      <w:r w:rsidR="00E43F06" w:rsidRPr="00E43F06">
        <w:rPr>
          <w:rFonts w:cs="Arial"/>
          <w:szCs w:val="22"/>
        </w:rPr>
        <w:t>ýkaz výměr</w:t>
      </w:r>
      <w:r w:rsidR="00E43F06">
        <w:rPr>
          <w:rFonts w:cs="Arial"/>
          <w:szCs w:val="22"/>
        </w:rPr>
        <w:t>.</w:t>
      </w:r>
      <w:r w:rsidR="00FA5FD4">
        <w:rPr>
          <w:rFonts w:cs="Arial"/>
          <w:szCs w:val="22"/>
        </w:rPr>
        <w:t>“</w:t>
      </w:r>
    </w:p>
    <w:p w14:paraId="32D9CEBE" w14:textId="77777777" w:rsidR="00A83D81" w:rsidRPr="00A83D81" w:rsidRDefault="00A83D81" w:rsidP="00A83D81">
      <w:pPr>
        <w:tabs>
          <w:tab w:val="left" w:pos="0"/>
        </w:tabs>
        <w:spacing w:before="120" w:after="120" w:line="276" w:lineRule="auto"/>
        <w:rPr>
          <w:rFonts w:cs="Arial"/>
          <w:szCs w:val="22"/>
          <w:u w:val="single"/>
        </w:rPr>
      </w:pPr>
    </w:p>
    <w:p w14:paraId="3603D3C6" w14:textId="2BC65BD6" w:rsidR="00E93AF2" w:rsidRDefault="00500194" w:rsidP="00500194">
      <w:pPr>
        <w:pStyle w:val="Zkladntext"/>
        <w:tabs>
          <w:tab w:val="right" w:pos="0"/>
        </w:tabs>
        <w:spacing w:before="240" w:after="240"/>
        <w:jc w:val="center"/>
        <w:rPr>
          <w:rFonts w:cs="Arial"/>
          <w:b/>
          <w:szCs w:val="22"/>
        </w:rPr>
      </w:pPr>
      <w:r w:rsidRPr="003E2DD4">
        <w:rPr>
          <w:rFonts w:cs="Arial"/>
          <w:b/>
          <w:szCs w:val="22"/>
        </w:rPr>
        <w:t>B</w:t>
      </w:r>
    </w:p>
    <w:p w14:paraId="73BDEA78" w14:textId="01AD9BE5" w:rsidR="00FA5FD4" w:rsidRPr="003E2DD4" w:rsidRDefault="00FA5FD4" w:rsidP="00500194">
      <w:pPr>
        <w:pStyle w:val="Zkladntext"/>
        <w:tabs>
          <w:tab w:val="right" w:pos="0"/>
        </w:tabs>
        <w:spacing w:before="240" w:after="240"/>
        <w:jc w:val="center"/>
        <w:rPr>
          <w:rFonts w:cs="Arial"/>
          <w:b/>
          <w:szCs w:val="22"/>
        </w:rPr>
      </w:pPr>
      <w:r>
        <w:rPr>
          <w:rFonts w:cs="Arial"/>
          <w:b/>
          <w:szCs w:val="22"/>
        </w:rPr>
        <w:t>Závěrečné ustanovení</w:t>
      </w:r>
    </w:p>
    <w:p w14:paraId="4BE019BD" w14:textId="77777777" w:rsidR="00E93AF2" w:rsidRPr="00E10DFE" w:rsidRDefault="00E93AF2" w:rsidP="00E93AF2">
      <w:pPr>
        <w:numPr>
          <w:ilvl w:val="1"/>
          <w:numId w:val="46"/>
        </w:numPr>
        <w:spacing w:after="240"/>
        <w:ind w:left="0" w:firstLine="0"/>
        <w:rPr>
          <w:rFonts w:cs="Arial"/>
          <w:szCs w:val="22"/>
        </w:rPr>
      </w:pPr>
      <w:r w:rsidRPr="00E10DFE">
        <w:rPr>
          <w:rFonts w:cs="Arial"/>
          <w:szCs w:val="22"/>
        </w:rPr>
        <w:t>Ostatní ustanovení smlouvy zůstávají beze změny.</w:t>
      </w:r>
    </w:p>
    <w:p w14:paraId="6F483416" w14:textId="535FE154" w:rsidR="00E93AF2" w:rsidRPr="00E10DFE" w:rsidRDefault="00E93AF2" w:rsidP="00E93AF2">
      <w:pPr>
        <w:numPr>
          <w:ilvl w:val="1"/>
          <w:numId w:val="46"/>
        </w:numPr>
        <w:spacing w:after="240"/>
        <w:ind w:left="0" w:firstLine="0"/>
        <w:rPr>
          <w:rFonts w:cs="Arial"/>
          <w:szCs w:val="22"/>
        </w:rPr>
      </w:pPr>
      <w:r w:rsidRPr="00E10DFE">
        <w:rPr>
          <w:rFonts w:cs="Arial"/>
          <w:szCs w:val="22"/>
        </w:rPr>
        <w:t xml:space="preserve">Dodatek č. 1 se vyhotovuje ve čtyřech stejnopisech s platností originálu, z nichž objednatel obdrží tři vyhotovení a </w:t>
      </w:r>
      <w:r w:rsidR="00E77A5F">
        <w:rPr>
          <w:rFonts w:cs="Arial"/>
          <w:szCs w:val="22"/>
        </w:rPr>
        <w:t>dodavatel</w:t>
      </w:r>
      <w:r w:rsidRPr="00E10DFE">
        <w:rPr>
          <w:rFonts w:cs="Arial"/>
          <w:szCs w:val="22"/>
        </w:rPr>
        <w:t xml:space="preserve"> jedno vyhotovení.</w:t>
      </w:r>
    </w:p>
    <w:p w14:paraId="40031452" w14:textId="544F7A5F" w:rsidR="00E93AF2" w:rsidRPr="00E10DFE" w:rsidRDefault="00E93AF2" w:rsidP="00E93AF2">
      <w:pPr>
        <w:numPr>
          <w:ilvl w:val="1"/>
          <w:numId w:val="46"/>
        </w:numPr>
        <w:spacing w:after="240"/>
        <w:ind w:left="0" w:firstLine="0"/>
        <w:rPr>
          <w:rFonts w:cs="Arial"/>
        </w:rPr>
      </w:pPr>
      <w:r w:rsidRPr="00E10DFE">
        <w:rPr>
          <w:rFonts w:cs="Arial"/>
        </w:rPr>
        <w:t>Dodatek č. 1 nabývá platnosti dnem podepsání dodatku oběma smluvními stranami a účinnosti dnem uveřejnění v registru smluv</w:t>
      </w:r>
      <w:r w:rsidR="00FA5FD4">
        <w:rPr>
          <w:rFonts w:cs="Arial"/>
        </w:rPr>
        <w:t xml:space="preserve"> dle odstavce B.VI tohoto dodatku.</w:t>
      </w:r>
    </w:p>
    <w:p w14:paraId="512F7005" w14:textId="77777777" w:rsidR="00E93AF2" w:rsidRPr="00E10DFE" w:rsidRDefault="00E93AF2" w:rsidP="00E93AF2">
      <w:pPr>
        <w:numPr>
          <w:ilvl w:val="1"/>
          <w:numId w:val="46"/>
        </w:numPr>
        <w:spacing w:after="240"/>
        <w:ind w:left="0" w:firstLine="0"/>
        <w:rPr>
          <w:rFonts w:cs="Arial"/>
          <w:szCs w:val="22"/>
        </w:rPr>
      </w:pPr>
      <w:r w:rsidRPr="00E10DFE">
        <w:rPr>
          <w:rFonts w:cs="Arial"/>
          <w:szCs w:val="22"/>
        </w:rPr>
        <w:t>Smluvní strany výslovně souhlasí s tím, aby tento dodatek č. 1 byl uveden v Centrální evidenci smluv (CES) vedené hl. m. Prahou, která je veřejně přístupná a která obsahuje údaje o smluvních stranách, číselné označení smlouvy, resp. dodatku smlouvy, datum jejího podpisu a text tohoto dodatku smlouvy.</w:t>
      </w:r>
    </w:p>
    <w:p w14:paraId="23E94EAD" w14:textId="77777777" w:rsidR="00E93AF2" w:rsidRPr="00E10DFE" w:rsidRDefault="00E93AF2" w:rsidP="00E93AF2">
      <w:pPr>
        <w:numPr>
          <w:ilvl w:val="1"/>
          <w:numId w:val="46"/>
        </w:numPr>
        <w:spacing w:after="240"/>
        <w:ind w:left="0" w:firstLine="0"/>
        <w:rPr>
          <w:rFonts w:cs="Arial"/>
          <w:szCs w:val="22"/>
        </w:rPr>
      </w:pPr>
      <w:r w:rsidRPr="00E10DFE">
        <w:rPr>
          <w:rFonts w:cs="Arial"/>
          <w:szCs w:val="22"/>
        </w:rPr>
        <w:t>Smluvní strany prohlašují, že skutečnosti uvedené v tomto dodatku č. 1 nepovažují za obchodní tajemství ve smyslu § 504 občanského zákoníku, a udělují svolení k jejich užití a zveřejnění bez stanovení jakýchkoli dalších podmínek.</w:t>
      </w:r>
    </w:p>
    <w:p w14:paraId="487C1B0A" w14:textId="77777777" w:rsidR="00E93AF2" w:rsidRPr="00E10DFE" w:rsidRDefault="00E93AF2" w:rsidP="00E93AF2">
      <w:pPr>
        <w:numPr>
          <w:ilvl w:val="1"/>
          <w:numId w:val="46"/>
        </w:numPr>
        <w:spacing w:after="240"/>
        <w:ind w:left="0" w:firstLine="0"/>
        <w:rPr>
          <w:rFonts w:cs="Arial"/>
          <w:szCs w:val="22"/>
        </w:rPr>
      </w:pPr>
      <w:r w:rsidRPr="00E10DFE">
        <w:rPr>
          <w:rFonts w:cs="Arial"/>
          <w:szCs w:val="22"/>
        </w:rPr>
        <w:t>Tento dodatek č. 1 bude uveřejněn společností TRADE CENTRE PRAHA a.s. v souladu se zákonem č. 340/2015 Sb., o zvláštních podmínkách účinnosti některých smluv, uveřejňování těchto smluv a o registru smluv (zákon o registru smluv), v platném znění.</w:t>
      </w:r>
    </w:p>
    <w:p w14:paraId="3DB7E978" w14:textId="00D4F9B2" w:rsidR="00E93AF2" w:rsidRDefault="00E93AF2" w:rsidP="00E93AF2">
      <w:pPr>
        <w:numPr>
          <w:ilvl w:val="1"/>
          <w:numId w:val="46"/>
        </w:numPr>
        <w:spacing w:after="240"/>
        <w:ind w:left="0" w:firstLine="0"/>
        <w:rPr>
          <w:rFonts w:cs="Arial"/>
          <w:szCs w:val="22"/>
        </w:rPr>
      </w:pPr>
      <w:r w:rsidRPr="00E10DFE">
        <w:rPr>
          <w:rFonts w:cs="Arial"/>
          <w:szCs w:val="22"/>
        </w:rPr>
        <w:t>Obě smluvní strany prohlašují, že došlo k dohodě o celém obsahu dodatku č. 1, jeho znění rozumí, že tento dodatek č. 1 vyjadřuje jejich svobodnou a vážně míněnou vůli, nebyl uzavřen v tísni za nápadně nevýhodných podmínek a na důkaz souhlasu s jeho obsahem připojují své níže uvedené podpisy.</w:t>
      </w:r>
    </w:p>
    <w:p w14:paraId="057BD871" w14:textId="7B2B120F" w:rsidR="00A83D81" w:rsidRDefault="00A83D81" w:rsidP="00A83D81">
      <w:pPr>
        <w:spacing w:after="240"/>
        <w:rPr>
          <w:rFonts w:cs="Arial"/>
          <w:szCs w:val="22"/>
        </w:rPr>
      </w:pPr>
    </w:p>
    <w:p w14:paraId="3E60B8D3" w14:textId="1F9F5C7B" w:rsidR="00A83D81" w:rsidRDefault="00A83D81" w:rsidP="00A83D81">
      <w:pPr>
        <w:spacing w:after="240"/>
        <w:rPr>
          <w:rFonts w:cs="Arial"/>
          <w:szCs w:val="22"/>
        </w:rPr>
      </w:pPr>
    </w:p>
    <w:p w14:paraId="3FABAEC1" w14:textId="385BF44F" w:rsidR="00A83D81" w:rsidRDefault="00A83D81" w:rsidP="00A83D81">
      <w:pPr>
        <w:spacing w:after="240"/>
        <w:rPr>
          <w:rFonts w:cs="Arial"/>
          <w:szCs w:val="22"/>
        </w:rPr>
      </w:pPr>
    </w:p>
    <w:p w14:paraId="53846693" w14:textId="77777777" w:rsidR="00E93AF2" w:rsidRPr="00E10DFE" w:rsidRDefault="00E93AF2" w:rsidP="00E93AF2">
      <w:pPr>
        <w:numPr>
          <w:ilvl w:val="1"/>
          <w:numId w:val="46"/>
        </w:numPr>
        <w:spacing w:after="240"/>
        <w:ind w:left="0" w:firstLine="0"/>
        <w:rPr>
          <w:rFonts w:cs="Arial"/>
          <w:szCs w:val="22"/>
        </w:rPr>
      </w:pPr>
      <w:r w:rsidRPr="00E10DFE">
        <w:rPr>
          <w:rFonts w:cs="Arial"/>
          <w:szCs w:val="22"/>
        </w:rPr>
        <w:lastRenderedPageBreak/>
        <w:t>Následující přílohy tvoří nedílnou součást dodatku č. 1:</w:t>
      </w:r>
    </w:p>
    <w:p w14:paraId="1A293ACE" w14:textId="77777777" w:rsidR="004E5CB3" w:rsidRPr="00E10DFE" w:rsidRDefault="004E5CB3" w:rsidP="00E93AF2">
      <w:pPr>
        <w:ind w:firstLine="567"/>
        <w:rPr>
          <w:rFonts w:cs="Arial"/>
          <w:szCs w:val="22"/>
        </w:rPr>
      </w:pPr>
    </w:p>
    <w:p w14:paraId="19600845" w14:textId="7AD162DA" w:rsidR="00E93AF2" w:rsidRDefault="00E93AF2" w:rsidP="00E93AF2">
      <w:pPr>
        <w:ind w:firstLine="567"/>
        <w:rPr>
          <w:rFonts w:cs="Arial"/>
          <w:szCs w:val="22"/>
        </w:rPr>
      </w:pPr>
      <w:r w:rsidRPr="00E10DFE">
        <w:rPr>
          <w:rFonts w:cs="Arial"/>
          <w:szCs w:val="22"/>
        </w:rPr>
        <w:t xml:space="preserve">Příloha č. </w:t>
      </w:r>
      <w:r w:rsidR="00DA36FF">
        <w:rPr>
          <w:rFonts w:cs="Arial"/>
          <w:szCs w:val="22"/>
        </w:rPr>
        <w:t>2</w:t>
      </w:r>
      <w:r w:rsidRPr="00E10DFE">
        <w:rPr>
          <w:rFonts w:cs="Arial"/>
          <w:szCs w:val="22"/>
        </w:rPr>
        <w:t xml:space="preserve"> – </w:t>
      </w:r>
      <w:r w:rsidR="00E43F06">
        <w:rPr>
          <w:rFonts w:cs="Arial"/>
          <w:szCs w:val="22"/>
        </w:rPr>
        <w:t>V</w:t>
      </w:r>
      <w:r w:rsidR="00DA36FF">
        <w:rPr>
          <w:rFonts w:cs="Arial"/>
          <w:szCs w:val="22"/>
        </w:rPr>
        <w:t>ýkaz výměr</w:t>
      </w:r>
    </w:p>
    <w:p w14:paraId="61794A69" w14:textId="63457244" w:rsidR="00E43F06" w:rsidRPr="00E10DFE" w:rsidRDefault="00E43F06" w:rsidP="00E93AF2">
      <w:pPr>
        <w:ind w:firstLine="567"/>
        <w:rPr>
          <w:rFonts w:cs="Arial"/>
          <w:szCs w:val="22"/>
        </w:rPr>
      </w:pPr>
      <w:r>
        <w:rPr>
          <w:rFonts w:cs="Arial"/>
          <w:szCs w:val="22"/>
        </w:rPr>
        <w:t>Příloha č. 3 – Zdůvodnění víceprací na stavbě vypracovaný spol. HABENA spol. s r.o.</w:t>
      </w:r>
    </w:p>
    <w:p w14:paraId="142A0401" w14:textId="77777777" w:rsidR="00E93AF2" w:rsidRPr="00E10DFE" w:rsidRDefault="00E93AF2" w:rsidP="00E93AF2">
      <w:pPr>
        <w:ind w:left="720"/>
        <w:rPr>
          <w:rFonts w:cs="Arial"/>
          <w:szCs w:val="22"/>
        </w:rPr>
      </w:pPr>
    </w:p>
    <w:p w14:paraId="2D9FFB89" w14:textId="77777777" w:rsidR="00E93AF2" w:rsidRPr="00E10DFE" w:rsidRDefault="00E93AF2" w:rsidP="00E93AF2">
      <w:pPr>
        <w:ind w:left="567" w:hanging="567"/>
        <w:rPr>
          <w:rFonts w:cs="Arial"/>
        </w:rPr>
      </w:pPr>
    </w:p>
    <w:p w14:paraId="3AC1AA15" w14:textId="77777777" w:rsidR="004E5CB3" w:rsidRPr="00E10DFE" w:rsidRDefault="004E5CB3" w:rsidP="00E93AF2">
      <w:pPr>
        <w:ind w:left="567" w:hanging="567"/>
        <w:rPr>
          <w:rFonts w:cs="Arial"/>
        </w:rPr>
      </w:pPr>
    </w:p>
    <w:p w14:paraId="32A6B8C7" w14:textId="77777777" w:rsidR="004E5CB3" w:rsidRPr="00E10DFE" w:rsidRDefault="004E5CB3" w:rsidP="00E93AF2">
      <w:pPr>
        <w:ind w:left="567" w:hanging="567"/>
        <w:rPr>
          <w:rFonts w:cs="Arial"/>
        </w:rPr>
      </w:pPr>
    </w:p>
    <w:p w14:paraId="1E6D4428" w14:textId="79DB0C01" w:rsidR="00E93AF2" w:rsidRPr="00E10DFE" w:rsidRDefault="00E93AF2" w:rsidP="00E93AF2">
      <w:pPr>
        <w:ind w:left="567" w:hanging="567"/>
        <w:rPr>
          <w:rFonts w:cs="Arial"/>
        </w:rPr>
      </w:pPr>
      <w:r w:rsidRPr="00E10DFE">
        <w:rPr>
          <w:rFonts w:cs="Arial"/>
        </w:rPr>
        <w:t>Za objednatele</w:t>
      </w:r>
      <w:r w:rsidRPr="00E10DFE">
        <w:rPr>
          <w:rFonts w:cs="Arial"/>
        </w:rPr>
        <w:tab/>
        <w:t xml:space="preserve">                                                        Za </w:t>
      </w:r>
      <w:r w:rsidR="00E77A5F">
        <w:rPr>
          <w:rFonts w:cs="Arial"/>
        </w:rPr>
        <w:t>dodavatele</w:t>
      </w:r>
    </w:p>
    <w:p w14:paraId="60DC78E3" w14:textId="77777777" w:rsidR="00E93AF2" w:rsidRPr="00E10DFE" w:rsidRDefault="00E93AF2" w:rsidP="00E93AF2">
      <w:pPr>
        <w:tabs>
          <w:tab w:val="left" w:pos="5670"/>
        </w:tabs>
        <w:ind w:left="567" w:hanging="567"/>
        <w:rPr>
          <w:rFonts w:cs="Arial"/>
        </w:rPr>
      </w:pPr>
    </w:p>
    <w:p w14:paraId="05168BD0" w14:textId="77777777" w:rsidR="00E93AF2" w:rsidRPr="00E10DFE" w:rsidRDefault="00E93AF2" w:rsidP="00E93AF2">
      <w:pPr>
        <w:tabs>
          <w:tab w:val="left" w:pos="5670"/>
        </w:tabs>
        <w:ind w:left="567" w:hanging="567"/>
        <w:rPr>
          <w:rFonts w:cs="Arial"/>
        </w:rPr>
      </w:pPr>
    </w:p>
    <w:p w14:paraId="4CFE5AE4" w14:textId="6972F63C" w:rsidR="00E93AF2" w:rsidRPr="00E10DFE" w:rsidRDefault="00E93AF2" w:rsidP="00E93AF2">
      <w:pPr>
        <w:tabs>
          <w:tab w:val="left" w:pos="5670"/>
        </w:tabs>
        <w:ind w:left="567" w:hanging="567"/>
        <w:rPr>
          <w:rFonts w:cs="Arial"/>
        </w:rPr>
      </w:pPr>
      <w:r w:rsidRPr="00E10DFE">
        <w:rPr>
          <w:rFonts w:cs="Arial"/>
        </w:rPr>
        <w:t xml:space="preserve">V Praze dne: </w:t>
      </w:r>
      <w:r w:rsidRPr="00E10DFE">
        <w:rPr>
          <w:rFonts w:cs="Arial"/>
        </w:rPr>
        <w:tab/>
        <w:t xml:space="preserve">V Praze dne: </w:t>
      </w:r>
    </w:p>
    <w:p w14:paraId="54F1BCBC" w14:textId="77777777" w:rsidR="00E93AF2" w:rsidRPr="00E10DFE" w:rsidRDefault="00E93AF2" w:rsidP="00E93AF2">
      <w:pPr>
        <w:tabs>
          <w:tab w:val="left" w:pos="5670"/>
        </w:tabs>
        <w:rPr>
          <w:rFonts w:cs="Arial"/>
        </w:rPr>
      </w:pPr>
    </w:p>
    <w:p w14:paraId="58E26551" w14:textId="77777777" w:rsidR="00E93AF2" w:rsidRPr="00E10DFE" w:rsidRDefault="00E93AF2" w:rsidP="00E93AF2">
      <w:pPr>
        <w:tabs>
          <w:tab w:val="left" w:pos="5670"/>
        </w:tabs>
        <w:rPr>
          <w:rFonts w:cs="Arial"/>
        </w:rPr>
      </w:pPr>
    </w:p>
    <w:p w14:paraId="0055B949" w14:textId="77777777" w:rsidR="00E93AF2" w:rsidRPr="00E10DFE" w:rsidRDefault="00E93AF2" w:rsidP="00E93AF2">
      <w:pPr>
        <w:tabs>
          <w:tab w:val="left" w:pos="5670"/>
        </w:tabs>
        <w:rPr>
          <w:rFonts w:cs="Arial"/>
        </w:rPr>
      </w:pPr>
    </w:p>
    <w:p w14:paraId="73B1C55C" w14:textId="77777777" w:rsidR="00E93AF2" w:rsidRPr="00E10DFE" w:rsidRDefault="00E93AF2" w:rsidP="00E93AF2">
      <w:pPr>
        <w:numPr>
          <w:ilvl w:val="12"/>
          <w:numId w:val="0"/>
        </w:numPr>
        <w:tabs>
          <w:tab w:val="left" w:pos="5670"/>
        </w:tabs>
        <w:spacing w:before="120"/>
        <w:ind w:left="567" w:hanging="567"/>
        <w:rPr>
          <w:rFonts w:cs="Arial"/>
        </w:rPr>
      </w:pPr>
      <w:r w:rsidRPr="00E10DFE">
        <w:rPr>
          <w:rFonts w:cs="Arial"/>
        </w:rPr>
        <w:t>……………………………………</w:t>
      </w:r>
      <w:r w:rsidRPr="00E10DFE">
        <w:rPr>
          <w:rFonts w:cs="Arial"/>
        </w:rPr>
        <w:tab/>
        <w:t>………………………………………</w:t>
      </w:r>
    </w:p>
    <w:p w14:paraId="05ED6233" w14:textId="58455A6F" w:rsidR="00E93AF2" w:rsidRPr="00E10DFE" w:rsidRDefault="00E10DFE" w:rsidP="00E93AF2">
      <w:pPr>
        <w:numPr>
          <w:ilvl w:val="12"/>
          <w:numId w:val="0"/>
        </w:numPr>
        <w:tabs>
          <w:tab w:val="center" w:pos="1701"/>
          <w:tab w:val="center" w:pos="5245"/>
        </w:tabs>
        <w:rPr>
          <w:rFonts w:cs="Arial"/>
        </w:rPr>
      </w:pPr>
      <w:r>
        <w:rPr>
          <w:rFonts w:cs="Arial"/>
        </w:rPr>
        <w:t>Filip Veselý</w:t>
      </w:r>
      <w:r w:rsidR="00E93AF2" w:rsidRPr="00E10DFE">
        <w:rPr>
          <w:rFonts w:cs="Arial"/>
        </w:rPr>
        <w:tab/>
      </w:r>
      <w:r w:rsidR="00E93AF2" w:rsidRPr="00E10DFE">
        <w:rPr>
          <w:rFonts w:cs="Arial"/>
        </w:rPr>
        <w:tab/>
      </w:r>
      <w:r w:rsidR="00E77A5F">
        <w:rPr>
          <w:rFonts w:cs="Arial"/>
        </w:rPr>
        <w:t xml:space="preserve">                                        Petr </w:t>
      </w:r>
      <w:r w:rsidR="00E77A5F" w:rsidRPr="00E10DFE">
        <w:rPr>
          <w:szCs w:val="22"/>
        </w:rPr>
        <w:t>Michovský</w:t>
      </w:r>
    </w:p>
    <w:p w14:paraId="7EDCDF1E" w14:textId="4F59417F" w:rsidR="00E93AF2" w:rsidRPr="00E10DFE" w:rsidRDefault="00E93AF2" w:rsidP="00E93AF2">
      <w:pPr>
        <w:numPr>
          <w:ilvl w:val="12"/>
          <w:numId w:val="0"/>
        </w:numPr>
        <w:tabs>
          <w:tab w:val="center" w:pos="1701"/>
          <w:tab w:val="center" w:pos="5103"/>
        </w:tabs>
        <w:rPr>
          <w:rFonts w:cs="Arial"/>
        </w:rPr>
      </w:pPr>
      <w:r w:rsidRPr="00E10DFE">
        <w:rPr>
          <w:rFonts w:cs="Arial"/>
        </w:rPr>
        <w:t>předseda představenstva</w:t>
      </w:r>
      <w:r w:rsidRPr="00E10DFE">
        <w:rPr>
          <w:rFonts w:cs="Arial"/>
        </w:rPr>
        <w:tab/>
      </w:r>
      <w:r w:rsidRPr="00E10DFE">
        <w:rPr>
          <w:rFonts w:cs="Arial"/>
        </w:rPr>
        <w:tab/>
      </w:r>
      <w:r w:rsidR="00E77A5F">
        <w:rPr>
          <w:rFonts w:cs="Arial"/>
        </w:rPr>
        <w:t xml:space="preserve"> </w:t>
      </w:r>
      <w:r w:rsidR="00B164FA" w:rsidRPr="00E10DFE">
        <w:rPr>
          <w:rFonts w:cs="Arial"/>
        </w:rPr>
        <w:t>jednatel</w:t>
      </w:r>
    </w:p>
    <w:p w14:paraId="7A68829F" w14:textId="77777777" w:rsidR="00E93AF2" w:rsidRPr="00E10DFE" w:rsidRDefault="00E93AF2" w:rsidP="00E93AF2">
      <w:pPr>
        <w:numPr>
          <w:ilvl w:val="12"/>
          <w:numId w:val="0"/>
        </w:numPr>
        <w:tabs>
          <w:tab w:val="center" w:pos="1701"/>
          <w:tab w:val="center" w:pos="7371"/>
        </w:tabs>
        <w:rPr>
          <w:rFonts w:cs="Arial"/>
        </w:rPr>
      </w:pPr>
      <w:r w:rsidRPr="00E10DFE">
        <w:rPr>
          <w:rFonts w:cs="Arial"/>
        </w:rPr>
        <w:tab/>
      </w:r>
    </w:p>
    <w:p w14:paraId="1668105D" w14:textId="77777777" w:rsidR="00E93AF2" w:rsidRPr="00E10DFE" w:rsidRDefault="00E93AF2" w:rsidP="00E93AF2">
      <w:pPr>
        <w:tabs>
          <w:tab w:val="left" w:pos="284"/>
          <w:tab w:val="left" w:pos="5670"/>
        </w:tabs>
        <w:rPr>
          <w:rFonts w:cs="Arial"/>
        </w:rPr>
      </w:pPr>
    </w:p>
    <w:p w14:paraId="31488A57" w14:textId="77777777" w:rsidR="00E93AF2" w:rsidRPr="00E10DFE" w:rsidRDefault="00E93AF2" w:rsidP="00E93AF2">
      <w:pPr>
        <w:tabs>
          <w:tab w:val="left" w:pos="284"/>
          <w:tab w:val="left" w:pos="5670"/>
        </w:tabs>
        <w:rPr>
          <w:rFonts w:cs="Arial"/>
        </w:rPr>
      </w:pPr>
    </w:p>
    <w:p w14:paraId="46EFFB2E" w14:textId="77777777" w:rsidR="00E93AF2" w:rsidRPr="00E10DFE" w:rsidRDefault="00E93AF2" w:rsidP="00E93AF2">
      <w:pPr>
        <w:tabs>
          <w:tab w:val="left" w:pos="284"/>
          <w:tab w:val="left" w:pos="5670"/>
        </w:tabs>
        <w:rPr>
          <w:rFonts w:cs="Arial"/>
        </w:rPr>
      </w:pPr>
    </w:p>
    <w:p w14:paraId="7F83E9CD" w14:textId="77777777" w:rsidR="00E93AF2" w:rsidRPr="00E10DFE" w:rsidRDefault="00E93AF2" w:rsidP="00E93AF2">
      <w:pPr>
        <w:numPr>
          <w:ilvl w:val="12"/>
          <w:numId w:val="0"/>
        </w:numPr>
        <w:tabs>
          <w:tab w:val="left" w:pos="5670"/>
        </w:tabs>
        <w:spacing w:before="120"/>
        <w:ind w:left="567" w:hanging="567"/>
        <w:rPr>
          <w:rFonts w:cs="Arial"/>
        </w:rPr>
      </w:pPr>
      <w:r w:rsidRPr="00E10DFE">
        <w:rPr>
          <w:rFonts w:cs="Arial"/>
        </w:rPr>
        <w:t>……………………………………</w:t>
      </w:r>
      <w:r w:rsidRPr="00E10DFE">
        <w:rPr>
          <w:rFonts w:cs="Arial"/>
        </w:rPr>
        <w:tab/>
      </w:r>
    </w:p>
    <w:p w14:paraId="02AD525D" w14:textId="7108ED47" w:rsidR="00E93AF2" w:rsidRPr="00E10DFE" w:rsidRDefault="00E10DFE" w:rsidP="00E93AF2">
      <w:pPr>
        <w:numPr>
          <w:ilvl w:val="12"/>
          <w:numId w:val="0"/>
        </w:numPr>
        <w:tabs>
          <w:tab w:val="center" w:pos="1701"/>
          <w:tab w:val="center" w:pos="6379"/>
        </w:tabs>
        <w:rPr>
          <w:rFonts w:cs="Arial"/>
        </w:rPr>
      </w:pPr>
      <w:r>
        <w:rPr>
          <w:rFonts w:cs="Arial"/>
        </w:rPr>
        <w:t>Mgr. Jan Bouška</w:t>
      </w:r>
      <w:r w:rsidR="00E93AF2" w:rsidRPr="00E10DFE">
        <w:rPr>
          <w:rFonts w:cs="Arial"/>
        </w:rPr>
        <w:tab/>
      </w:r>
      <w:r w:rsidR="00E93AF2" w:rsidRPr="00E10DFE">
        <w:rPr>
          <w:rFonts w:cs="Arial"/>
        </w:rPr>
        <w:tab/>
        <w:t xml:space="preserve"> </w:t>
      </w:r>
    </w:p>
    <w:p w14:paraId="4E3D7B0C" w14:textId="6BED8277" w:rsidR="00E93AF2" w:rsidRPr="00E10DFE" w:rsidRDefault="00E10DFE" w:rsidP="00E93AF2">
      <w:pPr>
        <w:numPr>
          <w:ilvl w:val="12"/>
          <w:numId w:val="0"/>
        </w:numPr>
        <w:tabs>
          <w:tab w:val="center" w:pos="1701"/>
          <w:tab w:val="center" w:pos="4962"/>
        </w:tabs>
        <w:rPr>
          <w:rFonts w:cs="Arial"/>
        </w:rPr>
      </w:pPr>
      <w:r>
        <w:rPr>
          <w:rFonts w:cs="Arial"/>
        </w:rPr>
        <w:t>místopředseda</w:t>
      </w:r>
      <w:r w:rsidR="00E93AF2" w:rsidRPr="00E10DFE">
        <w:rPr>
          <w:rFonts w:cs="Arial"/>
        </w:rPr>
        <w:t xml:space="preserve"> představenstva</w:t>
      </w:r>
    </w:p>
    <w:p w14:paraId="31D22343" w14:textId="77777777" w:rsidR="00E93AF2" w:rsidRPr="00E10DFE" w:rsidRDefault="00E93AF2" w:rsidP="00732790">
      <w:pPr>
        <w:ind w:left="2124"/>
        <w:rPr>
          <w:rFonts w:cs="Arial"/>
          <w:szCs w:val="22"/>
          <w:highlight w:val="yellow"/>
        </w:rPr>
      </w:pPr>
    </w:p>
    <w:sectPr w:rsidR="00E93AF2" w:rsidRPr="00E10DFE"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D05DB" w14:textId="77777777" w:rsidR="00ED37E6" w:rsidRDefault="00ED37E6">
      <w:r>
        <w:separator/>
      </w:r>
    </w:p>
  </w:endnote>
  <w:endnote w:type="continuationSeparator" w:id="0">
    <w:p w14:paraId="219C10F2" w14:textId="77777777" w:rsidR="00ED37E6" w:rsidRDefault="00ED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1539C4" w:rsidRDefault="001539C4">
    <w:pPr>
      <w:pStyle w:val="Zpat"/>
      <w:jc w:val="center"/>
    </w:pPr>
    <w:r w:rsidRPr="00BA38EA">
      <w:rPr>
        <w:rFonts w:ascii="Segoe UI" w:hAnsi="Segoe UI" w:cs="Segoe UI"/>
        <w:szCs w:val="22"/>
      </w:rPr>
      <w:fldChar w:fldCharType="begin"/>
    </w:r>
    <w:r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AF3673">
      <w:rPr>
        <w:rFonts w:ascii="Segoe UI" w:hAnsi="Segoe UI" w:cs="Segoe UI"/>
        <w:noProof/>
        <w:szCs w:val="22"/>
      </w:rPr>
      <w:t>1</w:t>
    </w:r>
    <w:r w:rsidRPr="00BA38EA">
      <w:rPr>
        <w:rFonts w:ascii="Segoe UI" w:hAnsi="Segoe UI" w:cs="Segoe UI"/>
        <w:szCs w:val="22"/>
      </w:rPr>
      <w:fldChar w:fldCharType="end"/>
    </w:r>
  </w:p>
  <w:p w14:paraId="05996C7F" w14:textId="77777777" w:rsidR="001539C4" w:rsidRDefault="001539C4">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C6677" w14:textId="77777777" w:rsidR="00ED37E6" w:rsidRDefault="00ED37E6">
      <w:r>
        <w:separator/>
      </w:r>
    </w:p>
  </w:footnote>
  <w:footnote w:type="continuationSeparator" w:id="0">
    <w:p w14:paraId="5EC491BC" w14:textId="77777777" w:rsidR="00ED37E6" w:rsidRDefault="00ED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1539C4" w:rsidRPr="00433621" w:rsidRDefault="001539C4"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1F2E6F8A"/>
    <w:multiLevelType w:val="hybridMultilevel"/>
    <w:tmpl w:val="A5948838"/>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7" w15:restartNumberingAfterBreak="0">
    <w:nsid w:val="464B00FA"/>
    <w:multiLevelType w:val="hybridMultilevel"/>
    <w:tmpl w:val="6E204422"/>
    <w:lvl w:ilvl="0" w:tplc="6A8E3D7E">
      <w:start w:val="1"/>
      <w:numFmt w:val="bullet"/>
      <w:lvlText w:val="-"/>
      <w:lvlJc w:val="left"/>
      <w:pPr>
        <w:ind w:left="720" w:hanging="360"/>
      </w:pPr>
      <w:rPr>
        <w:rFonts w:ascii="Segoe UI" w:eastAsia="Times New Roman" w:hAnsi="Segoe UI" w:cs="Segoe UI" w:hint="default"/>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606081"/>
    <w:multiLevelType w:val="hybridMultilevel"/>
    <w:tmpl w:val="1940F75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510B9C"/>
    <w:multiLevelType w:val="multilevel"/>
    <w:tmpl w:val="DA324954"/>
    <w:lvl w:ilvl="0">
      <w:start w:val="1"/>
      <w:numFmt w:val="none"/>
      <w:lvlText w:val="C"/>
      <w:lvlJc w:val="left"/>
      <w:pPr>
        <w:ind w:left="360" w:hanging="360"/>
      </w:pPr>
      <w:rPr>
        <w:rFonts w:hint="default"/>
        <w:b/>
        <w:sz w:val="22"/>
        <w:szCs w:val="22"/>
      </w:rPr>
    </w:lvl>
    <w:lvl w:ilvl="1">
      <w:start w:val="1"/>
      <w:numFmt w:val="upperRoman"/>
      <w:lvlText w:val="B.%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4"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5"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712267FF"/>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9"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9A5080"/>
    <w:multiLevelType w:val="multilevel"/>
    <w:tmpl w:val="05C6FF20"/>
    <w:lvl w:ilvl="0">
      <w:start w:val="1"/>
      <w:numFmt w:val="none"/>
      <w:lvlText w:val="A"/>
      <w:lvlJc w:val="left"/>
      <w:pPr>
        <w:ind w:left="360" w:hanging="360"/>
      </w:pPr>
      <w:rPr>
        <w:rFonts w:hint="default"/>
      </w:rPr>
    </w:lvl>
    <w:lvl w:ilvl="1">
      <w:start w:val="1"/>
      <w:numFmt w:val="upperRoman"/>
      <w:lvlText w:val="A.%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E71ED4"/>
    <w:multiLevelType w:val="multilevel"/>
    <w:tmpl w:val="5DA4B67C"/>
    <w:lvl w:ilvl="0">
      <w:start w:val="1"/>
      <w:numFmt w:val="none"/>
      <w:lvlText w:val="A"/>
      <w:lvlJc w:val="left"/>
      <w:pPr>
        <w:ind w:left="4755" w:hanging="360"/>
      </w:pPr>
      <w:rPr>
        <w:rFonts w:hint="default"/>
        <w:b/>
      </w:rPr>
    </w:lvl>
    <w:lvl w:ilvl="1">
      <w:start w:val="1"/>
      <w:numFmt w:val="upperRoman"/>
      <w:lvlText w:val="A.%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8"/>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
  </w:num>
  <w:num w:numId="7">
    <w:abstractNumId w:val="37"/>
  </w:num>
  <w:num w:numId="8">
    <w:abstractNumId w:val="23"/>
  </w:num>
  <w:num w:numId="9">
    <w:abstractNumId w:val="42"/>
  </w:num>
  <w:num w:numId="10">
    <w:abstractNumId w:val="31"/>
  </w:num>
  <w:num w:numId="11">
    <w:abstractNumId w:val="1"/>
  </w:num>
  <w:num w:numId="12">
    <w:abstractNumId w:val="35"/>
  </w:num>
  <w:num w:numId="13">
    <w:abstractNumId w:val="24"/>
  </w:num>
  <w:num w:numId="14">
    <w:abstractNumId w:val="3"/>
  </w:num>
  <w:num w:numId="15">
    <w:abstractNumId w:val="3"/>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6"/>
  </w:num>
  <w:num w:numId="17">
    <w:abstractNumId w:val="26"/>
  </w:num>
  <w:num w:numId="18">
    <w:abstractNumId w:val="29"/>
  </w:num>
  <w:num w:numId="19">
    <w:abstractNumId w:val="7"/>
  </w:num>
  <w:num w:numId="20">
    <w:abstractNumId w:val="39"/>
  </w:num>
  <w:num w:numId="21">
    <w:abstractNumId w:val="33"/>
  </w:num>
  <w:num w:numId="22">
    <w:abstractNumId w:val="32"/>
  </w:num>
  <w:num w:numId="23">
    <w:abstractNumId w:val="41"/>
  </w:num>
  <w:num w:numId="24">
    <w:abstractNumId w:val="9"/>
  </w:num>
  <w:num w:numId="25">
    <w:abstractNumId w:val="25"/>
  </w:num>
  <w:num w:numId="26">
    <w:abstractNumId w:val="0"/>
  </w:num>
  <w:num w:numId="27">
    <w:abstractNumId w:val="2"/>
  </w:num>
  <w:num w:numId="28">
    <w:abstractNumId w:val="13"/>
  </w:num>
  <w:num w:numId="29">
    <w:abstractNumId w:val="30"/>
  </w:num>
  <w:num w:numId="30">
    <w:abstractNumId w:val="40"/>
  </w:num>
  <w:num w:numId="31">
    <w:abstractNumId w:val="27"/>
  </w:num>
  <w:num w:numId="32">
    <w:abstractNumId w:val="43"/>
  </w:num>
  <w:num w:numId="33">
    <w:abstractNumId w:val="34"/>
  </w:num>
  <w:num w:numId="34">
    <w:abstractNumId w:val="36"/>
  </w:num>
  <w:num w:numId="35">
    <w:abstractNumId w:val="14"/>
  </w:num>
  <w:num w:numId="36">
    <w:abstractNumId w:val="19"/>
  </w:num>
  <w:num w:numId="37">
    <w:abstractNumId w:val="11"/>
  </w:num>
  <w:num w:numId="38">
    <w:abstractNumId w:val="21"/>
  </w:num>
  <w:num w:numId="39">
    <w:abstractNumId w:val="20"/>
  </w:num>
  <w:num w:numId="40">
    <w:abstractNumId w:val="15"/>
  </w:num>
  <w:num w:numId="41">
    <w:abstractNumId w:val="5"/>
  </w:num>
  <w:num w:numId="42">
    <w:abstractNumId w:val="22"/>
  </w:num>
  <w:num w:numId="43">
    <w:abstractNumId w:val="44"/>
  </w:num>
  <w:num w:numId="44">
    <w:abstractNumId w:val="45"/>
  </w:num>
  <w:num w:numId="45">
    <w:abstractNumId w:val="17"/>
  </w:num>
  <w:num w:numId="46">
    <w:abstractNumId w:val="28"/>
  </w:num>
  <w:num w:numId="47">
    <w:abstractNumId w:val="1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22D10"/>
    <w:rsid w:val="00034479"/>
    <w:rsid w:val="000369F9"/>
    <w:rsid w:val="00050289"/>
    <w:rsid w:val="0005571A"/>
    <w:rsid w:val="00064A73"/>
    <w:rsid w:val="00081521"/>
    <w:rsid w:val="00082274"/>
    <w:rsid w:val="000839F9"/>
    <w:rsid w:val="00096BB6"/>
    <w:rsid w:val="000A47E3"/>
    <w:rsid w:val="000A556C"/>
    <w:rsid w:val="000B55F5"/>
    <w:rsid w:val="000C3E18"/>
    <w:rsid w:val="000C4ACF"/>
    <w:rsid w:val="000D06C9"/>
    <w:rsid w:val="000D6373"/>
    <w:rsid w:val="000F0D55"/>
    <w:rsid w:val="000F13A8"/>
    <w:rsid w:val="000F42BA"/>
    <w:rsid w:val="000F57C6"/>
    <w:rsid w:val="000F66E6"/>
    <w:rsid w:val="000F7E75"/>
    <w:rsid w:val="0010158B"/>
    <w:rsid w:val="001052B7"/>
    <w:rsid w:val="00105969"/>
    <w:rsid w:val="00106E50"/>
    <w:rsid w:val="00116DF5"/>
    <w:rsid w:val="00117ED3"/>
    <w:rsid w:val="00117FC2"/>
    <w:rsid w:val="00125DA8"/>
    <w:rsid w:val="00127972"/>
    <w:rsid w:val="001319BC"/>
    <w:rsid w:val="0013554F"/>
    <w:rsid w:val="00135941"/>
    <w:rsid w:val="001410CE"/>
    <w:rsid w:val="00141D5E"/>
    <w:rsid w:val="00143956"/>
    <w:rsid w:val="001539C4"/>
    <w:rsid w:val="00162E11"/>
    <w:rsid w:val="00192959"/>
    <w:rsid w:val="001A073E"/>
    <w:rsid w:val="001A3EF4"/>
    <w:rsid w:val="001A4DB9"/>
    <w:rsid w:val="001B2CD6"/>
    <w:rsid w:val="001B4C77"/>
    <w:rsid w:val="001B6B0F"/>
    <w:rsid w:val="001C0C8B"/>
    <w:rsid w:val="001C65D5"/>
    <w:rsid w:val="001E09D5"/>
    <w:rsid w:val="001E1C55"/>
    <w:rsid w:val="001E38A4"/>
    <w:rsid w:val="001E743E"/>
    <w:rsid w:val="002009C8"/>
    <w:rsid w:val="002013A9"/>
    <w:rsid w:val="00213E2A"/>
    <w:rsid w:val="0022469B"/>
    <w:rsid w:val="0022635E"/>
    <w:rsid w:val="00227676"/>
    <w:rsid w:val="00240829"/>
    <w:rsid w:val="00245354"/>
    <w:rsid w:val="00253896"/>
    <w:rsid w:val="00264334"/>
    <w:rsid w:val="002662B0"/>
    <w:rsid w:val="00271B64"/>
    <w:rsid w:val="002720BA"/>
    <w:rsid w:val="00274A30"/>
    <w:rsid w:val="002829A8"/>
    <w:rsid w:val="00285C92"/>
    <w:rsid w:val="00290A77"/>
    <w:rsid w:val="00295C90"/>
    <w:rsid w:val="00295F51"/>
    <w:rsid w:val="00297E81"/>
    <w:rsid w:val="002A0168"/>
    <w:rsid w:val="002A30EC"/>
    <w:rsid w:val="002A3784"/>
    <w:rsid w:val="002A4DF8"/>
    <w:rsid w:val="002B2C50"/>
    <w:rsid w:val="002C297E"/>
    <w:rsid w:val="002D11A2"/>
    <w:rsid w:val="002D1A36"/>
    <w:rsid w:val="002E1170"/>
    <w:rsid w:val="002E7A1F"/>
    <w:rsid w:val="00303E9A"/>
    <w:rsid w:val="0031264F"/>
    <w:rsid w:val="0031499A"/>
    <w:rsid w:val="00320613"/>
    <w:rsid w:val="0032354E"/>
    <w:rsid w:val="003251D7"/>
    <w:rsid w:val="0033054F"/>
    <w:rsid w:val="0033070B"/>
    <w:rsid w:val="00334937"/>
    <w:rsid w:val="00336E43"/>
    <w:rsid w:val="00343F5D"/>
    <w:rsid w:val="00361F5C"/>
    <w:rsid w:val="00374220"/>
    <w:rsid w:val="00376FD7"/>
    <w:rsid w:val="00385084"/>
    <w:rsid w:val="0039405C"/>
    <w:rsid w:val="0039597B"/>
    <w:rsid w:val="003965CC"/>
    <w:rsid w:val="00397046"/>
    <w:rsid w:val="003A134A"/>
    <w:rsid w:val="003A2263"/>
    <w:rsid w:val="003A36DB"/>
    <w:rsid w:val="003B080A"/>
    <w:rsid w:val="003C06A2"/>
    <w:rsid w:val="003C3805"/>
    <w:rsid w:val="003C3C7D"/>
    <w:rsid w:val="003C3CDB"/>
    <w:rsid w:val="003C7BC4"/>
    <w:rsid w:val="003D1E55"/>
    <w:rsid w:val="003D2CFD"/>
    <w:rsid w:val="003E2DD4"/>
    <w:rsid w:val="003E6E57"/>
    <w:rsid w:val="003F53A2"/>
    <w:rsid w:val="004072D4"/>
    <w:rsid w:val="004106FD"/>
    <w:rsid w:val="00424977"/>
    <w:rsid w:val="00426015"/>
    <w:rsid w:val="0043322A"/>
    <w:rsid w:val="00441211"/>
    <w:rsid w:val="00444E64"/>
    <w:rsid w:val="00454634"/>
    <w:rsid w:val="0045540B"/>
    <w:rsid w:val="00456371"/>
    <w:rsid w:val="00456D66"/>
    <w:rsid w:val="00461BB2"/>
    <w:rsid w:val="0046604C"/>
    <w:rsid w:val="00466DBE"/>
    <w:rsid w:val="00474319"/>
    <w:rsid w:val="004A2AE1"/>
    <w:rsid w:val="004A38C3"/>
    <w:rsid w:val="004A6D36"/>
    <w:rsid w:val="004B391A"/>
    <w:rsid w:val="004C0CB9"/>
    <w:rsid w:val="004C1BE0"/>
    <w:rsid w:val="004C3BB2"/>
    <w:rsid w:val="004C4B49"/>
    <w:rsid w:val="004D4C12"/>
    <w:rsid w:val="004E5CB3"/>
    <w:rsid w:val="004F3033"/>
    <w:rsid w:val="00500194"/>
    <w:rsid w:val="0050405A"/>
    <w:rsid w:val="00504169"/>
    <w:rsid w:val="00512877"/>
    <w:rsid w:val="0051639F"/>
    <w:rsid w:val="00523296"/>
    <w:rsid w:val="00525673"/>
    <w:rsid w:val="00526A0E"/>
    <w:rsid w:val="0054413E"/>
    <w:rsid w:val="005453DE"/>
    <w:rsid w:val="00551E45"/>
    <w:rsid w:val="00553651"/>
    <w:rsid w:val="00575387"/>
    <w:rsid w:val="00584109"/>
    <w:rsid w:val="00584281"/>
    <w:rsid w:val="005849B0"/>
    <w:rsid w:val="0058635F"/>
    <w:rsid w:val="00595809"/>
    <w:rsid w:val="00597477"/>
    <w:rsid w:val="005A3042"/>
    <w:rsid w:val="005A305A"/>
    <w:rsid w:val="005A5FB3"/>
    <w:rsid w:val="005B1449"/>
    <w:rsid w:val="005B3132"/>
    <w:rsid w:val="005B4CC9"/>
    <w:rsid w:val="005D088B"/>
    <w:rsid w:val="005D1AD8"/>
    <w:rsid w:val="005E1712"/>
    <w:rsid w:val="005E1A5C"/>
    <w:rsid w:val="005E36AD"/>
    <w:rsid w:val="005F361F"/>
    <w:rsid w:val="00602D5A"/>
    <w:rsid w:val="006049AD"/>
    <w:rsid w:val="00606FB4"/>
    <w:rsid w:val="00611020"/>
    <w:rsid w:val="006305D4"/>
    <w:rsid w:val="00636B29"/>
    <w:rsid w:val="00646F76"/>
    <w:rsid w:val="00647AC3"/>
    <w:rsid w:val="00650A41"/>
    <w:rsid w:val="00651ED2"/>
    <w:rsid w:val="00652BE7"/>
    <w:rsid w:val="0065469C"/>
    <w:rsid w:val="00655368"/>
    <w:rsid w:val="00656E30"/>
    <w:rsid w:val="006628E4"/>
    <w:rsid w:val="00667E6D"/>
    <w:rsid w:val="00694C85"/>
    <w:rsid w:val="00696E54"/>
    <w:rsid w:val="006A29F2"/>
    <w:rsid w:val="006A5FC9"/>
    <w:rsid w:val="006A7B65"/>
    <w:rsid w:val="006C13C8"/>
    <w:rsid w:val="006D52CB"/>
    <w:rsid w:val="006D6DB2"/>
    <w:rsid w:val="006D7C56"/>
    <w:rsid w:val="006E7A34"/>
    <w:rsid w:val="006F5447"/>
    <w:rsid w:val="00702A83"/>
    <w:rsid w:val="00704693"/>
    <w:rsid w:val="007123FD"/>
    <w:rsid w:val="00732790"/>
    <w:rsid w:val="0073416C"/>
    <w:rsid w:val="00741042"/>
    <w:rsid w:val="007546D7"/>
    <w:rsid w:val="007723EA"/>
    <w:rsid w:val="00772BD1"/>
    <w:rsid w:val="00774420"/>
    <w:rsid w:val="007750E8"/>
    <w:rsid w:val="00785838"/>
    <w:rsid w:val="00786B49"/>
    <w:rsid w:val="007874F8"/>
    <w:rsid w:val="00787893"/>
    <w:rsid w:val="00792130"/>
    <w:rsid w:val="00793E7D"/>
    <w:rsid w:val="007A3177"/>
    <w:rsid w:val="007A4D6B"/>
    <w:rsid w:val="007A6C81"/>
    <w:rsid w:val="007B01E5"/>
    <w:rsid w:val="007B2811"/>
    <w:rsid w:val="007C097C"/>
    <w:rsid w:val="007C5C3B"/>
    <w:rsid w:val="007C76E3"/>
    <w:rsid w:val="007D0312"/>
    <w:rsid w:val="007D56D2"/>
    <w:rsid w:val="007D7134"/>
    <w:rsid w:val="007F11C5"/>
    <w:rsid w:val="007F7D92"/>
    <w:rsid w:val="0080074D"/>
    <w:rsid w:val="00805C3F"/>
    <w:rsid w:val="008120AD"/>
    <w:rsid w:val="00815098"/>
    <w:rsid w:val="00816418"/>
    <w:rsid w:val="00816F9D"/>
    <w:rsid w:val="00824A94"/>
    <w:rsid w:val="008433EF"/>
    <w:rsid w:val="00843E08"/>
    <w:rsid w:val="008458D3"/>
    <w:rsid w:val="00853026"/>
    <w:rsid w:val="00853031"/>
    <w:rsid w:val="008534F5"/>
    <w:rsid w:val="00860D04"/>
    <w:rsid w:val="008728D5"/>
    <w:rsid w:val="0088418A"/>
    <w:rsid w:val="008B2A37"/>
    <w:rsid w:val="008B316D"/>
    <w:rsid w:val="008B5452"/>
    <w:rsid w:val="008C27CE"/>
    <w:rsid w:val="008D04B3"/>
    <w:rsid w:val="008D25ED"/>
    <w:rsid w:val="008D38E9"/>
    <w:rsid w:val="008E0139"/>
    <w:rsid w:val="008E5C88"/>
    <w:rsid w:val="008F1110"/>
    <w:rsid w:val="008F2564"/>
    <w:rsid w:val="008F605B"/>
    <w:rsid w:val="008F6803"/>
    <w:rsid w:val="00900641"/>
    <w:rsid w:val="00900811"/>
    <w:rsid w:val="0090436C"/>
    <w:rsid w:val="00914616"/>
    <w:rsid w:val="00922A03"/>
    <w:rsid w:val="009267D2"/>
    <w:rsid w:val="009351B8"/>
    <w:rsid w:val="00937961"/>
    <w:rsid w:val="00937FF9"/>
    <w:rsid w:val="00962CF7"/>
    <w:rsid w:val="0096382A"/>
    <w:rsid w:val="00964C4D"/>
    <w:rsid w:val="0096715D"/>
    <w:rsid w:val="0097342C"/>
    <w:rsid w:val="009848B2"/>
    <w:rsid w:val="009A1D4A"/>
    <w:rsid w:val="009B708E"/>
    <w:rsid w:val="009C1D1F"/>
    <w:rsid w:val="009C5FB7"/>
    <w:rsid w:val="009C6FD3"/>
    <w:rsid w:val="009D04C2"/>
    <w:rsid w:val="009D72B3"/>
    <w:rsid w:val="009D7BD7"/>
    <w:rsid w:val="009E08BC"/>
    <w:rsid w:val="009E0F9A"/>
    <w:rsid w:val="00A014DF"/>
    <w:rsid w:val="00A03F06"/>
    <w:rsid w:val="00A047AB"/>
    <w:rsid w:val="00A11896"/>
    <w:rsid w:val="00A1515D"/>
    <w:rsid w:val="00A171C5"/>
    <w:rsid w:val="00A2317D"/>
    <w:rsid w:val="00A236E0"/>
    <w:rsid w:val="00A40EF7"/>
    <w:rsid w:val="00A43B79"/>
    <w:rsid w:val="00A45138"/>
    <w:rsid w:val="00A50D7C"/>
    <w:rsid w:val="00A52708"/>
    <w:rsid w:val="00A57827"/>
    <w:rsid w:val="00A57915"/>
    <w:rsid w:val="00A672DF"/>
    <w:rsid w:val="00A6741B"/>
    <w:rsid w:val="00A829F2"/>
    <w:rsid w:val="00A83BC6"/>
    <w:rsid w:val="00A83D81"/>
    <w:rsid w:val="00A84FA6"/>
    <w:rsid w:val="00A926B3"/>
    <w:rsid w:val="00A958D3"/>
    <w:rsid w:val="00A9679C"/>
    <w:rsid w:val="00AC16A2"/>
    <w:rsid w:val="00AC2BB2"/>
    <w:rsid w:val="00AC4605"/>
    <w:rsid w:val="00AD5786"/>
    <w:rsid w:val="00AF3673"/>
    <w:rsid w:val="00AF4F35"/>
    <w:rsid w:val="00AF7CEF"/>
    <w:rsid w:val="00B00368"/>
    <w:rsid w:val="00B04B1F"/>
    <w:rsid w:val="00B07E3C"/>
    <w:rsid w:val="00B11365"/>
    <w:rsid w:val="00B164FA"/>
    <w:rsid w:val="00B16E3D"/>
    <w:rsid w:val="00B21D19"/>
    <w:rsid w:val="00B22D03"/>
    <w:rsid w:val="00B22DB5"/>
    <w:rsid w:val="00B309B8"/>
    <w:rsid w:val="00B37829"/>
    <w:rsid w:val="00B629A1"/>
    <w:rsid w:val="00B62F0D"/>
    <w:rsid w:val="00B631C1"/>
    <w:rsid w:val="00B64496"/>
    <w:rsid w:val="00B71D03"/>
    <w:rsid w:val="00B7783A"/>
    <w:rsid w:val="00B815CE"/>
    <w:rsid w:val="00B85675"/>
    <w:rsid w:val="00B86B86"/>
    <w:rsid w:val="00B87620"/>
    <w:rsid w:val="00B87896"/>
    <w:rsid w:val="00B91BA8"/>
    <w:rsid w:val="00B9310D"/>
    <w:rsid w:val="00B9653F"/>
    <w:rsid w:val="00B97E55"/>
    <w:rsid w:val="00BA27C7"/>
    <w:rsid w:val="00BA38EA"/>
    <w:rsid w:val="00BA69EE"/>
    <w:rsid w:val="00BB49AC"/>
    <w:rsid w:val="00BB5775"/>
    <w:rsid w:val="00BC3E16"/>
    <w:rsid w:val="00BC5A0D"/>
    <w:rsid w:val="00BC6234"/>
    <w:rsid w:val="00BD0F12"/>
    <w:rsid w:val="00BD10BE"/>
    <w:rsid w:val="00BE0EE1"/>
    <w:rsid w:val="00BE48C8"/>
    <w:rsid w:val="00BE63BE"/>
    <w:rsid w:val="00BE6C0F"/>
    <w:rsid w:val="00BF34FB"/>
    <w:rsid w:val="00C13474"/>
    <w:rsid w:val="00C13E51"/>
    <w:rsid w:val="00C1423D"/>
    <w:rsid w:val="00C16E73"/>
    <w:rsid w:val="00C221FE"/>
    <w:rsid w:val="00C3028E"/>
    <w:rsid w:val="00C453B4"/>
    <w:rsid w:val="00C45FEC"/>
    <w:rsid w:val="00C65318"/>
    <w:rsid w:val="00C66CE3"/>
    <w:rsid w:val="00C72351"/>
    <w:rsid w:val="00C75B7D"/>
    <w:rsid w:val="00C8002C"/>
    <w:rsid w:val="00C81276"/>
    <w:rsid w:val="00C819B8"/>
    <w:rsid w:val="00C83765"/>
    <w:rsid w:val="00C967AC"/>
    <w:rsid w:val="00C96BB6"/>
    <w:rsid w:val="00C976DB"/>
    <w:rsid w:val="00CA4259"/>
    <w:rsid w:val="00CB1524"/>
    <w:rsid w:val="00CB20C0"/>
    <w:rsid w:val="00CB47AF"/>
    <w:rsid w:val="00CD3E2B"/>
    <w:rsid w:val="00CD423C"/>
    <w:rsid w:val="00CD5B5D"/>
    <w:rsid w:val="00CD7779"/>
    <w:rsid w:val="00CE6B9C"/>
    <w:rsid w:val="00D00ACB"/>
    <w:rsid w:val="00D13E6F"/>
    <w:rsid w:val="00D147C1"/>
    <w:rsid w:val="00D26992"/>
    <w:rsid w:val="00D32740"/>
    <w:rsid w:val="00D41914"/>
    <w:rsid w:val="00D508B6"/>
    <w:rsid w:val="00D50E68"/>
    <w:rsid w:val="00D5404F"/>
    <w:rsid w:val="00D54BDC"/>
    <w:rsid w:val="00D57043"/>
    <w:rsid w:val="00D64681"/>
    <w:rsid w:val="00D7006A"/>
    <w:rsid w:val="00D70BAB"/>
    <w:rsid w:val="00D72BBC"/>
    <w:rsid w:val="00D775FE"/>
    <w:rsid w:val="00D7783E"/>
    <w:rsid w:val="00D91490"/>
    <w:rsid w:val="00D94DFC"/>
    <w:rsid w:val="00D95245"/>
    <w:rsid w:val="00DA1381"/>
    <w:rsid w:val="00DA36FF"/>
    <w:rsid w:val="00DA47A0"/>
    <w:rsid w:val="00DB314D"/>
    <w:rsid w:val="00DB543C"/>
    <w:rsid w:val="00DC7A9A"/>
    <w:rsid w:val="00DD5639"/>
    <w:rsid w:val="00DD70AA"/>
    <w:rsid w:val="00DE1823"/>
    <w:rsid w:val="00DE265E"/>
    <w:rsid w:val="00DF3C07"/>
    <w:rsid w:val="00DF6C59"/>
    <w:rsid w:val="00E10B59"/>
    <w:rsid w:val="00E10DFE"/>
    <w:rsid w:val="00E139F8"/>
    <w:rsid w:val="00E177DA"/>
    <w:rsid w:val="00E17BE5"/>
    <w:rsid w:val="00E22D73"/>
    <w:rsid w:val="00E308EE"/>
    <w:rsid w:val="00E330DA"/>
    <w:rsid w:val="00E36C41"/>
    <w:rsid w:val="00E4189D"/>
    <w:rsid w:val="00E41B08"/>
    <w:rsid w:val="00E43F06"/>
    <w:rsid w:val="00E44288"/>
    <w:rsid w:val="00E51B38"/>
    <w:rsid w:val="00E535F0"/>
    <w:rsid w:val="00E64EE7"/>
    <w:rsid w:val="00E70770"/>
    <w:rsid w:val="00E74003"/>
    <w:rsid w:val="00E76871"/>
    <w:rsid w:val="00E77A5F"/>
    <w:rsid w:val="00E86069"/>
    <w:rsid w:val="00E93AF2"/>
    <w:rsid w:val="00EA103B"/>
    <w:rsid w:val="00EB1B6E"/>
    <w:rsid w:val="00EB25E4"/>
    <w:rsid w:val="00EB3B2C"/>
    <w:rsid w:val="00ED37E6"/>
    <w:rsid w:val="00ED3985"/>
    <w:rsid w:val="00ED6E35"/>
    <w:rsid w:val="00EE5AD1"/>
    <w:rsid w:val="00EE653E"/>
    <w:rsid w:val="00EE6796"/>
    <w:rsid w:val="00EF0822"/>
    <w:rsid w:val="00EF11BE"/>
    <w:rsid w:val="00EF2193"/>
    <w:rsid w:val="00F0059D"/>
    <w:rsid w:val="00F00823"/>
    <w:rsid w:val="00F03158"/>
    <w:rsid w:val="00F0651E"/>
    <w:rsid w:val="00F07E27"/>
    <w:rsid w:val="00F1427C"/>
    <w:rsid w:val="00F20EEE"/>
    <w:rsid w:val="00F23550"/>
    <w:rsid w:val="00F325FE"/>
    <w:rsid w:val="00F41B41"/>
    <w:rsid w:val="00F476E2"/>
    <w:rsid w:val="00F523E8"/>
    <w:rsid w:val="00F712D9"/>
    <w:rsid w:val="00F7192B"/>
    <w:rsid w:val="00F728B9"/>
    <w:rsid w:val="00F72A37"/>
    <w:rsid w:val="00F73468"/>
    <w:rsid w:val="00F740C1"/>
    <w:rsid w:val="00F874BF"/>
    <w:rsid w:val="00F91F81"/>
    <w:rsid w:val="00F92DBF"/>
    <w:rsid w:val="00F95343"/>
    <w:rsid w:val="00F9563D"/>
    <w:rsid w:val="00FA00DA"/>
    <w:rsid w:val="00FA0805"/>
    <w:rsid w:val="00FA3D50"/>
    <w:rsid w:val="00FA5FD4"/>
    <w:rsid w:val="00FB53D7"/>
    <w:rsid w:val="00FB76D0"/>
    <w:rsid w:val="00FC1FFA"/>
    <w:rsid w:val="00FC7732"/>
    <w:rsid w:val="00FD28D6"/>
    <w:rsid w:val="00FD4099"/>
    <w:rsid w:val="00FE67DA"/>
    <w:rsid w:val="00FF505A"/>
    <w:rsid w:val="00FF6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paragraph" w:customStyle="1" w:styleId="Styl4">
    <w:name w:val="Styl4"/>
    <w:basedOn w:val="Normln"/>
    <w:qFormat/>
    <w:rsid w:val="00E93AF2"/>
    <w:pPr>
      <w:spacing w:after="120" w:line="276" w:lineRule="auto"/>
    </w:pPr>
    <w:rPr>
      <w:rFonts w:cs="Arial"/>
      <w:szCs w:val="22"/>
      <w:lang w:eastAsia="ar-SA"/>
    </w:rPr>
  </w:style>
  <w:style w:type="character" w:styleId="Nevyeenzmnka">
    <w:name w:val="Unresolved Mention"/>
    <w:basedOn w:val="Standardnpsmoodstavce"/>
    <w:uiPriority w:val="99"/>
    <w:semiHidden/>
    <w:unhideWhenUsed/>
    <w:rsid w:val="00ED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0405">
      <w:bodyDiv w:val="1"/>
      <w:marLeft w:val="0"/>
      <w:marRight w:val="0"/>
      <w:marTop w:val="0"/>
      <w:marBottom w:val="0"/>
      <w:divBdr>
        <w:top w:val="none" w:sz="0" w:space="0" w:color="auto"/>
        <w:left w:val="none" w:sz="0" w:space="0" w:color="auto"/>
        <w:bottom w:val="none" w:sz="0" w:space="0" w:color="auto"/>
        <w:right w:val="none" w:sz="0" w:space="0" w:color="auto"/>
      </w:divBdr>
    </w:div>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 w:id="19773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9DE7-A312-4C40-9230-A86CFF71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1168</Words>
  <Characters>6914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8066</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Vladimir Zeman</cp:lastModifiedBy>
  <cp:revision>9</cp:revision>
  <cp:lastPrinted>2019-11-26T09:27:00Z</cp:lastPrinted>
  <dcterms:created xsi:type="dcterms:W3CDTF">2019-11-25T09:32:00Z</dcterms:created>
  <dcterms:modified xsi:type="dcterms:W3CDTF">2019-12-10T15:09:00Z</dcterms:modified>
</cp:coreProperties>
</file>