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szCs w:val="20"/>
          <w:lang w:eastAsia="en-US"/>
        </w:rPr>
        <w:t>HARMONOGRAM PRACÍ A FINANČNÍ HARMONOGRAM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5"/>
          <w:szCs w:val="15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  <w:t xml:space="preserve">NÁZEV STAVBY: </w:t>
      </w:r>
      <w:r>
        <w:rPr>
          <w:rFonts w:ascii="TimesNewRomanPS-BoldMT" w:hAnsi="TimesNewRomanPS-BoldMT" w:cs="TimesNewRomanPS-BoldMT"/>
          <w:b/>
          <w:bCs/>
          <w:sz w:val="15"/>
          <w:szCs w:val="15"/>
          <w:lang w:eastAsia="en-US"/>
        </w:rPr>
        <w:t>Regenerace panelového sídliště Bruntál - sídliště Květná - III. Etapa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  <w:t xml:space="preserve">TERMÍN VÝSTAVBY: </w:t>
      </w:r>
      <w:proofErr w:type="gramStart"/>
      <w:r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  <w:t>1.4.2020</w:t>
      </w:r>
      <w:proofErr w:type="gramEnd"/>
      <w:r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  <w:t xml:space="preserve"> - 31.8.2020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ROK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MĚSÍC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TÝDEN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POPIS PRÁCE DEN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zemní a bourací práce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SO 02 Komunikace a zpevněné plochy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zemní práce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podkladní vrstvy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trubní vedení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obruby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kryty komunikací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 xml:space="preserve">SO 04 Veřejné </w:t>
      </w:r>
      <w:proofErr w:type="spellStart"/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osvětelní</w:t>
      </w:r>
      <w:proofErr w:type="spellEnd"/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zemní práce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základy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kompletace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podkladní vrstvy, dlažby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oplocení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mobiliář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SO 06 Sadové úpravy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přípravné práce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výsadba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dokončovací práce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TimesNewRomanPSMT" w:hAnsi="TimesNewRomanPSMT" w:cs="TimesNewRomanPSMT"/>
          <w:sz w:val="14"/>
          <w:szCs w:val="14"/>
          <w:lang w:eastAsia="en-US"/>
        </w:rPr>
        <w:t xml:space="preserve">Měsíční finanční plnění v tisících Kč bez DPH </w:t>
      </w: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868 1 296 1 527 1 602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  <w:t>Finanční plnění celkem v tisících Kč bez DPH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</w:pPr>
      <w:r>
        <w:rPr>
          <w:rFonts w:ascii="TimesNewRomanPS-ItalicMT" w:hAnsi="TimesNewRomanPS-ItalicMT" w:cs="TimesNewRomanPS-ItalicMT"/>
          <w:i/>
          <w:iCs/>
          <w:sz w:val="12"/>
          <w:szCs w:val="12"/>
          <w:lang w:eastAsia="en-US"/>
        </w:rPr>
        <w:t>- stožáry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SO 05 Mobiliář oplocení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4 5 6 7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Vedlejší rozpočtové náklady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8 10 11 12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květen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9 14 15 16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červen červenec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1 2 3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duben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2020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6 500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  <w:lang w:eastAsia="en-US"/>
        </w:rPr>
        <w:t>SO 01 Příprava území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srpen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18 18 19 20</w:t>
      </w:r>
    </w:p>
    <w:p w:rsidR="00FD0863" w:rsidRDefault="00FD0863" w:rsidP="00FD0863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12"/>
          <w:szCs w:val="12"/>
          <w:lang w:eastAsia="en-US"/>
        </w:rPr>
      </w:pPr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1 207</w:t>
      </w:r>
    </w:p>
    <w:p w:rsidR="00100B61" w:rsidRDefault="00FD0863" w:rsidP="00FD0863">
      <w:r>
        <w:rPr>
          <w:rFonts w:ascii="Arial-BoldMT" w:hAnsi="Arial-BoldMT" w:cs="Arial-BoldMT"/>
          <w:b/>
          <w:bCs/>
          <w:sz w:val="12"/>
          <w:szCs w:val="12"/>
          <w:lang w:eastAsia="en-US"/>
        </w:rPr>
        <w:t>13</w:t>
      </w:r>
      <w:bookmarkStart w:id="0" w:name="_GoBack"/>
      <w:bookmarkEnd w:id="0"/>
    </w:p>
    <w:sectPr w:rsidR="00100B61" w:rsidSect="00FD0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3"/>
    <w:rsid w:val="00100B61"/>
    <w:rsid w:val="00B87247"/>
    <w:rsid w:val="00FD0863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405A-7A13-47D0-9DAF-8AACE870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247"/>
    <w:pPr>
      <w:spacing w:after="60" w:line="240" w:lineRule="auto"/>
      <w:ind w:firstLine="709"/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2019-12-11T07:58:00Z</dcterms:created>
  <dcterms:modified xsi:type="dcterms:W3CDTF">2019-12-11T07:58:00Z</dcterms:modified>
</cp:coreProperties>
</file>