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5B" w:rsidRPr="004C4084" w:rsidRDefault="006B4A5B" w:rsidP="006F1C6A">
      <w:pPr>
        <w:pStyle w:val="Nzev"/>
        <w:spacing w:after="120"/>
        <w:rPr>
          <w:sz w:val="28"/>
          <w:szCs w:val="28"/>
        </w:rPr>
      </w:pPr>
      <w:r w:rsidRPr="004C4084">
        <w:rPr>
          <w:sz w:val="28"/>
          <w:szCs w:val="28"/>
        </w:rPr>
        <w:t>SMLOUVA</w:t>
      </w:r>
      <w:r w:rsidR="006D0F42" w:rsidRPr="004C4084">
        <w:rPr>
          <w:sz w:val="28"/>
          <w:szCs w:val="28"/>
        </w:rPr>
        <w:t xml:space="preserve"> O DÍLO</w:t>
      </w:r>
    </w:p>
    <w:p w:rsidR="006B4A5B" w:rsidRPr="004C4084" w:rsidRDefault="006B4A5B">
      <w:pPr>
        <w:pStyle w:val="Zkladntext"/>
        <w:rPr>
          <w:sz w:val="18"/>
          <w:szCs w:val="18"/>
        </w:rPr>
      </w:pPr>
      <w:r w:rsidRPr="004C4084">
        <w:rPr>
          <w:sz w:val="18"/>
          <w:szCs w:val="18"/>
        </w:rPr>
        <w:t xml:space="preserve">uzavřená podle ustanovení § </w:t>
      </w:r>
      <w:r w:rsidR="006D0F42" w:rsidRPr="004C4084">
        <w:rPr>
          <w:sz w:val="18"/>
          <w:szCs w:val="18"/>
        </w:rPr>
        <w:t>2586</w:t>
      </w:r>
      <w:r w:rsidR="00AD583F" w:rsidRPr="004C4084">
        <w:rPr>
          <w:sz w:val="18"/>
          <w:szCs w:val="18"/>
        </w:rPr>
        <w:t xml:space="preserve"> a násl. zákona č. 89/2012 Sb., občanský zákoník</w:t>
      </w:r>
      <w:r w:rsidRPr="004C4084">
        <w:rPr>
          <w:sz w:val="18"/>
          <w:szCs w:val="18"/>
        </w:rPr>
        <w:t>, v platném znění</w:t>
      </w:r>
      <w:r w:rsidR="004C4084" w:rsidRPr="004C4084">
        <w:rPr>
          <w:sz w:val="18"/>
          <w:szCs w:val="18"/>
        </w:rPr>
        <w:t>, mezi smluvními stranami</w:t>
      </w:r>
    </w:p>
    <w:p w:rsidR="006B4A5B" w:rsidRPr="000348E7" w:rsidRDefault="006B4A5B">
      <w:pPr>
        <w:jc w:val="center"/>
        <w:rPr>
          <w:sz w:val="22"/>
          <w:szCs w:val="22"/>
        </w:rPr>
      </w:pPr>
    </w:p>
    <w:p w:rsidR="00E11C24" w:rsidRPr="000348E7" w:rsidRDefault="00E11C24">
      <w:pPr>
        <w:jc w:val="both"/>
        <w:rPr>
          <w:sz w:val="21"/>
          <w:szCs w:val="21"/>
        </w:rPr>
      </w:pPr>
    </w:p>
    <w:p w:rsidR="006B4A5B" w:rsidRPr="004C4084" w:rsidRDefault="004C4084" w:rsidP="00E66413">
      <w:pPr>
        <w:tabs>
          <w:tab w:val="left" w:pos="2268"/>
        </w:tabs>
        <w:jc w:val="both"/>
        <w:rPr>
          <w:b/>
          <w:bCs/>
          <w:snapToGrid w:val="0"/>
          <w:sz w:val="21"/>
          <w:szCs w:val="21"/>
        </w:rPr>
      </w:pPr>
      <w:r>
        <w:rPr>
          <w:sz w:val="21"/>
          <w:szCs w:val="21"/>
        </w:rPr>
        <w:t>Objednatel:</w:t>
      </w:r>
      <w:r w:rsidR="00E66413" w:rsidRPr="000348E7">
        <w:rPr>
          <w:sz w:val="21"/>
          <w:szCs w:val="21"/>
        </w:rPr>
        <w:tab/>
      </w:r>
      <w:r w:rsidR="006B4A5B" w:rsidRPr="004C4084">
        <w:rPr>
          <w:b/>
          <w:sz w:val="21"/>
          <w:szCs w:val="21"/>
        </w:rPr>
        <w:t xml:space="preserve">Povodí </w:t>
      </w:r>
      <w:r w:rsidR="008F4142" w:rsidRPr="004C4084">
        <w:rPr>
          <w:b/>
          <w:sz w:val="21"/>
          <w:szCs w:val="21"/>
        </w:rPr>
        <w:t>O</w:t>
      </w:r>
      <w:r w:rsidR="00877A46" w:rsidRPr="004C4084">
        <w:rPr>
          <w:b/>
          <w:sz w:val="21"/>
          <w:szCs w:val="21"/>
        </w:rPr>
        <w:t>dry</w:t>
      </w:r>
      <w:r w:rsidR="008F4142" w:rsidRPr="004C4084">
        <w:rPr>
          <w:b/>
          <w:sz w:val="21"/>
          <w:szCs w:val="21"/>
        </w:rPr>
        <w:t>,</w:t>
      </w:r>
      <w:r w:rsidR="006B4A5B" w:rsidRPr="004C4084">
        <w:rPr>
          <w:b/>
          <w:sz w:val="21"/>
          <w:szCs w:val="21"/>
        </w:rPr>
        <w:t xml:space="preserve"> státní podnik</w:t>
      </w:r>
    </w:p>
    <w:p w:rsidR="006B4A5B" w:rsidRPr="000348E7" w:rsidRDefault="006B4A5B" w:rsidP="00C84FB2">
      <w:pPr>
        <w:tabs>
          <w:tab w:val="left" w:pos="2268"/>
        </w:tabs>
        <w:ind w:right="-286"/>
        <w:jc w:val="both"/>
        <w:rPr>
          <w:snapToGrid w:val="0"/>
          <w:sz w:val="21"/>
          <w:szCs w:val="21"/>
        </w:rPr>
      </w:pPr>
      <w:r w:rsidRPr="000348E7">
        <w:rPr>
          <w:sz w:val="21"/>
          <w:szCs w:val="21"/>
        </w:rPr>
        <w:t>se sídlem</w:t>
      </w:r>
      <w:r w:rsidR="00425EBD">
        <w:rPr>
          <w:sz w:val="21"/>
          <w:szCs w:val="21"/>
        </w:rPr>
        <w:t>:</w:t>
      </w:r>
      <w:r w:rsidRPr="000348E7">
        <w:rPr>
          <w:sz w:val="21"/>
          <w:szCs w:val="21"/>
        </w:rPr>
        <w:t xml:space="preserve"> </w:t>
      </w:r>
      <w:r w:rsidR="00E66413" w:rsidRPr="000348E7">
        <w:rPr>
          <w:sz w:val="21"/>
          <w:szCs w:val="21"/>
        </w:rPr>
        <w:tab/>
      </w:r>
      <w:r w:rsidR="00C84FB2" w:rsidRPr="000348E7">
        <w:rPr>
          <w:sz w:val="21"/>
          <w:szCs w:val="21"/>
        </w:rPr>
        <w:t>Varenská 3101/49, Moravská Ostrava, 702 00 Ostrava Doručovací číslo: 701 26</w:t>
      </w:r>
    </w:p>
    <w:p w:rsidR="006B4A5B" w:rsidRPr="000348E7" w:rsidRDefault="00425EBD" w:rsidP="00E66413">
      <w:pPr>
        <w:tabs>
          <w:tab w:val="left" w:pos="2268"/>
        </w:tabs>
        <w:jc w:val="both"/>
        <w:rPr>
          <w:snapToGrid w:val="0"/>
          <w:sz w:val="21"/>
          <w:szCs w:val="21"/>
        </w:rPr>
      </w:pPr>
      <w:r>
        <w:rPr>
          <w:sz w:val="21"/>
          <w:szCs w:val="21"/>
        </w:rPr>
        <w:t>Zapsán:</w:t>
      </w:r>
      <w:r>
        <w:rPr>
          <w:sz w:val="21"/>
          <w:szCs w:val="21"/>
        </w:rPr>
        <w:tab/>
      </w:r>
      <w:r w:rsidR="006B4A5B" w:rsidRPr="000348E7">
        <w:rPr>
          <w:sz w:val="21"/>
          <w:szCs w:val="21"/>
        </w:rPr>
        <w:t xml:space="preserve">v obchodním rejstříku </w:t>
      </w:r>
      <w:r w:rsidR="008F4142" w:rsidRPr="000348E7">
        <w:rPr>
          <w:rStyle w:val="text1"/>
          <w:rFonts w:ascii="Times New Roman" w:hAnsi="Times New Roman" w:cs="Times New Roman"/>
          <w:sz w:val="21"/>
          <w:szCs w:val="21"/>
        </w:rPr>
        <w:t>Krajsk</w:t>
      </w:r>
      <w:r w:rsidR="00E66413" w:rsidRPr="000348E7">
        <w:rPr>
          <w:rStyle w:val="text1"/>
          <w:rFonts w:ascii="Times New Roman" w:hAnsi="Times New Roman" w:cs="Times New Roman"/>
          <w:sz w:val="21"/>
          <w:szCs w:val="21"/>
        </w:rPr>
        <w:t>ého</w:t>
      </w:r>
      <w:r w:rsidR="008F4142" w:rsidRPr="000348E7">
        <w:rPr>
          <w:rStyle w:val="text1"/>
          <w:rFonts w:ascii="Times New Roman" w:hAnsi="Times New Roman" w:cs="Times New Roman"/>
          <w:sz w:val="21"/>
          <w:szCs w:val="21"/>
        </w:rPr>
        <w:t xml:space="preserve"> soud</w:t>
      </w:r>
      <w:r w:rsidR="00E66413" w:rsidRPr="000348E7">
        <w:rPr>
          <w:rStyle w:val="text1"/>
          <w:rFonts w:ascii="Times New Roman" w:hAnsi="Times New Roman" w:cs="Times New Roman"/>
          <w:sz w:val="21"/>
          <w:szCs w:val="21"/>
        </w:rPr>
        <w:t>u</w:t>
      </w:r>
      <w:r w:rsidR="008F4142" w:rsidRPr="000348E7">
        <w:rPr>
          <w:rStyle w:val="text1"/>
          <w:rFonts w:ascii="Times New Roman" w:hAnsi="Times New Roman" w:cs="Times New Roman"/>
          <w:sz w:val="21"/>
          <w:szCs w:val="21"/>
        </w:rPr>
        <w:t xml:space="preserve"> v </w:t>
      </w:r>
      <w:r w:rsidR="00877A46" w:rsidRPr="000348E7">
        <w:rPr>
          <w:sz w:val="21"/>
          <w:szCs w:val="21"/>
        </w:rPr>
        <w:t>Ostravě, oddíl A XIV, vložka č. 584</w:t>
      </w:r>
      <w:r w:rsidR="00FA6124" w:rsidRPr="000348E7">
        <w:rPr>
          <w:sz w:val="21"/>
          <w:szCs w:val="21"/>
        </w:rPr>
        <w:t xml:space="preserve"> </w:t>
      </w:r>
    </w:p>
    <w:p w:rsidR="006B4A5B" w:rsidRPr="000348E7" w:rsidRDefault="00BD128D" w:rsidP="00E66413">
      <w:pPr>
        <w:tabs>
          <w:tab w:val="left" w:pos="2268"/>
          <w:tab w:val="left" w:pos="2340"/>
        </w:tabs>
        <w:jc w:val="both"/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ab/>
      </w:r>
      <w:r w:rsidR="006B4A5B" w:rsidRPr="000348E7">
        <w:rPr>
          <w:snapToGrid w:val="0"/>
          <w:sz w:val="21"/>
          <w:szCs w:val="21"/>
        </w:rPr>
        <w:t>IČ</w:t>
      </w:r>
      <w:r w:rsidR="00AD583F" w:rsidRPr="000348E7">
        <w:rPr>
          <w:snapToGrid w:val="0"/>
          <w:sz w:val="21"/>
          <w:szCs w:val="21"/>
        </w:rPr>
        <w:t>O</w:t>
      </w:r>
      <w:r w:rsidR="006B4A5B" w:rsidRPr="000348E7">
        <w:rPr>
          <w:snapToGrid w:val="0"/>
          <w:sz w:val="21"/>
          <w:szCs w:val="21"/>
        </w:rPr>
        <w:t xml:space="preserve">: </w:t>
      </w:r>
      <w:r w:rsidR="00877A46" w:rsidRPr="000348E7">
        <w:rPr>
          <w:sz w:val="21"/>
          <w:szCs w:val="21"/>
        </w:rPr>
        <w:t>70890021</w:t>
      </w:r>
      <w:r w:rsidR="00E66413" w:rsidRPr="000348E7">
        <w:rPr>
          <w:sz w:val="21"/>
          <w:szCs w:val="21"/>
        </w:rPr>
        <w:tab/>
      </w:r>
      <w:r w:rsidR="006B4A5B" w:rsidRPr="000348E7">
        <w:rPr>
          <w:snapToGrid w:val="0"/>
          <w:sz w:val="21"/>
          <w:szCs w:val="21"/>
        </w:rPr>
        <w:t xml:space="preserve">DIČ: </w:t>
      </w:r>
      <w:r w:rsidR="00877A46" w:rsidRPr="000348E7">
        <w:rPr>
          <w:sz w:val="21"/>
          <w:szCs w:val="21"/>
        </w:rPr>
        <w:t>CZ70890021</w:t>
      </w:r>
    </w:p>
    <w:p w:rsidR="006B4A5B" w:rsidRPr="000348E7" w:rsidRDefault="006B4A5B" w:rsidP="00E66413">
      <w:pPr>
        <w:tabs>
          <w:tab w:val="left" w:pos="2268"/>
        </w:tabs>
        <w:jc w:val="both"/>
        <w:rPr>
          <w:snapToGrid w:val="0"/>
          <w:sz w:val="21"/>
          <w:szCs w:val="21"/>
        </w:rPr>
      </w:pPr>
      <w:r w:rsidRPr="000348E7">
        <w:rPr>
          <w:snapToGrid w:val="0"/>
          <w:sz w:val="21"/>
          <w:szCs w:val="21"/>
        </w:rPr>
        <w:t xml:space="preserve">Bankovní spojení: </w:t>
      </w:r>
      <w:r w:rsidR="00E66413" w:rsidRPr="000348E7">
        <w:rPr>
          <w:snapToGrid w:val="0"/>
          <w:sz w:val="21"/>
          <w:szCs w:val="21"/>
        </w:rPr>
        <w:tab/>
        <w:t xml:space="preserve">KB Ostrava, </w:t>
      </w:r>
      <w:r w:rsidRPr="000348E7">
        <w:rPr>
          <w:snapToGrid w:val="0"/>
          <w:sz w:val="21"/>
          <w:szCs w:val="21"/>
        </w:rPr>
        <w:t xml:space="preserve">č. účtu </w:t>
      </w:r>
      <w:r w:rsidR="00E66413" w:rsidRPr="000348E7">
        <w:rPr>
          <w:snapToGrid w:val="0"/>
          <w:sz w:val="21"/>
          <w:szCs w:val="21"/>
        </w:rPr>
        <w:t xml:space="preserve"> 9710</w:t>
      </w:r>
      <w:r w:rsidR="00452B92" w:rsidRPr="000348E7">
        <w:rPr>
          <w:snapToGrid w:val="0"/>
          <w:sz w:val="21"/>
          <w:szCs w:val="21"/>
        </w:rPr>
        <w:t>4</w:t>
      </w:r>
      <w:r w:rsidR="00E66413" w:rsidRPr="000348E7">
        <w:rPr>
          <w:snapToGrid w:val="0"/>
          <w:sz w:val="21"/>
          <w:szCs w:val="21"/>
        </w:rPr>
        <w:t>761/0100</w:t>
      </w:r>
    </w:p>
    <w:p w:rsidR="006B4A5B" w:rsidRPr="000348E7" w:rsidRDefault="006B4A5B" w:rsidP="00E66413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1"/>
          <w:szCs w:val="21"/>
        </w:rPr>
      </w:pPr>
      <w:r w:rsidRPr="000348E7">
        <w:rPr>
          <w:snapToGrid w:val="0"/>
          <w:sz w:val="21"/>
          <w:szCs w:val="21"/>
        </w:rPr>
        <w:t xml:space="preserve">Statutární </w:t>
      </w:r>
      <w:r w:rsidR="00E66413" w:rsidRPr="000348E7">
        <w:rPr>
          <w:snapToGrid w:val="0"/>
          <w:sz w:val="21"/>
          <w:szCs w:val="21"/>
        </w:rPr>
        <w:t>zástupce</w:t>
      </w:r>
      <w:r w:rsidR="00E66413" w:rsidRPr="000348E7">
        <w:rPr>
          <w:snapToGrid w:val="0"/>
          <w:sz w:val="21"/>
          <w:szCs w:val="21"/>
        </w:rPr>
        <w:tab/>
      </w:r>
      <w:r w:rsidR="00877A46" w:rsidRPr="000348E7">
        <w:rPr>
          <w:sz w:val="21"/>
          <w:szCs w:val="21"/>
        </w:rPr>
        <w:t xml:space="preserve">Ing. </w:t>
      </w:r>
      <w:r w:rsidR="00452B92" w:rsidRPr="000348E7">
        <w:rPr>
          <w:sz w:val="21"/>
          <w:szCs w:val="21"/>
        </w:rPr>
        <w:t xml:space="preserve">Jiří </w:t>
      </w:r>
      <w:proofErr w:type="spellStart"/>
      <w:r w:rsidR="00425EBD">
        <w:rPr>
          <w:sz w:val="21"/>
          <w:szCs w:val="21"/>
        </w:rPr>
        <w:t>Tk</w:t>
      </w:r>
      <w:r w:rsidR="00452B92" w:rsidRPr="000348E7">
        <w:rPr>
          <w:sz w:val="21"/>
          <w:szCs w:val="21"/>
        </w:rPr>
        <w:t>áč</w:t>
      </w:r>
      <w:proofErr w:type="spellEnd"/>
      <w:r w:rsidRPr="000348E7">
        <w:rPr>
          <w:sz w:val="21"/>
          <w:szCs w:val="21"/>
        </w:rPr>
        <w:t>, generální ředitel</w:t>
      </w:r>
    </w:p>
    <w:p w:rsidR="00E66413" w:rsidRPr="000348E7" w:rsidRDefault="00E66413" w:rsidP="00E66413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1"/>
          <w:szCs w:val="21"/>
        </w:rPr>
      </w:pPr>
      <w:r w:rsidRPr="000348E7">
        <w:rPr>
          <w:sz w:val="21"/>
          <w:szCs w:val="21"/>
        </w:rPr>
        <w:t>Zástupce pro věci</w:t>
      </w:r>
    </w:p>
    <w:p w:rsidR="00E66413" w:rsidRDefault="00673C7A" w:rsidP="00E66413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1"/>
          <w:szCs w:val="21"/>
        </w:rPr>
      </w:pPr>
      <w:r w:rsidRPr="000348E7">
        <w:rPr>
          <w:sz w:val="21"/>
          <w:szCs w:val="21"/>
        </w:rPr>
        <w:t xml:space="preserve">           </w:t>
      </w:r>
      <w:r w:rsidR="00E66413" w:rsidRPr="000348E7">
        <w:rPr>
          <w:sz w:val="21"/>
          <w:szCs w:val="21"/>
        </w:rPr>
        <w:t>- technické</w:t>
      </w:r>
      <w:r w:rsidRPr="000348E7">
        <w:rPr>
          <w:sz w:val="21"/>
          <w:szCs w:val="21"/>
        </w:rPr>
        <w:t>:</w:t>
      </w:r>
      <w:r w:rsidR="00E66413" w:rsidRPr="000348E7">
        <w:rPr>
          <w:sz w:val="21"/>
          <w:szCs w:val="21"/>
        </w:rPr>
        <w:tab/>
        <w:t xml:space="preserve">Ing. </w:t>
      </w:r>
      <w:r w:rsidR="00BD128D">
        <w:rPr>
          <w:sz w:val="21"/>
          <w:szCs w:val="21"/>
        </w:rPr>
        <w:t>Tomáš Skokan</w:t>
      </w:r>
      <w:r w:rsidR="00E66413" w:rsidRPr="000348E7">
        <w:rPr>
          <w:sz w:val="21"/>
          <w:szCs w:val="21"/>
        </w:rPr>
        <w:t xml:space="preserve">, vedoucí </w:t>
      </w:r>
      <w:r w:rsidR="00BD128D">
        <w:rPr>
          <w:sz w:val="21"/>
          <w:szCs w:val="21"/>
        </w:rPr>
        <w:t>provozního odboru</w:t>
      </w:r>
    </w:p>
    <w:p w:rsidR="00BD128D" w:rsidRDefault="00BD128D" w:rsidP="00E66413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Ing. Jan </w:t>
      </w:r>
      <w:proofErr w:type="spellStart"/>
      <w:r>
        <w:rPr>
          <w:sz w:val="21"/>
          <w:szCs w:val="21"/>
        </w:rPr>
        <w:t>Staš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Ph.D</w:t>
      </w:r>
      <w:proofErr w:type="spellEnd"/>
      <w:r>
        <w:rPr>
          <w:sz w:val="21"/>
          <w:szCs w:val="21"/>
        </w:rPr>
        <w:t>., vedoucí oddělení vodní</w:t>
      </w:r>
      <w:r w:rsidR="00473030">
        <w:rPr>
          <w:sz w:val="21"/>
          <w:szCs w:val="21"/>
        </w:rPr>
        <w:t>ch</w:t>
      </w:r>
      <w:r>
        <w:rPr>
          <w:sz w:val="21"/>
          <w:szCs w:val="21"/>
        </w:rPr>
        <w:t xml:space="preserve"> děl</w:t>
      </w:r>
    </w:p>
    <w:p w:rsidR="004C4084" w:rsidRPr="000348E7" w:rsidRDefault="004C4084" w:rsidP="00E66413">
      <w:pPr>
        <w:tabs>
          <w:tab w:val="left" w:pos="0"/>
          <w:tab w:val="left" w:pos="426"/>
          <w:tab w:val="left" w:pos="2268"/>
          <w:tab w:val="left" w:pos="2340"/>
          <w:tab w:val="left" w:pos="5103"/>
        </w:tabs>
        <w:jc w:val="both"/>
        <w:rPr>
          <w:sz w:val="21"/>
          <w:szCs w:val="21"/>
        </w:rPr>
      </w:pPr>
    </w:p>
    <w:p w:rsidR="002A091A" w:rsidRPr="000348E7" w:rsidRDefault="004C4084" w:rsidP="00E66413">
      <w:pPr>
        <w:tabs>
          <w:tab w:val="left" w:pos="2268"/>
        </w:tabs>
        <w:rPr>
          <w:sz w:val="21"/>
          <w:szCs w:val="21"/>
        </w:rPr>
      </w:pPr>
      <w:r>
        <w:rPr>
          <w:bCs/>
          <w:snapToGrid w:val="0"/>
          <w:sz w:val="21"/>
          <w:szCs w:val="21"/>
        </w:rPr>
        <w:t>Zhotovitel:</w:t>
      </w:r>
      <w:r w:rsidR="00E66413" w:rsidRPr="000348E7">
        <w:rPr>
          <w:bCs/>
          <w:snapToGrid w:val="0"/>
          <w:sz w:val="21"/>
          <w:szCs w:val="21"/>
        </w:rPr>
        <w:tab/>
      </w:r>
      <w:proofErr w:type="spellStart"/>
      <w:r w:rsidR="007351E7" w:rsidRPr="004C4084">
        <w:rPr>
          <w:b/>
          <w:sz w:val="22"/>
          <w:szCs w:val="22"/>
        </w:rPr>
        <w:t>GEOinspect</w:t>
      </w:r>
      <w:proofErr w:type="spellEnd"/>
      <w:r w:rsidR="007351E7" w:rsidRPr="004C4084">
        <w:rPr>
          <w:b/>
          <w:sz w:val="22"/>
          <w:szCs w:val="22"/>
        </w:rPr>
        <w:t xml:space="preserve"> s.r.o.</w:t>
      </w:r>
    </w:p>
    <w:p w:rsidR="008A477B" w:rsidRPr="000348E7" w:rsidRDefault="008A477B" w:rsidP="008A477B">
      <w:pPr>
        <w:tabs>
          <w:tab w:val="left" w:pos="2268"/>
        </w:tabs>
        <w:ind w:right="-286"/>
        <w:jc w:val="both"/>
        <w:rPr>
          <w:sz w:val="21"/>
          <w:szCs w:val="21"/>
        </w:rPr>
      </w:pPr>
      <w:r w:rsidRPr="000348E7">
        <w:rPr>
          <w:sz w:val="21"/>
          <w:szCs w:val="21"/>
        </w:rPr>
        <w:t>Sídlo:</w:t>
      </w:r>
      <w:r w:rsidRPr="000348E7">
        <w:rPr>
          <w:sz w:val="21"/>
          <w:szCs w:val="21"/>
        </w:rPr>
        <w:tab/>
      </w:r>
      <w:r w:rsidR="00694466">
        <w:rPr>
          <w:sz w:val="22"/>
          <w:szCs w:val="22"/>
        </w:rPr>
        <w:t xml:space="preserve">Dr. Antonína Vaculíka 1899, </w:t>
      </w:r>
      <w:r w:rsidR="004C4084">
        <w:rPr>
          <w:sz w:val="22"/>
          <w:szCs w:val="22"/>
        </w:rPr>
        <w:t xml:space="preserve">Místek, </w:t>
      </w:r>
      <w:r w:rsidR="00694466">
        <w:rPr>
          <w:sz w:val="22"/>
          <w:szCs w:val="22"/>
        </w:rPr>
        <w:t>738 01</w:t>
      </w:r>
      <w:r w:rsidR="004C4084">
        <w:rPr>
          <w:sz w:val="22"/>
          <w:szCs w:val="22"/>
        </w:rPr>
        <w:t xml:space="preserve"> </w:t>
      </w:r>
      <w:proofErr w:type="spellStart"/>
      <w:r w:rsidR="004C4084">
        <w:rPr>
          <w:sz w:val="22"/>
          <w:szCs w:val="22"/>
        </w:rPr>
        <w:t>Frýdek</w:t>
      </w:r>
      <w:proofErr w:type="spellEnd"/>
      <w:r w:rsidR="004C4084">
        <w:rPr>
          <w:sz w:val="22"/>
          <w:szCs w:val="22"/>
        </w:rPr>
        <w:t>-Místek</w:t>
      </w:r>
    </w:p>
    <w:p w:rsidR="008A477B" w:rsidRPr="00694466" w:rsidRDefault="008A477B" w:rsidP="008A477B">
      <w:pPr>
        <w:tabs>
          <w:tab w:val="left" w:pos="2268"/>
        </w:tabs>
        <w:ind w:right="-286"/>
        <w:jc w:val="both"/>
        <w:rPr>
          <w:sz w:val="22"/>
          <w:szCs w:val="22"/>
        </w:rPr>
      </w:pPr>
      <w:r w:rsidRPr="000348E7">
        <w:rPr>
          <w:sz w:val="21"/>
          <w:szCs w:val="21"/>
        </w:rPr>
        <w:t>Zapsán:</w:t>
      </w:r>
      <w:r w:rsidRPr="000348E7">
        <w:rPr>
          <w:sz w:val="21"/>
          <w:szCs w:val="21"/>
        </w:rPr>
        <w:tab/>
      </w:r>
      <w:r w:rsidR="00694466" w:rsidRPr="00694466">
        <w:rPr>
          <w:sz w:val="22"/>
          <w:szCs w:val="22"/>
        </w:rPr>
        <w:t>v obchodním rejstříku Krajského soudu v Ostravě, oddíl C, vložka 50285</w:t>
      </w:r>
    </w:p>
    <w:p w:rsidR="008A477B" w:rsidRPr="000348E7" w:rsidRDefault="00A81DCE" w:rsidP="00DA3B86">
      <w:pPr>
        <w:tabs>
          <w:tab w:val="left" w:pos="2268"/>
          <w:tab w:val="left" w:pos="2340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8A477B" w:rsidRPr="00DA3B86">
        <w:rPr>
          <w:snapToGrid w:val="0"/>
          <w:sz w:val="21"/>
          <w:szCs w:val="21"/>
        </w:rPr>
        <w:t>IČO</w:t>
      </w:r>
      <w:r w:rsidR="006F1C6A" w:rsidRPr="00DA3B86">
        <w:rPr>
          <w:snapToGrid w:val="0"/>
          <w:sz w:val="21"/>
          <w:szCs w:val="21"/>
        </w:rPr>
        <w:t xml:space="preserve">: </w:t>
      </w:r>
      <w:r w:rsidR="00694466" w:rsidRPr="00DA3B86">
        <w:rPr>
          <w:snapToGrid w:val="0"/>
          <w:sz w:val="21"/>
          <w:szCs w:val="21"/>
        </w:rPr>
        <w:t>27809765</w:t>
      </w:r>
      <w:r w:rsidR="006F1C6A" w:rsidRPr="00DA3B86">
        <w:rPr>
          <w:snapToGrid w:val="0"/>
          <w:sz w:val="21"/>
          <w:szCs w:val="21"/>
        </w:rPr>
        <w:tab/>
      </w:r>
      <w:r w:rsidR="008A477B" w:rsidRPr="00DA3B86">
        <w:rPr>
          <w:snapToGrid w:val="0"/>
          <w:sz w:val="21"/>
          <w:szCs w:val="21"/>
        </w:rPr>
        <w:t>DIČ:</w:t>
      </w:r>
      <w:r w:rsidR="00DA3B86" w:rsidRPr="00DA3B86">
        <w:rPr>
          <w:snapToGrid w:val="0"/>
          <w:sz w:val="21"/>
          <w:szCs w:val="21"/>
        </w:rPr>
        <w:t xml:space="preserve"> </w:t>
      </w:r>
      <w:r w:rsidR="00694466" w:rsidRPr="00DA3B86">
        <w:rPr>
          <w:snapToGrid w:val="0"/>
          <w:sz w:val="21"/>
          <w:szCs w:val="21"/>
        </w:rPr>
        <w:t>CZ27809765</w:t>
      </w:r>
    </w:p>
    <w:p w:rsidR="008A477B" w:rsidRPr="000348E7" w:rsidRDefault="008A477B" w:rsidP="008A477B">
      <w:pPr>
        <w:tabs>
          <w:tab w:val="left" w:pos="2268"/>
        </w:tabs>
        <w:ind w:right="-286"/>
        <w:jc w:val="both"/>
        <w:rPr>
          <w:sz w:val="21"/>
          <w:szCs w:val="21"/>
        </w:rPr>
      </w:pPr>
      <w:r w:rsidRPr="000348E7">
        <w:rPr>
          <w:sz w:val="21"/>
          <w:szCs w:val="21"/>
        </w:rPr>
        <w:t xml:space="preserve">Bankovní spojení: </w:t>
      </w:r>
      <w:r w:rsidRPr="000348E7">
        <w:rPr>
          <w:sz w:val="21"/>
          <w:szCs w:val="21"/>
        </w:rPr>
        <w:tab/>
      </w:r>
      <w:proofErr w:type="spellStart"/>
      <w:r w:rsidR="008A3BDA">
        <w:rPr>
          <w:sz w:val="22"/>
          <w:szCs w:val="22"/>
        </w:rPr>
        <w:t>Fio</w:t>
      </w:r>
      <w:proofErr w:type="spellEnd"/>
      <w:r w:rsidR="008A3BDA">
        <w:rPr>
          <w:sz w:val="22"/>
          <w:szCs w:val="22"/>
        </w:rPr>
        <w:t xml:space="preserve"> banka, a.s.</w:t>
      </w:r>
    </w:p>
    <w:p w:rsidR="008A477B" w:rsidRPr="000348E7" w:rsidRDefault="008A477B" w:rsidP="008A477B">
      <w:pPr>
        <w:tabs>
          <w:tab w:val="left" w:pos="2268"/>
        </w:tabs>
        <w:ind w:right="-286"/>
        <w:jc w:val="both"/>
        <w:rPr>
          <w:sz w:val="21"/>
          <w:szCs w:val="21"/>
        </w:rPr>
      </w:pPr>
      <w:r w:rsidRPr="000348E7">
        <w:rPr>
          <w:sz w:val="21"/>
          <w:szCs w:val="21"/>
        </w:rPr>
        <w:t xml:space="preserve">Číslo účtu: </w:t>
      </w:r>
      <w:r w:rsidRPr="000348E7">
        <w:rPr>
          <w:sz w:val="21"/>
          <w:szCs w:val="21"/>
        </w:rPr>
        <w:tab/>
      </w:r>
      <w:r w:rsidR="008A3BDA">
        <w:rPr>
          <w:sz w:val="22"/>
          <w:szCs w:val="22"/>
        </w:rPr>
        <w:t>2300061074/2010</w:t>
      </w:r>
    </w:p>
    <w:p w:rsidR="008A477B" w:rsidRPr="000348E7" w:rsidRDefault="008A477B" w:rsidP="006F1C6A">
      <w:pPr>
        <w:tabs>
          <w:tab w:val="left" w:pos="2268"/>
        </w:tabs>
        <w:ind w:left="2268" w:right="-286" w:hanging="2268"/>
        <w:jc w:val="both"/>
        <w:rPr>
          <w:sz w:val="21"/>
          <w:szCs w:val="21"/>
        </w:rPr>
      </w:pPr>
      <w:r w:rsidRPr="000348E7">
        <w:rPr>
          <w:sz w:val="21"/>
          <w:szCs w:val="21"/>
        </w:rPr>
        <w:t>Zastoupen</w:t>
      </w:r>
      <w:r w:rsidR="004336FD" w:rsidRPr="000348E7">
        <w:rPr>
          <w:sz w:val="21"/>
          <w:szCs w:val="21"/>
        </w:rPr>
        <w:t>á</w:t>
      </w:r>
      <w:r w:rsidRPr="000348E7">
        <w:rPr>
          <w:sz w:val="21"/>
          <w:szCs w:val="21"/>
        </w:rPr>
        <w:t>:</w:t>
      </w:r>
      <w:r w:rsidR="004336FD" w:rsidRPr="000348E7">
        <w:rPr>
          <w:sz w:val="21"/>
          <w:szCs w:val="21"/>
        </w:rPr>
        <w:tab/>
      </w:r>
      <w:proofErr w:type="spellStart"/>
      <w:r w:rsidR="00D83E92">
        <w:rPr>
          <w:sz w:val="21"/>
        </w:rPr>
        <w:t>xxx</w:t>
      </w:r>
      <w:proofErr w:type="spellEnd"/>
    </w:p>
    <w:p w:rsidR="00673C7A" w:rsidRPr="000348E7" w:rsidRDefault="008A477B" w:rsidP="00673C7A">
      <w:pPr>
        <w:tabs>
          <w:tab w:val="left" w:pos="2268"/>
        </w:tabs>
        <w:rPr>
          <w:sz w:val="21"/>
          <w:szCs w:val="21"/>
        </w:rPr>
      </w:pPr>
      <w:r w:rsidRPr="000348E7">
        <w:rPr>
          <w:sz w:val="21"/>
          <w:szCs w:val="21"/>
        </w:rPr>
        <w:t xml:space="preserve">Zástupce </w:t>
      </w:r>
      <w:r w:rsidR="00673C7A" w:rsidRPr="000348E7">
        <w:rPr>
          <w:sz w:val="21"/>
          <w:szCs w:val="21"/>
        </w:rPr>
        <w:t xml:space="preserve">pro </w:t>
      </w:r>
      <w:r w:rsidRPr="000348E7">
        <w:rPr>
          <w:sz w:val="21"/>
          <w:szCs w:val="21"/>
        </w:rPr>
        <w:t>věc</w:t>
      </w:r>
      <w:r w:rsidR="00673C7A" w:rsidRPr="000348E7">
        <w:rPr>
          <w:sz w:val="21"/>
          <w:szCs w:val="21"/>
        </w:rPr>
        <w:t>i</w:t>
      </w:r>
      <w:r w:rsidRPr="000348E7">
        <w:rPr>
          <w:sz w:val="21"/>
          <w:szCs w:val="21"/>
        </w:rPr>
        <w:t xml:space="preserve"> </w:t>
      </w:r>
    </w:p>
    <w:p w:rsidR="00673C7A" w:rsidRPr="000348E7" w:rsidRDefault="00673C7A" w:rsidP="00673C7A">
      <w:pPr>
        <w:tabs>
          <w:tab w:val="left" w:pos="2268"/>
        </w:tabs>
        <w:rPr>
          <w:sz w:val="21"/>
          <w:szCs w:val="21"/>
        </w:rPr>
      </w:pPr>
      <w:r w:rsidRPr="000348E7">
        <w:rPr>
          <w:sz w:val="21"/>
          <w:szCs w:val="21"/>
        </w:rPr>
        <w:t xml:space="preserve">          - </w:t>
      </w:r>
      <w:r w:rsidR="008A477B" w:rsidRPr="000348E7">
        <w:rPr>
          <w:sz w:val="21"/>
          <w:szCs w:val="21"/>
        </w:rPr>
        <w:t>technick</w:t>
      </w:r>
      <w:r w:rsidRPr="000348E7">
        <w:rPr>
          <w:sz w:val="21"/>
          <w:szCs w:val="21"/>
        </w:rPr>
        <w:t>é</w:t>
      </w:r>
      <w:r w:rsidR="008A477B" w:rsidRPr="000348E7">
        <w:rPr>
          <w:sz w:val="21"/>
          <w:szCs w:val="21"/>
        </w:rPr>
        <w:t xml:space="preserve">: </w:t>
      </w:r>
      <w:r w:rsidRPr="000348E7">
        <w:rPr>
          <w:sz w:val="21"/>
          <w:szCs w:val="21"/>
        </w:rPr>
        <w:tab/>
      </w:r>
      <w:proofErr w:type="spellStart"/>
      <w:r w:rsidR="00D83E92">
        <w:rPr>
          <w:sz w:val="21"/>
        </w:rPr>
        <w:t>xxx</w:t>
      </w:r>
      <w:proofErr w:type="spellEnd"/>
    </w:p>
    <w:p w:rsidR="007C6EAE" w:rsidRDefault="007C6EAE" w:rsidP="007C6EAE">
      <w:pPr>
        <w:widowControl w:val="0"/>
        <w:autoSpaceDE w:val="0"/>
        <w:autoSpaceDN w:val="0"/>
        <w:adjustRightInd w:val="0"/>
        <w:rPr>
          <w:sz w:val="22"/>
        </w:rPr>
      </w:pPr>
    </w:p>
    <w:p w:rsidR="007C6EAE" w:rsidRDefault="007C6EAE" w:rsidP="007C6EAE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Zhotovitel se zavazuje provést dílo dle specifikace v následujících článcích smlouvy, objednatel k zaplacení ceny za jeho správné provedení.</w:t>
      </w:r>
    </w:p>
    <w:p w:rsidR="004C4084" w:rsidRPr="000348E7" w:rsidRDefault="004C4084">
      <w:pPr>
        <w:tabs>
          <w:tab w:val="left" w:pos="2268"/>
        </w:tabs>
        <w:jc w:val="center"/>
        <w:rPr>
          <w:bCs/>
          <w:snapToGrid w:val="0"/>
          <w:sz w:val="21"/>
          <w:szCs w:val="21"/>
        </w:rPr>
      </w:pPr>
    </w:p>
    <w:p w:rsidR="006B4A5B" w:rsidRPr="007C6EAE" w:rsidRDefault="006B4A5B" w:rsidP="007C6EAE">
      <w:pPr>
        <w:pStyle w:val="Odstavecseseznamem"/>
        <w:numPr>
          <w:ilvl w:val="0"/>
          <w:numId w:val="24"/>
        </w:num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b/>
          <w:sz w:val="21"/>
          <w:szCs w:val="20"/>
        </w:rPr>
      </w:pPr>
      <w:r w:rsidRPr="007C6EAE">
        <w:rPr>
          <w:b/>
          <w:sz w:val="21"/>
          <w:szCs w:val="20"/>
        </w:rPr>
        <w:t>Předmět smlouvy</w:t>
      </w:r>
    </w:p>
    <w:p w:rsidR="007C6EAE" w:rsidRDefault="007C6EAE" w:rsidP="007C6EAE">
      <w:pPr>
        <w:jc w:val="both"/>
        <w:rPr>
          <w:sz w:val="22"/>
          <w:szCs w:val="22"/>
        </w:rPr>
      </w:pPr>
      <w:r>
        <w:rPr>
          <w:sz w:val="22"/>
        </w:rPr>
        <w:t>Zhotovitel se zavazuje</w:t>
      </w:r>
      <w:r>
        <w:rPr>
          <w:sz w:val="22"/>
          <w:szCs w:val="22"/>
        </w:rPr>
        <w:t xml:space="preserve"> provést upgrade software pro sběr a správu dat na vodních dílech </w:t>
      </w:r>
      <w:proofErr w:type="spellStart"/>
      <w:r>
        <w:rPr>
          <w:sz w:val="22"/>
          <w:szCs w:val="22"/>
        </w:rPr>
        <w:t>Basin</w:t>
      </w:r>
      <w:proofErr w:type="spellEnd"/>
      <w:r>
        <w:rPr>
          <w:sz w:val="22"/>
          <w:szCs w:val="22"/>
        </w:rPr>
        <w:t xml:space="preserve"> a dodat 1ks zařízení dle parametrů, které jsou součástí specifikace. Systém bude dělen do dvou základních subsystémů:</w:t>
      </w:r>
    </w:p>
    <w:p w:rsidR="007C6EAE" w:rsidRDefault="007C6EAE" w:rsidP="007C6EAE">
      <w:pPr>
        <w:jc w:val="both"/>
        <w:rPr>
          <w:sz w:val="22"/>
          <w:szCs w:val="22"/>
        </w:rPr>
      </w:pPr>
    </w:p>
    <w:p w:rsidR="007C6EAE" w:rsidRDefault="007C6EAE" w:rsidP="004C4084">
      <w:pPr>
        <w:pStyle w:val="Odstavecseseznamem"/>
        <w:numPr>
          <w:ilvl w:val="0"/>
          <w:numId w:val="23"/>
        </w:numPr>
        <w:ind w:left="369" w:hanging="227"/>
        <w:contextualSpacing/>
        <w:jc w:val="both"/>
        <w:rPr>
          <w:sz w:val="22"/>
          <w:szCs w:val="22"/>
        </w:rPr>
      </w:pPr>
      <w:r w:rsidRPr="00ED4B01">
        <w:rPr>
          <w:b/>
          <w:i/>
          <w:sz w:val="22"/>
          <w:szCs w:val="22"/>
        </w:rPr>
        <w:t>Subsystém pro sběr dat</w:t>
      </w:r>
      <w:r>
        <w:rPr>
          <w:sz w:val="22"/>
          <w:szCs w:val="22"/>
        </w:rPr>
        <w:t xml:space="preserve"> – modulární aplikační software pro mobilní zařízení se čtečkou čárových kódů s operačním systémem Android.</w:t>
      </w:r>
    </w:p>
    <w:p w:rsidR="007C6EAE" w:rsidRDefault="007C6EAE" w:rsidP="004C4084">
      <w:pPr>
        <w:pStyle w:val="Odstavecseseznamem"/>
        <w:numPr>
          <w:ilvl w:val="0"/>
          <w:numId w:val="23"/>
        </w:numPr>
        <w:spacing w:after="120"/>
        <w:ind w:left="369" w:hanging="227"/>
        <w:jc w:val="both"/>
        <w:rPr>
          <w:sz w:val="22"/>
          <w:szCs w:val="22"/>
        </w:rPr>
      </w:pPr>
      <w:r w:rsidRPr="00ED4B01">
        <w:rPr>
          <w:b/>
          <w:i/>
          <w:sz w:val="22"/>
          <w:szCs w:val="22"/>
        </w:rPr>
        <w:t>Subsystém pro centrální správu dat v rámci vodního díla</w:t>
      </w:r>
      <w:r>
        <w:rPr>
          <w:sz w:val="22"/>
          <w:szCs w:val="22"/>
        </w:rPr>
        <w:t xml:space="preserve"> – modulární aplikační software pro desktop PC.</w:t>
      </w:r>
    </w:p>
    <w:p w:rsidR="007C6EAE" w:rsidRDefault="007C6EAE" w:rsidP="004C408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Systém bude náhradou stávajícího systému, který využívá zařízení PSION WORKABOUT PRO a G2 se systémem Windows CE.</w:t>
      </w:r>
    </w:p>
    <w:p w:rsidR="007C6EAE" w:rsidRDefault="007C6EAE" w:rsidP="004C4084">
      <w:pPr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Popis jednotlivých modulů v rámci obou subsystémů</w:t>
      </w:r>
    </w:p>
    <w:p w:rsidR="007C6EAE" w:rsidRDefault="007C6EAE" w:rsidP="004C4084">
      <w:pPr>
        <w:spacing w:after="120"/>
        <w:jc w:val="both"/>
        <w:rPr>
          <w:sz w:val="22"/>
          <w:szCs w:val="22"/>
        </w:rPr>
      </w:pPr>
      <w:r w:rsidRPr="00DC66C0">
        <w:rPr>
          <w:b/>
          <w:sz w:val="22"/>
          <w:szCs w:val="22"/>
        </w:rPr>
        <w:t xml:space="preserve">Subsystém </w:t>
      </w:r>
      <w:proofErr w:type="spellStart"/>
      <w:r w:rsidRPr="00DC66C0">
        <w:rPr>
          <w:b/>
          <w:sz w:val="22"/>
          <w:szCs w:val="22"/>
        </w:rPr>
        <w:t>Add</w:t>
      </w:r>
      <w:proofErr w:type="spellEnd"/>
      <w:r w:rsidRPr="00DC66C0">
        <w:rPr>
          <w:b/>
          <w:sz w:val="22"/>
          <w:szCs w:val="22"/>
        </w:rPr>
        <w:t xml:space="preserve"> 1</w:t>
      </w:r>
      <w:r>
        <w:rPr>
          <w:sz w:val="22"/>
          <w:szCs w:val="22"/>
        </w:rPr>
        <w:t>.</w:t>
      </w:r>
    </w:p>
    <w:p w:rsidR="007C6EAE" w:rsidRDefault="007C6EAE" w:rsidP="004C4084">
      <w:pPr>
        <w:spacing w:after="120"/>
        <w:jc w:val="both"/>
        <w:rPr>
          <w:sz w:val="22"/>
          <w:szCs w:val="22"/>
        </w:rPr>
      </w:pPr>
      <w:r w:rsidRPr="00ED4B01">
        <w:rPr>
          <w:b/>
          <w:i/>
          <w:sz w:val="22"/>
          <w:szCs w:val="22"/>
        </w:rPr>
        <w:t>Modul Měrná místa</w:t>
      </w:r>
      <w:r w:rsidRPr="00ED4B01">
        <w:rPr>
          <w:sz w:val="22"/>
          <w:szCs w:val="22"/>
        </w:rPr>
        <w:t xml:space="preserve"> – jádro aplikačního subsystému. Obsahuje funkce záznamu měrných míst s ohledem na způsob měření (</w:t>
      </w:r>
      <w:proofErr w:type="spellStart"/>
      <w:r w:rsidRPr="00ED4B01">
        <w:rPr>
          <w:sz w:val="22"/>
          <w:szCs w:val="22"/>
        </w:rPr>
        <w:t>deformetr</w:t>
      </w:r>
      <w:proofErr w:type="spellEnd"/>
      <w:r w:rsidRPr="00ED4B01">
        <w:rPr>
          <w:sz w:val="22"/>
          <w:szCs w:val="22"/>
        </w:rPr>
        <w:t>, klinometr, průsak, tlakoměrný vrt apod.), validace dat na vstupu z pohledu mezí či nekorektního zadání, přehled historie měření konkrétního měrného místa, ruční načtení EAN kódu měrného místa pomocí snímače</w:t>
      </w:r>
    </w:p>
    <w:p w:rsidR="007C6EAE" w:rsidRDefault="007C6EAE" w:rsidP="004C4084">
      <w:pPr>
        <w:spacing w:after="120"/>
        <w:jc w:val="both"/>
        <w:rPr>
          <w:sz w:val="22"/>
          <w:szCs w:val="22"/>
        </w:rPr>
      </w:pPr>
      <w:r w:rsidRPr="00ED4B01">
        <w:rPr>
          <w:b/>
          <w:i/>
          <w:sz w:val="22"/>
          <w:szCs w:val="22"/>
        </w:rPr>
        <w:t>Modul Komunikace</w:t>
      </w:r>
      <w:r w:rsidRPr="00ED4B01">
        <w:rPr>
          <w:sz w:val="22"/>
          <w:szCs w:val="22"/>
        </w:rPr>
        <w:t xml:space="preserve"> – komunikační rozhraní na úrovni protokolu mezi mobilním zařízením a desktop PC</w:t>
      </w:r>
    </w:p>
    <w:p w:rsidR="007C6EAE" w:rsidRDefault="007C6EAE" w:rsidP="007C6EAE">
      <w:pPr>
        <w:jc w:val="both"/>
        <w:rPr>
          <w:sz w:val="22"/>
          <w:szCs w:val="22"/>
        </w:rPr>
      </w:pPr>
      <w:r w:rsidRPr="00ED4B01">
        <w:rPr>
          <w:b/>
          <w:i/>
          <w:sz w:val="22"/>
          <w:szCs w:val="22"/>
        </w:rPr>
        <w:t>Modul Čtení čárového kódu</w:t>
      </w:r>
      <w:r w:rsidRPr="00ED4B01">
        <w:rPr>
          <w:sz w:val="22"/>
          <w:szCs w:val="22"/>
        </w:rPr>
        <w:t xml:space="preserve"> – modul zajišťuje komunikaci mezi čtečkou čárového kódu a aplikační vrstvou software</w:t>
      </w:r>
    </w:p>
    <w:p w:rsidR="004C4084" w:rsidRPr="00ED4B01" w:rsidRDefault="004C4084" w:rsidP="007C6EAE">
      <w:pPr>
        <w:jc w:val="both"/>
        <w:rPr>
          <w:sz w:val="22"/>
          <w:szCs w:val="22"/>
        </w:rPr>
      </w:pPr>
    </w:p>
    <w:p w:rsidR="007C6EAE" w:rsidRDefault="007C6EAE" w:rsidP="004C4084">
      <w:pPr>
        <w:spacing w:before="80" w:after="120"/>
        <w:jc w:val="both"/>
        <w:rPr>
          <w:sz w:val="22"/>
          <w:szCs w:val="22"/>
        </w:rPr>
      </w:pPr>
      <w:r w:rsidRPr="00DC66C0">
        <w:rPr>
          <w:b/>
          <w:sz w:val="22"/>
          <w:szCs w:val="22"/>
        </w:rPr>
        <w:t xml:space="preserve">Subsystém </w:t>
      </w:r>
      <w:proofErr w:type="spellStart"/>
      <w:r w:rsidRPr="00DC66C0">
        <w:rPr>
          <w:b/>
          <w:sz w:val="22"/>
          <w:szCs w:val="22"/>
        </w:rPr>
        <w:t>Add</w:t>
      </w:r>
      <w:proofErr w:type="spellEnd"/>
      <w:r w:rsidRPr="00DC66C0">
        <w:rPr>
          <w:b/>
          <w:sz w:val="22"/>
          <w:szCs w:val="22"/>
        </w:rPr>
        <w:t xml:space="preserve"> 2</w:t>
      </w:r>
      <w:r>
        <w:rPr>
          <w:sz w:val="22"/>
          <w:szCs w:val="22"/>
        </w:rPr>
        <w:t>.</w:t>
      </w:r>
    </w:p>
    <w:p w:rsidR="007C6EAE" w:rsidRDefault="007C6EAE" w:rsidP="004C4084">
      <w:pPr>
        <w:spacing w:after="120"/>
        <w:jc w:val="both"/>
        <w:rPr>
          <w:sz w:val="22"/>
          <w:szCs w:val="22"/>
        </w:rPr>
      </w:pPr>
      <w:r w:rsidRPr="00ED4B01">
        <w:rPr>
          <w:b/>
          <w:i/>
          <w:sz w:val="22"/>
          <w:szCs w:val="22"/>
        </w:rPr>
        <w:t>Modul administrace měrných míst</w:t>
      </w:r>
      <w:r w:rsidRPr="00ED4B01">
        <w:rPr>
          <w:sz w:val="22"/>
          <w:szCs w:val="22"/>
        </w:rPr>
        <w:t xml:space="preserve"> – správa měrných míst, kde bude možno zvolit konkrétní vodní dílo, definovat měrná místa, veličiny, měřící jednotky, skupiny, časové plány, obchůzky, způsoby měření a vazby mezi měrnými místy a veličinami.</w:t>
      </w:r>
    </w:p>
    <w:p w:rsidR="007C6EAE" w:rsidRDefault="007C6EAE" w:rsidP="004C4084">
      <w:pPr>
        <w:spacing w:after="120"/>
        <w:jc w:val="both"/>
        <w:rPr>
          <w:sz w:val="22"/>
          <w:szCs w:val="22"/>
        </w:rPr>
      </w:pPr>
      <w:r w:rsidRPr="00ED4B01">
        <w:rPr>
          <w:b/>
          <w:i/>
          <w:sz w:val="22"/>
          <w:szCs w:val="22"/>
        </w:rPr>
        <w:lastRenderedPageBreak/>
        <w:t>Modul správy měrných míst nad  mobilním zařízením</w:t>
      </w:r>
      <w:r w:rsidRPr="00ED4B01">
        <w:rPr>
          <w:sz w:val="22"/>
          <w:szCs w:val="22"/>
        </w:rPr>
        <w:t xml:space="preserve"> – bude umožňovat přípravu, nahrávání a zpětné sehrávání dat z jednotlivých obchůzek pořízených prostřednictvím mobilního zařízení. Půjde zejména o přípravu množin měrných míst s vazbou na konkrétní datum, obchůzku, skupinu či selektivní manuální výběr.</w:t>
      </w:r>
    </w:p>
    <w:p w:rsidR="007C6EAE" w:rsidRDefault="007C6EAE" w:rsidP="004C4084">
      <w:pPr>
        <w:spacing w:after="120"/>
        <w:jc w:val="both"/>
        <w:rPr>
          <w:sz w:val="22"/>
          <w:szCs w:val="22"/>
        </w:rPr>
      </w:pPr>
      <w:r w:rsidRPr="00ED4B01">
        <w:rPr>
          <w:b/>
          <w:i/>
          <w:sz w:val="22"/>
          <w:szCs w:val="22"/>
        </w:rPr>
        <w:t>Modul komunikace s mobilním zařízením</w:t>
      </w:r>
      <w:r w:rsidRPr="00ED4B01">
        <w:rPr>
          <w:sz w:val="22"/>
          <w:szCs w:val="22"/>
        </w:rPr>
        <w:t xml:space="preserve"> – komunikační rozhraním mezi Subsystémem pro centrální správu a Subsystémem pro sběr dat. Pro komunikaci bude možno zvolit z dostupných rozhraní v návaznosti na bezpečnostní politiku uživatele (WIFI, </w:t>
      </w:r>
      <w:proofErr w:type="spellStart"/>
      <w:r w:rsidRPr="00ED4B01">
        <w:rPr>
          <w:sz w:val="22"/>
          <w:szCs w:val="22"/>
        </w:rPr>
        <w:t>Bluetooth</w:t>
      </w:r>
      <w:proofErr w:type="spellEnd"/>
      <w:r w:rsidRPr="00ED4B01">
        <w:rPr>
          <w:sz w:val="22"/>
          <w:szCs w:val="22"/>
        </w:rPr>
        <w:t>, USB).</w:t>
      </w:r>
    </w:p>
    <w:p w:rsidR="007C6EAE" w:rsidRPr="00ED4B01" w:rsidRDefault="007C6EAE" w:rsidP="007C6EAE">
      <w:pPr>
        <w:jc w:val="both"/>
        <w:rPr>
          <w:sz w:val="22"/>
          <w:szCs w:val="22"/>
        </w:rPr>
      </w:pPr>
      <w:r w:rsidRPr="00ED4B01">
        <w:rPr>
          <w:b/>
          <w:i/>
          <w:sz w:val="22"/>
          <w:szCs w:val="22"/>
        </w:rPr>
        <w:t>Modul Export dat</w:t>
      </w:r>
      <w:r w:rsidRPr="00ED4B01">
        <w:rPr>
          <w:sz w:val="22"/>
          <w:szCs w:val="22"/>
        </w:rPr>
        <w:t xml:space="preserve"> – bude umožňovat exportovat definované množiny dat s vazbou na konkrétní časový úsek. Rozhraní exportovaných dat (soubor) bude v souladu s požadavky na nově vznikající systém.</w:t>
      </w:r>
    </w:p>
    <w:p w:rsidR="007C6EAE" w:rsidRDefault="007C6EAE" w:rsidP="007C6EAE">
      <w:pPr>
        <w:jc w:val="both"/>
        <w:rPr>
          <w:sz w:val="22"/>
          <w:szCs w:val="22"/>
        </w:rPr>
      </w:pPr>
      <w:r w:rsidRPr="00ED4B01">
        <w:rPr>
          <w:sz w:val="22"/>
          <w:szCs w:val="22"/>
        </w:rPr>
        <w:t xml:space="preserve">Tato část aplikace využívá ke svému běhu lokální relační databázi </w:t>
      </w:r>
      <w:proofErr w:type="spellStart"/>
      <w:r w:rsidRPr="00ED4B01">
        <w:rPr>
          <w:sz w:val="22"/>
          <w:szCs w:val="22"/>
        </w:rPr>
        <w:t>FirebirdSQL</w:t>
      </w:r>
      <w:proofErr w:type="spellEnd"/>
      <w:r w:rsidRPr="00ED4B01">
        <w:rPr>
          <w:sz w:val="22"/>
          <w:szCs w:val="22"/>
        </w:rPr>
        <w:t>, kde ukládá data nutná mimo jiné pro export a následné zpracování. Rozhraní (je součástí nabídky) pro export předpokládá vazbu na nově vznikající centrální dispečerský a TBD systém sběru a zpracování dat.</w:t>
      </w:r>
    </w:p>
    <w:p w:rsidR="007C6EAE" w:rsidRDefault="007C6EAE" w:rsidP="007C6EAE">
      <w:pPr>
        <w:jc w:val="both"/>
        <w:rPr>
          <w:sz w:val="22"/>
          <w:szCs w:val="22"/>
        </w:rPr>
      </w:pPr>
    </w:p>
    <w:p w:rsidR="007C6EAE" w:rsidRDefault="007C6EAE" w:rsidP="004C408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Parametry mobilního zařízení s čtečkou čárov</w:t>
      </w:r>
      <w:r w:rsidR="004C4084">
        <w:rPr>
          <w:sz w:val="22"/>
          <w:szCs w:val="22"/>
        </w:rPr>
        <w:t>ých</w:t>
      </w:r>
      <w:r>
        <w:rPr>
          <w:sz w:val="22"/>
          <w:szCs w:val="22"/>
        </w:rPr>
        <w:t xml:space="preserve"> kódů:</w:t>
      </w:r>
    </w:p>
    <w:p w:rsidR="007C6EAE" w:rsidRPr="00E20206" w:rsidRDefault="007C6EAE" w:rsidP="007C6EAE">
      <w:pPr>
        <w:jc w:val="both"/>
        <w:rPr>
          <w:sz w:val="22"/>
          <w:szCs w:val="22"/>
        </w:rPr>
      </w:pPr>
      <w:r w:rsidRPr="00E20206">
        <w:rPr>
          <w:sz w:val="22"/>
          <w:szCs w:val="22"/>
        </w:rPr>
        <w:t>Obrazovka: 4.5“ rozlišení 854x480</w:t>
      </w:r>
    </w:p>
    <w:p w:rsidR="007C6EAE" w:rsidRPr="00E20206" w:rsidRDefault="007C6EAE" w:rsidP="007C6EAE">
      <w:pPr>
        <w:jc w:val="both"/>
        <w:rPr>
          <w:sz w:val="22"/>
          <w:szCs w:val="22"/>
        </w:rPr>
      </w:pPr>
      <w:r w:rsidRPr="00E20206">
        <w:rPr>
          <w:sz w:val="22"/>
          <w:szCs w:val="22"/>
        </w:rPr>
        <w:t>Operační systém: Android 7.0 a vyšší RAM: 2GB (možno až 64G)</w:t>
      </w:r>
    </w:p>
    <w:p w:rsidR="007C6EAE" w:rsidRPr="00E20206" w:rsidRDefault="007C6EAE" w:rsidP="007C6EAE">
      <w:pPr>
        <w:jc w:val="both"/>
        <w:rPr>
          <w:sz w:val="22"/>
          <w:szCs w:val="22"/>
        </w:rPr>
      </w:pPr>
      <w:r w:rsidRPr="00E20206">
        <w:rPr>
          <w:sz w:val="22"/>
          <w:szCs w:val="22"/>
        </w:rPr>
        <w:t>ROM:16GB</w:t>
      </w:r>
    </w:p>
    <w:p w:rsidR="007C6EAE" w:rsidRPr="00E20206" w:rsidRDefault="007C6EAE" w:rsidP="007C6EAE">
      <w:pPr>
        <w:jc w:val="both"/>
        <w:rPr>
          <w:sz w:val="22"/>
          <w:szCs w:val="22"/>
        </w:rPr>
      </w:pPr>
      <w:r w:rsidRPr="00E20206">
        <w:rPr>
          <w:sz w:val="22"/>
          <w:szCs w:val="22"/>
        </w:rPr>
        <w:t xml:space="preserve">Procesor: ARM </w:t>
      </w:r>
      <w:proofErr w:type="spellStart"/>
      <w:r w:rsidRPr="00E20206">
        <w:rPr>
          <w:sz w:val="22"/>
          <w:szCs w:val="22"/>
        </w:rPr>
        <w:t>Cortex</w:t>
      </w:r>
      <w:proofErr w:type="spellEnd"/>
      <w:r w:rsidRPr="00E20206">
        <w:rPr>
          <w:sz w:val="22"/>
          <w:szCs w:val="22"/>
        </w:rPr>
        <w:t xml:space="preserve">-A53 </w:t>
      </w:r>
      <w:proofErr w:type="gramStart"/>
      <w:r w:rsidRPr="00E20206">
        <w:rPr>
          <w:sz w:val="22"/>
          <w:szCs w:val="22"/>
        </w:rPr>
        <w:t>64-bit</w:t>
      </w:r>
      <w:proofErr w:type="gramEnd"/>
      <w:r w:rsidRPr="00E20206">
        <w:rPr>
          <w:sz w:val="22"/>
          <w:szCs w:val="22"/>
        </w:rPr>
        <w:t xml:space="preserve"> </w:t>
      </w:r>
      <w:proofErr w:type="spellStart"/>
      <w:r w:rsidRPr="00E20206">
        <w:rPr>
          <w:sz w:val="22"/>
          <w:szCs w:val="22"/>
        </w:rPr>
        <w:t>Quad</w:t>
      </w:r>
      <w:proofErr w:type="spellEnd"/>
      <w:r w:rsidRPr="00E20206">
        <w:rPr>
          <w:sz w:val="22"/>
          <w:szCs w:val="22"/>
        </w:rPr>
        <w:t>-</w:t>
      </w:r>
      <w:proofErr w:type="spellStart"/>
      <w:r w:rsidRPr="00E20206">
        <w:rPr>
          <w:sz w:val="22"/>
          <w:szCs w:val="22"/>
        </w:rPr>
        <w:t>Core</w:t>
      </w:r>
      <w:proofErr w:type="spellEnd"/>
      <w:r w:rsidRPr="00E20206">
        <w:rPr>
          <w:sz w:val="22"/>
          <w:szCs w:val="22"/>
        </w:rPr>
        <w:t xml:space="preserve"> 1.3GHz</w:t>
      </w:r>
    </w:p>
    <w:p w:rsidR="007C6EAE" w:rsidRPr="00E20206" w:rsidRDefault="007C6EAE" w:rsidP="007C6EAE">
      <w:pPr>
        <w:jc w:val="both"/>
        <w:rPr>
          <w:sz w:val="22"/>
          <w:szCs w:val="22"/>
        </w:rPr>
      </w:pPr>
      <w:r w:rsidRPr="00E20206">
        <w:rPr>
          <w:sz w:val="22"/>
          <w:szCs w:val="22"/>
        </w:rPr>
        <w:t>Baterie: Li-</w:t>
      </w:r>
      <w:proofErr w:type="spellStart"/>
      <w:r w:rsidRPr="00E20206">
        <w:rPr>
          <w:sz w:val="22"/>
          <w:szCs w:val="22"/>
        </w:rPr>
        <w:t>Pol</w:t>
      </w:r>
      <w:proofErr w:type="spellEnd"/>
      <w:r w:rsidRPr="00E20206">
        <w:rPr>
          <w:sz w:val="22"/>
          <w:szCs w:val="22"/>
        </w:rPr>
        <w:t xml:space="preserve"> 3.7V, 4200mAh</w:t>
      </w:r>
    </w:p>
    <w:p w:rsidR="007C6EAE" w:rsidRPr="00E20206" w:rsidRDefault="007C6EAE" w:rsidP="007C6EAE">
      <w:pPr>
        <w:jc w:val="both"/>
        <w:rPr>
          <w:sz w:val="22"/>
          <w:szCs w:val="22"/>
        </w:rPr>
      </w:pPr>
      <w:r w:rsidRPr="00E20206">
        <w:rPr>
          <w:sz w:val="22"/>
          <w:szCs w:val="22"/>
        </w:rPr>
        <w:t>Prostředí: krytí IP66, -25 až 55°C, 5-95</w:t>
      </w:r>
      <w:r w:rsidRPr="007C6EAE">
        <w:rPr>
          <w:sz w:val="22"/>
          <w:szCs w:val="22"/>
        </w:rPr>
        <w:t>% re</w:t>
      </w:r>
      <w:r w:rsidRPr="00E20206">
        <w:rPr>
          <w:sz w:val="22"/>
          <w:szCs w:val="22"/>
        </w:rPr>
        <w:t>lativní vlhkosti</w:t>
      </w:r>
    </w:p>
    <w:p w:rsidR="007C6EAE" w:rsidRPr="00E20206" w:rsidRDefault="007C6EAE" w:rsidP="007C6EAE">
      <w:pPr>
        <w:jc w:val="both"/>
        <w:rPr>
          <w:sz w:val="22"/>
          <w:szCs w:val="22"/>
        </w:rPr>
      </w:pPr>
      <w:r w:rsidRPr="00E20206">
        <w:rPr>
          <w:sz w:val="22"/>
          <w:szCs w:val="22"/>
        </w:rPr>
        <w:t xml:space="preserve">Čtečka čárových kódů: 2D </w:t>
      </w:r>
      <w:proofErr w:type="spellStart"/>
      <w:r w:rsidRPr="00E20206">
        <w:rPr>
          <w:sz w:val="22"/>
          <w:szCs w:val="22"/>
        </w:rPr>
        <w:t>Honeywell</w:t>
      </w:r>
      <w:proofErr w:type="spellEnd"/>
      <w:r w:rsidRPr="00E20206">
        <w:rPr>
          <w:sz w:val="22"/>
          <w:szCs w:val="22"/>
        </w:rPr>
        <w:t xml:space="preserve"> 6603</w:t>
      </w:r>
    </w:p>
    <w:p w:rsidR="007C6EAE" w:rsidRPr="00E20206" w:rsidRDefault="007C6EAE" w:rsidP="007C6EAE">
      <w:pPr>
        <w:jc w:val="both"/>
        <w:rPr>
          <w:sz w:val="22"/>
          <w:szCs w:val="22"/>
        </w:rPr>
      </w:pPr>
      <w:r w:rsidRPr="00E20206">
        <w:rPr>
          <w:sz w:val="22"/>
          <w:szCs w:val="22"/>
        </w:rPr>
        <w:t>Příslušenství: USB kabel, nabíjecí stanice, ochranné pouzdro zařízení</w:t>
      </w:r>
    </w:p>
    <w:p w:rsidR="007C6EAE" w:rsidRPr="00D83E92" w:rsidRDefault="007C6EAE" w:rsidP="004C4084">
      <w:pPr>
        <w:spacing w:after="120"/>
        <w:jc w:val="both"/>
        <w:rPr>
          <w:sz w:val="22"/>
          <w:szCs w:val="22"/>
        </w:rPr>
      </w:pPr>
      <w:r w:rsidRPr="00E20206">
        <w:rPr>
          <w:sz w:val="22"/>
          <w:szCs w:val="22"/>
        </w:rPr>
        <w:t xml:space="preserve">Variabilně (zde také součást dodávaného zařízení): WI-FI, </w:t>
      </w:r>
      <w:proofErr w:type="spellStart"/>
      <w:r w:rsidRPr="00E20206">
        <w:rPr>
          <w:sz w:val="22"/>
          <w:szCs w:val="22"/>
        </w:rPr>
        <w:t>Bluetooth</w:t>
      </w:r>
      <w:proofErr w:type="spellEnd"/>
      <w:r w:rsidRPr="00E20206">
        <w:rPr>
          <w:sz w:val="22"/>
          <w:szCs w:val="22"/>
        </w:rPr>
        <w:t xml:space="preserve">, fotoaparát 8Mpx, </w:t>
      </w:r>
      <w:proofErr w:type="spellStart"/>
      <w:r w:rsidRPr="00E20206">
        <w:rPr>
          <w:sz w:val="22"/>
          <w:szCs w:val="22"/>
        </w:rPr>
        <w:t>Micro</w:t>
      </w:r>
      <w:proofErr w:type="spellEnd"/>
      <w:r w:rsidRPr="00E20206">
        <w:rPr>
          <w:sz w:val="22"/>
          <w:szCs w:val="22"/>
        </w:rPr>
        <w:t xml:space="preserve"> SD/TF port – </w:t>
      </w:r>
      <w:r w:rsidRPr="00D83E92">
        <w:rPr>
          <w:sz w:val="22"/>
          <w:szCs w:val="22"/>
        </w:rPr>
        <w:t>možnost rozšíření paměti na 64GB, GSM 2G, WCDMA 3G, FDD/TDD LTE 4G, GPS</w:t>
      </w:r>
    </w:p>
    <w:p w:rsidR="004C4084" w:rsidRPr="00D83E92" w:rsidRDefault="004C4084" w:rsidP="004C4084">
      <w:pPr>
        <w:spacing w:after="120"/>
        <w:jc w:val="both"/>
        <w:rPr>
          <w:sz w:val="22"/>
          <w:szCs w:val="22"/>
        </w:rPr>
      </w:pPr>
      <w:r w:rsidRPr="00D83E92">
        <w:rPr>
          <w:sz w:val="22"/>
          <w:szCs w:val="22"/>
        </w:rPr>
        <w:t xml:space="preserve">Zhotovitel </w:t>
      </w:r>
      <w:r w:rsidR="003F676F" w:rsidRPr="00D83E92">
        <w:rPr>
          <w:sz w:val="22"/>
          <w:szCs w:val="22"/>
        </w:rPr>
        <w:t>poskytuje na shora uvedené mobilní zařízení záruku po dobu 24 měsíců. Záruční doba počíná plynout dnem odevzdání a převzetí díla ve smyslu čl. II., bod 4).</w:t>
      </w:r>
    </w:p>
    <w:p w:rsidR="009878EA" w:rsidRPr="00D83E92" w:rsidRDefault="009878EA">
      <w:pPr>
        <w:tabs>
          <w:tab w:val="left" w:pos="2268"/>
        </w:tabs>
        <w:jc w:val="both"/>
        <w:rPr>
          <w:snapToGrid w:val="0"/>
          <w:sz w:val="21"/>
          <w:szCs w:val="21"/>
        </w:rPr>
      </w:pPr>
    </w:p>
    <w:p w:rsidR="007C6EAE" w:rsidRPr="00D83E92" w:rsidRDefault="007C6EAE">
      <w:pPr>
        <w:tabs>
          <w:tab w:val="left" w:pos="2268"/>
        </w:tabs>
        <w:jc w:val="both"/>
        <w:rPr>
          <w:snapToGrid w:val="0"/>
          <w:sz w:val="21"/>
          <w:szCs w:val="21"/>
        </w:rPr>
      </w:pPr>
    </w:p>
    <w:p w:rsidR="006B4A5B" w:rsidRPr="00D83E92" w:rsidRDefault="002C4173" w:rsidP="007C6EAE">
      <w:pPr>
        <w:pStyle w:val="Odstavecseseznamem"/>
        <w:numPr>
          <w:ilvl w:val="0"/>
          <w:numId w:val="24"/>
        </w:num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b/>
          <w:sz w:val="21"/>
          <w:szCs w:val="20"/>
        </w:rPr>
      </w:pPr>
      <w:r w:rsidRPr="00D83E92">
        <w:rPr>
          <w:b/>
          <w:sz w:val="21"/>
          <w:szCs w:val="20"/>
        </w:rPr>
        <w:t xml:space="preserve">Způsob plnění a předání díla </w:t>
      </w:r>
    </w:p>
    <w:p w:rsidR="007C6EAE" w:rsidRPr="00D83E92" w:rsidRDefault="007C6EAE" w:rsidP="003F676F">
      <w:pPr>
        <w:pStyle w:val="Nadpis4"/>
        <w:keepLines w:val="0"/>
        <w:numPr>
          <w:ilvl w:val="0"/>
          <w:numId w:val="25"/>
        </w:numPr>
        <w:spacing w:before="0" w:after="60"/>
        <w:ind w:left="357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auto"/>
          <w:sz w:val="21"/>
          <w:szCs w:val="21"/>
        </w:rPr>
      </w:pPr>
      <w:r w:rsidRPr="00D83E92"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auto"/>
          <w:sz w:val="21"/>
          <w:szCs w:val="21"/>
        </w:rPr>
        <w:t xml:space="preserve">Zhotovitel provede práce uvedené v čl. I. této smlouvy </w:t>
      </w:r>
      <w:r w:rsidR="003F676F" w:rsidRPr="00D83E92"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auto"/>
          <w:sz w:val="21"/>
          <w:szCs w:val="21"/>
        </w:rPr>
        <w:t xml:space="preserve">a předá hotové dílo objednateli </w:t>
      </w:r>
      <w:r w:rsidRPr="00D83E92"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auto"/>
          <w:sz w:val="21"/>
          <w:szCs w:val="21"/>
        </w:rPr>
        <w:t xml:space="preserve">do </w:t>
      </w:r>
      <w:proofErr w:type="gramStart"/>
      <w:r w:rsidRPr="00D83E92"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auto"/>
          <w:sz w:val="21"/>
          <w:szCs w:val="21"/>
        </w:rPr>
        <w:t>20.12.2019</w:t>
      </w:r>
      <w:proofErr w:type="gramEnd"/>
      <w:r w:rsidR="003F676F" w:rsidRPr="00D83E92"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auto"/>
          <w:sz w:val="21"/>
          <w:szCs w:val="21"/>
        </w:rPr>
        <w:t>.</w:t>
      </w:r>
    </w:p>
    <w:p w:rsidR="00810CAD" w:rsidRPr="00D83E92" w:rsidRDefault="00810CAD" w:rsidP="003F676F">
      <w:pPr>
        <w:pStyle w:val="Nadpis4"/>
        <w:keepLines w:val="0"/>
        <w:numPr>
          <w:ilvl w:val="0"/>
          <w:numId w:val="25"/>
        </w:numPr>
        <w:spacing w:before="0" w:after="60"/>
        <w:ind w:left="357" w:hanging="357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auto"/>
          <w:sz w:val="21"/>
          <w:szCs w:val="21"/>
        </w:rPr>
      </w:pPr>
      <w:r w:rsidRPr="00D83E92"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auto"/>
          <w:sz w:val="21"/>
          <w:szCs w:val="21"/>
        </w:rPr>
        <w:t>Řešení obsahuje (viz čl. I) kompletní analytické a vývojové práce, instalační práce a zaškolení uživatelů.</w:t>
      </w:r>
    </w:p>
    <w:p w:rsidR="00FC0E66" w:rsidRPr="00D83E92" w:rsidRDefault="006B4A5B" w:rsidP="003F676F">
      <w:pPr>
        <w:pStyle w:val="Zkladntext2"/>
        <w:numPr>
          <w:ilvl w:val="0"/>
          <w:numId w:val="25"/>
        </w:numPr>
        <w:spacing w:after="60"/>
        <w:rPr>
          <w:sz w:val="21"/>
          <w:szCs w:val="21"/>
        </w:rPr>
      </w:pPr>
      <w:r w:rsidRPr="00D83E92">
        <w:rPr>
          <w:snapToGrid/>
          <w:sz w:val="21"/>
          <w:szCs w:val="21"/>
        </w:rPr>
        <w:t xml:space="preserve">Místem plnění je </w:t>
      </w:r>
      <w:r w:rsidR="007C6EAE" w:rsidRPr="00D83E92">
        <w:rPr>
          <w:snapToGrid/>
          <w:sz w:val="21"/>
          <w:szCs w:val="21"/>
        </w:rPr>
        <w:t xml:space="preserve">vodní dílo Morávka. </w:t>
      </w:r>
      <w:r w:rsidR="009A5E17" w:rsidRPr="00D83E92">
        <w:rPr>
          <w:snapToGrid/>
          <w:sz w:val="21"/>
          <w:szCs w:val="21"/>
        </w:rPr>
        <w:t xml:space="preserve">Realizace bude probíhat na stávajícím HW </w:t>
      </w:r>
      <w:r w:rsidR="0082542E" w:rsidRPr="00D83E92">
        <w:rPr>
          <w:snapToGrid/>
          <w:sz w:val="21"/>
          <w:szCs w:val="21"/>
        </w:rPr>
        <w:t>a</w:t>
      </w:r>
      <w:r w:rsidR="009A5E17" w:rsidRPr="00D83E92">
        <w:rPr>
          <w:snapToGrid/>
          <w:sz w:val="21"/>
          <w:szCs w:val="21"/>
        </w:rPr>
        <w:t> SW vybavení Povodí Odry, s</w:t>
      </w:r>
      <w:r w:rsidR="003475B6" w:rsidRPr="00D83E92">
        <w:rPr>
          <w:snapToGrid/>
          <w:sz w:val="21"/>
          <w:szCs w:val="21"/>
        </w:rPr>
        <w:t>tátní podnik</w:t>
      </w:r>
      <w:r w:rsidR="009A5E17" w:rsidRPr="00D83E92">
        <w:rPr>
          <w:snapToGrid/>
          <w:sz w:val="21"/>
          <w:szCs w:val="21"/>
        </w:rPr>
        <w:t xml:space="preserve">. </w:t>
      </w:r>
    </w:p>
    <w:p w:rsidR="002C4173" w:rsidRPr="00D83E92" w:rsidRDefault="002C4173" w:rsidP="00810CAD">
      <w:pPr>
        <w:pStyle w:val="Zkladntext2"/>
        <w:numPr>
          <w:ilvl w:val="0"/>
          <w:numId w:val="25"/>
        </w:numPr>
        <w:rPr>
          <w:sz w:val="21"/>
          <w:szCs w:val="21"/>
        </w:rPr>
      </w:pPr>
      <w:r w:rsidRPr="00D83E92">
        <w:rPr>
          <w:sz w:val="21"/>
          <w:szCs w:val="21"/>
        </w:rPr>
        <w:t xml:space="preserve">Dílo bude předáno na základě předávacího protokolu podepsaného zástupci obou smluvních stran. </w:t>
      </w:r>
      <w:r w:rsidR="00A96927" w:rsidRPr="00D83E92">
        <w:rPr>
          <w:sz w:val="21"/>
          <w:szCs w:val="21"/>
        </w:rPr>
        <w:t>Objednatel</w:t>
      </w:r>
      <w:r w:rsidRPr="00D83E92">
        <w:rPr>
          <w:sz w:val="21"/>
          <w:szCs w:val="21"/>
        </w:rPr>
        <w:t xml:space="preserve"> je oprávněn odmítnout akceptaci díla na základě prokazatelného nesplnění funkčnosti programu.</w:t>
      </w:r>
    </w:p>
    <w:p w:rsidR="00BD1A6E" w:rsidRPr="00D83E92" w:rsidRDefault="00BD1A6E" w:rsidP="005C64AB">
      <w:pPr>
        <w:pStyle w:val="Zkladntext2"/>
        <w:tabs>
          <w:tab w:val="clear" w:pos="2268"/>
        </w:tabs>
        <w:spacing w:after="120"/>
        <w:rPr>
          <w:sz w:val="21"/>
          <w:szCs w:val="21"/>
        </w:rPr>
      </w:pPr>
    </w:p>
    <w:p w:rsidR="00931482" w:rsidRPr="00D83E92" w:rsidRDefault="00AD3750" w:rsidP="00AD3750">
      <w:pPr>
        <w:pStyle w:val="Odstavecseseznamem"/>
        <w:numPr>
          <w:ilvl w:val="0"/>
          <w:numId w:val="24"/>
        </w:num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b/>
          <w:sz w:val="21"/>
          <w:szCs w:val="20"/>
        </w:rPr>
      </w:pPr>
      <w:r w:rsidRPr="00D83E92">
        <w:rPr>
          <w:b/>
          <w:sz w:val="21"/>
          <w:szCs w:val="20"/>
        </w:rPr>
        <w:t>Cena díla a platební podmínky</w:t>
      </w:r>
    </w:p>
    <w:p w:rsidR="00AD3750" w:rsidRPr="00D83E92" w:rsidRDefault="00AD3750" w:rsidP="0092608D">
      <w:pPr>
        <w:pStyle w:val="Zkladntext2"/>
        <w:numPr>
          <w:ilvl w:val="0"/>
          <w:numId w:val="1"/>
        </w:numPr>
        <w:spacing w:after="60"/>
        <w:ind w:left="357" w:hanging="357"/>
        <w:rPr>
          <w:sz w:val="21"/>
          <w:szCs w:val="21"/>
        </w:rPr>
      </w:pPr>
      <w:r w:rsidRPr="00D83E92">
        <w:rPr>
          <w:sz w:val="21"/>
          <w:szCs w:val="21"/>
        </w:rPr>
        <w:t xml:space="preserve">Smluvní strany se dohodly, že cena za práce uvedené v čl. I. smlouvy bude činit </w:t>
      </w:r>
      <w:r w:rsidRPr="00D83E92">
        <w:rPr>
          <w:b/>
          <w:sz w:val="21"/>
          <w:szCs w:val="21"/>
        </w:rPr>
        <w:t>274 800 Kč</w:t>
      </w:r>
      <w:r w:rsidR="003F676F" w:rsidRPr="00D83E92">
        <w:rPr>
          <w:b/>
          <w:sz w:val="21"/>
          <w:szCs w:val="21"/>
        </w:rPr>
        <w:t xml:space="preserve"> bez DPH</w:t>
      </w:r>
      <w:r w:rsidRPr="00D83E92">
        <w:rPr>
          <w:sz w:val="21"/>
          <w:szCs w:val="21"/>
        </w:rPr>
        <w:t xml:space="preserve">. </w:t>
      </w:r>
    </w:p>
    <w:p w:rsidR="006B4A5B" w:rsidRPr="00D83E92" w:rsidRDefault="006B4A5B" w:rsidP="0092608D">
      <w:pPr>
        <w:pStyle w:val="Zkladntext2"/>
        <w:numPr>
          <w:ilvl w:val="0"/>
          <w:numId w:val="1"/>
        </w:numPr>
        <w:spacing w:after="60"/>
        <w:ind w:left="357" w:hanging="357"/>
        <w:rPr>
          <w:sz w:val="21"/>
          <w:szCs w:val="21"/>
        </w:rPr>
      </w:pPr>
      <w:r w:rsidRPr="00D83E92">
        <w:rPr>
          <w:sz w:val="21"/>
          <w:szCs w:val="21"/>
        </w:rPr>
        <w:t xml:space="preserve">Výše uvedená cena bude zaplacena </w:t>
      </w:r>
      <w:r w:rsidR="00A96927" w:rsidRPr="00D83E92">
        <w:rPr>
          <w:sz w:val="21"/>
          <w:szCs w:val="21"/>
        </w:rPr>
        <w:t>objednatelem</w:t>
      </w:r>
      <w:r w:rsidRPr="00D83E92">
        <w:rPr>
          <w:sz w:val="21"/>
          <w:szCs w:val="21"/>
        </w:rPr>
        <w:t xml:space="preserve"> </w:t>
      </w:r>
      <w:r w:rsidR="009858FF" w:rsidRPr="00D83E92">
        <w:rPr>
          <w:sz w:val="21"/>
          <w:szCs w:val="21"/>
        </w:rPr>
        <w:t>zhotoviteli</w:t>
      </w:r>
      <w:r w:rsidRPr="00D83E92">
        <w:rPr>
          <w:sz w:val="21"/>
          <w:szCs w:val="21"/>
        </w:rPr>
        <w:t xml:space="preserve"> na základě jím vystavené faktury.</w:t>
      </w:r>
    </w:p>
    <w:p w:rsidR="00194976" w:rsidRPr="00D83E92" w:rsidRDefault="00A96927" w:rsidP="003F676F">
      <w:pPr>
        <w:pStyle w:val="Zkladntext2"/>
        <w:numPr>
          <w:ilvl w:val="0"/>
          <w:numId w:val="1"/>
        </w:numPr>
        <w:spacing w:after="60"/>
        <w:ind w:left="357" w:hanging="357"/>
        <w:rPr>
          <w:sz w:val="21"/>
          <w:szCs w:val="21"/>
        </w:rPr>
      </w:pPr>
      <w:r w:rsidRPr="00D83E92">
        <w:rPr>
          <w:sz w:val="21"/>
          <w:szCs w:val="21"/>
        </w:rPr>
        <w:t>Objednatel</w:t>
      </w:r>
      <w:r w:rsidR="00194976" w:rsidRPr="00D83E92">
        <w:rPr>
          <w:sz w:val="21"/>
          <w:szCs w:val="21"/>
        </w:rPr>
        <w:t xml:space="preserve"> se zavazuje zaplatit </w:t>
      </w:r>
      <w:r w:rsidR="009858FF" w:rsidRPr="00D83E92">
        <w:rPr>
          <w:sz w:val="21"/>
          <w:szCs w:val="21"/>
        </w:rPr>
        <w:t>zhotoviteli</w:t>
      </w:r>
      <w:r w:rsidR="00194976" w:rsidRPr="00D83E92">
        <w:rPr>
          <w:sz w:val="21"/>
          <w:szCs w:val="21"/>
        </w:rPr>
        <w:t xml:space="preserve"> dohodnutou cenu dle podmínek dále ve smlouvě uvedených.</w:t>
      </w:r>
    </w:p>
    <w:p w:rsidR="006B4A5B" w:rsidRPr="00D83E92" w:rsidRDefault="006B4A5B" w:rsidP="0092608D">
      <w:pPr>
        <w:numPr>
          <w:ilvl w:val="0"/>
          <w:numId w:val="1"/>
        </w:numPr>
        <w:tabs>
          <w:tab w:val="left" w:pos="2268"/>
        </w:tabs>
        <w:spacing w:after="60"/>
        <w:ind w:left="357" w:hanging="357"/>
        <w:jc w:val="both"/>
        <w:rPr>
          <w:snapToGrid w:val="0"/>
          <w:sz w:val="21"/>
          <w:szCs w:val="21"/>
        </w:rPr>
      </w:pPr>
      <w:r w:rsidRPr="00D83E92">
        <w:rPr>
          <w:snapToGrid w:val="0"/>
          <w:sz w:val="21"/>
          <w:szCs w:val="21"/>
        </w:rPr>
        <w:t>Faktura bude vystavena nejpozději do 1</w:t>
      </w:r>
      <w:r w:rsidR="00915D64" w:rsidRPr="00D83E92">
        <w:rPr>
          <w:snapToGrid w:val="0"/>
          <w:sz w:val="21"/>
          <w:szCs w:val="21"/>
        </w:rPr>
        <w:t>0</w:t>
      </w:r>
      <w:r w:rsidRPr="00D83E92">
        <w:rPr>
          <w:snapToGrid w:val="0"/>
          <w:sz w:val="21"/>
          <w:szCs w:val="21"/>
        </w:rPr>
        <w:t xml:space="preserve"> dnů od </w:t>
      </w:r>
      <w:r w:rsidR="00882B79" w:rsidRPr="00D83E92">
        <w:rPr>
          <w:snapToGrid w:val="0"/>
          <w:sz w:val="21"/>
          <w:szCs w:val="21"/>
        </w:rPr>
        <w:t xml:space="preserve">protokolárního </w:t>
      </w:r>
      <w:r w:rsidR="00AD583F" w:rsidRPr="00D83E92">
        <w:rPr>
          <w:snapToGrid w:val="0"/>
          <w:sz w:val="21"/>
          <w:szCs w:val="21"/>
        </w:rPr>
        <w:t>předání</w:t>
      </w:r>
      <w:r w:rsidRPr="00D83E92">
        <w:rPr>
          <w:snapToGrid w:val="0"/>
          <w:sz w:val="21"/>
          <w:szCs w:val="21"/>
        </w:rPr>
        <w:t xml:space="preserve"> </w:t>
      </w:r>
      <w:r w:rsidR="003F676F" w:rsidRPr="00D83E92">
        <w:rPr>
          <w:snapToGrid w:val="0"/>
          <w:sz w:val="21"/>
          <w:szCs w:val="21"/>
        </w:rPr>
        <w:t xml:space="preserve">a převzetí </w:t>
      </w:r>
      <w:r w:rsidR="00882B79" w:rsidRPr="00D83E92">
        <w:rPr>
          <w:snapToGrid w:val="0"/>
          <w:sz w:val="21"/>
          <w:szCs w:val="21"/>
        </w:rPr>
        <w:t xml:space="preserve">předmětu smlouvy </w:t>
      </w:r>
      <w:r w:rsidRPr="00D83E92">
        <w:rPr>
          <w:snapToGrid w:val="0"/>
          <w:sz w:val="21"/>
          <w:szCs w:val="21"/>
        </w:rPr>
        <w:t>a musí mít veškeré náležitosti daňového dokladu</w:t>
      </w:r>
      <w:r w:rsidR="00AD583F" w:rsidRPr="00D83E92">
        <w:rPr>
          <w:snapToGrid w:val="0"/>
          <w:sz w:val="21"/>
          <w:szCs w:val="21"/>
        </w:rPr>
        <w:t xml:space="preserve"> stanovené zákonem č. 235/2004 Sb., o DPH, ve znění pozdějších předpisů</w:t>
      </w:r>
      <w:r w:rsidRPr="00D83E92">
        <w:rPr>
          <w:snapToGrid w:val="0"/>
          <w:sz w:val="21"/>
          <w:szCs w:val="21"/>
        </w:rPr>
        <w:t>.</w:t>
      </w:r>
    </w:p>
    <w:p w:rsidR="006B4A5B" w:rsidRPr="00D83E92" w:rsidRDefault="006B4A5B" w:rsidP="0092608D">
      <w:pPr>
        <w:numPr>
          <w:ilvl w:val="0"/>
          <w:numId w:val="1"/>
        </w:numPr>
        <w:tabs>
          <w:tab w:val="left" w:pos="2268"/>
        </w:tabs>
        <w:spacing w:after="60"/>
        <w:ind w:left="357" w:hanging="357"/>
        <w:jc w:val="both"/>
        <w:rPr>
          <w:snapToGrid w:val="0"/>
          <w:sz w:val="21"/>
          <w:szCs w:val="21"/>
        </w:rPr>
      </w:pPr>
      <w:r w:rsidRPr="00D83E92">
        <w:rPr>
          <w:snapToGrid w:val="0"/>
          <w:sz w:val="21"/>
          <w:szCs w:val="21"/>
        </w:rPr>
        <w:t xml:space="preserve">Splatnost faktury je 21 dnů od jejího doručení </w:t>
      </w:r>
      <w:r w:rsidR="00A96927" w:rsidRPr="00D83E92">
        <w:rPr>
          <w:snapToGrid w:val="0"/>
          <w:sz w:val="21"/>
          <w:szCs w:val="21"/>
        </w:rPr>
        <w:t>objednateli</w:t>
      </w:r>
      <w:r w:rsidRPr="00D83E92">
        <w:rPr>
          <w:snapToGrid w:val="0"/>
          <w:sz w:val="21"/>
          <w:szCs w:val="21"/>
        </w:rPr>
        <w:t>.</w:t>
      </w:r>
    </w:p>
    <w:p w:rsidR="006B4A5B" w:rsidRPr="00D83E92" w:rsidRDefault="009A4FB6" w:rsidP="0092608D">
      <w:pPr>
        <w:numPr>
          <w:ilvl w:val="0"/>
          <w:numId w:val="1"/>
        </w:numPr>
        <w:tabs>
          <w:tab w:val="left" w:pos="2268"/>
        </w:tabs>
        <w:spacing w:after="60"/>
        <w:ind w:left="357" w:hanging="357"/>
        <w:jc w:val="both"/>
        <w:rPr>
          <w:snapToGrid w:val="0"/>
          <w:sz w:val="21"/>
          <w:szCs w:val="21"/>
        </w:rPr>
      </w:pPr>
      <w:r w:rsidRPr="00D83E92">
        <w:rPr>
          <w:snapToGrid w:val="0"/>
          <w:sz w:val="21"/>
          <w:szCs w:val="21"/>
        </w:rPr>
        <w:t>V případě dílčího plnění bude postupováno v souladu s § 21</w:t>
      </w:r>
      <w:r w:rsidR="00AD583F" w:rsidRPr="00D83E92">
        <w:rPr>
          <w:snapToGrid w:val="0"/>
          <w:sz w:val="21"/>
          <w:szCs w:val="21"/>
        </w:rPr>
        <w:t xml:space="preserve"> odst. </w:t>
      </w:r>
      <w:r w:rsidRPr="00D83E92">
        <w:rPr>
          <w:snapToGrid w:val="0"/>
          <w:sz w:val="21"/>
          <w:szCs w:val="21"/>
        </w:rPr>
        <w:t>8 zákona č. 235/2004 Sb., o dani z přidané hodnoty, v platném znění.</w:t>
      </w:r>
    </w:p>
    <w:p w:rsidR="00896D9F" w:rsidRPr="00D83E92" w:rsidRDefault="00896D9F" w:rsidP="00896D9F">
      <w:pPr>
        <w:pStyle w:val="Nadpis1"/>
        <w:numPr>
          <w:ilvl w:val="0"/>
          <w:numId w:val="1"/>
        </w:numPr>
        <w:tabs>
          <w:tab w:val="clear" w:pos="2268"/>
        </w:tabs>
        <w:jc w:val="both"/>
        <w:rPr>
          <w:b w:val="0"/>
          <w:sz w:val="21"/>
          <w:szCs w:val="21"/>
        </w:rPr>
      </w:pPr>
      <w:r w:rsidRPr="00D83E92">
        <w:rPr>
          <w:b w:val="0"/>
          <w:sz w:val="21"/>
          <w:szCs w:val="21"/>
          <w:u w:val="none"/>
        </w:rPr>
        <w:t xml:space="preserve">Zhotovitel souhlasí s platbou DPH na účet místně příslušného správce daně v případě, že bude v registru plátců DPH označen jako nespolehlivý, nebo bude požadovat úhradu na jiný než zveřejněný bankovní účet podle </w:t>
      </w:r>
      <w:r w:rsidRPr="00D83E92">
        <w:rPr>
          <w:b w:val="0"/>
          <w:sz w:val="21"/>
          <w:szCs w:val="21"/>
          <w:u w:val="none"/>
        </w:rPr>
        <w:br/>
        <w:t>§ 109 odst. 2 c) zákona č. 235/2004 Sb., o dani z přidané hodnoty, ve znění pozdějších předpisů</w:t>
      </w:r>
      <w:r w:rsidRPr="00D83E92">
        <w:rPr>
          <w:b w:val="0"/>
          <w:sz w:val="21"/>
          <w:szCs w:val="21"/>
        </w:rPr>
        <w:t>.</w:t>
      </w:r>
    </w:p>
    <w:p w:rsidR="00896D9F" w:rsidRPr="00D83E92" w:rsidRDefault="00896D9F" w:rsidP="00896D9F">
      <w:pPr>
        <w:tabs>
          <w:tab w:val="left" w:pos="2268"/>
        </w:tabs>
        <w:spacing w:after="60"/>
        <w:jc w:val="both"/>
        <w:rPr>
          <w:snapToGrid w:val="0"/>
          <w:sz w:val="21"/>
          <w:szCs w:val="21"/>
        </w:rPr>
      </w:pPr>
    </w:p>
    <w:p w:rsidR="00E65B2F" w:rsidRPr="00D83E92" w:rsidRDefault="00E65B2F">
      <w:pPr>
        <w:tabs>
          <w:tab w:val="left" w:pos="2268"/>
        </w:tabs>
        <w:jc w:val="both"/>
        <w:rPr>
          <w:snapToGrid w:val="0"/>
          <w:sz w:val="21"/>
          <w:szCs w:val="21"/>
        </w:rPr>
      </w:pPr>
    </w:p>
    <w:p w:rsidR="006B4A5B" w:rsidRPr="00D83E92" w:rsidRDefault="006B4A5B" w:rsidP="001F0920">
      <w:pPr>
        <w:pStyle w:val="Odstavecseseznamem"/>
        <w:numPr>
          <w:ilvl w:val="0"/>
          <w:numId w:val="24"/>
        </w:num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b/>
          <w:sz w:val="21"/>
          <w:szCs w:val="20"/>
        </w:rPr>
      </w:pPr>
      <w:r w:rsidRPr="00D83E92">
        <w:rPr>
          <w:b/>
          <w:sz w:val="21"/>
          <w:szCs w:val="20"/>
        </w:rPr>
        <w:lastRenderedPageBreak/>
        <w:t>Sankce</w:t>
      </w:r>
      <w:r w:rsidR="00E80556" w:rsidRPr="00D83E92">
        <w:rPr>
          <w:b/>
          <w:sz w:val="21"/>
          <w:szCs w:val="20"/>
        </w:rPr>
        <w:t xml:space="preserve"> a náhrada škody</w:t>
      </w:r>
    </w:p>
    <w:p w:rsidR="006B4A5B" w:rsidRPr="00D83E92" w:rsidRDefault="006B4A5B" w:rsidP="00896D9F">
      <w:pPr>
        <w:pStyle w:val="Zkladntext2"/>
        <w:numPr>
          <w:ilvl w:val="0"/>
          <w:numId w:val="3"/>
        </w:numPr>
        <w:tabs>
          <w:tab w:val="clear" w:pos="720"/>
          <w:tab w:val="num" w:pos="426"/>
        </w:tabs>
        <w:spacing w:after="60"/>
        <w:ind w:left="426" w:hanging="426"/>
        <w:rPr>
          <w:sz w:val="21"/>
          <w:szCs w:val="21"/>
        </w:rPr>
      </w:pPr>
      <w:r w:rsidRPr="00D83E92">
        <w:rPr>
          <w:sz w:val="21"/>
          <w:szCs w:val="21"/>
        </w:rPr>
        <w:t xml:space="preserve">V případě prodlení </w:t>
      </w:r>
      <w:r w:rsidR="009858FF" w:rsidRPr="00D83E92">
        <w:rPr>
          <w:sz w:val="21"/>
          <w:szCs w:val="21"/>
        </w:rPr>
        <w:t>zhotovitele</w:t>
      </w:r>
      <w:r w:rsidRPr="00D83E92">
        <w:rPr>
          <w:sz w:val="21"/>
          <w:szCs w:val="21"/>
        </w:rPr>
        <w:t xml:space="preserve"> s </w:t>
      </w:r>
      <w:r w:rsidR="00E80556" w:rsidRPr="00D83E92">
        <w:rPr>
          <w:sz w:val="21"/>
          <w:szCs w:val="21"/>
        </w:rPr>
        <w:t>odevzdáním</w:t>
      </w:r>
      <w:r w:rsidRPr="00D83E92">
        <w:rPr>
          <w:sz w:val="21"/>
          <w:szCs w:val="21"/>
        </w:rPr>
        <w:t xml:space="preserve"> </w:t>
      </w:r>
      <w:r w:rsidR="00882B79" w:rsidRPr="00D83E92">
        <w:rPr>
          <w:sz w:val="21"/>
          <w:szCs w:val="21"/>
        </w:rPr>
        <w:t>předmětu smlouvy</w:t>
      </w:r>
      <w:r w:rsidRPr="00D83E92">
        <w:rPr>
          <w:sz w:val="21"/>
          <w:szCs w:val="21"/>
        </w:rPr>
        <w:t xml:space="preserve"> je </w:t>
      </w:r>
      <w:r w:rsidR="009858FF" w:rsidRPr="00D83E92">
        <w:rPr>
          <w:sz w:val="21"/>
          <w:szCs w:val="21"/>
        </w:rPr>
        <w:t>zhotovitel</w:t>
      </w:r>
      <w:r w:rsidRPr="00D83E92">
        <w:rPr>
          <w:sz w:val="21"/>
          <w:szCs w:val="21"/>
        </w:rPr>
        <w:t xml:space="preserve"> povinen zaplatit </w:t>
      </w:r>
      <w:r w:rsidR="00BD77E0" w:rsidRPr="00D83E92">
        <w:rPr>
          <w:sz w:val="21"/>
          <w:szCs w:val="21"/>
        </w:rPr>
        <w:t>objednateli</w:t>
      </w:r>
      <w:r w:rsidRPr="00D83E92">
        <w:rPr>
          <w:sz w:val="21"/>
          <w:szCs w:val="21"/>
        </w:rPr>
        <w:t xml:space="preserve"> smluvní pokutu ve výši </w:t>
      </w:r>
      <w:r w:rsidR="00882B79" w:rsidRPr="00D83E92">
        <w:rPr>
          <w:sz w:val="21"/>
          <w:szCs w:val="21"/>
        </w:rPr>
        <w:t>0,5% z</w:t>
      </w:r>
      <w:r w:rsidR="00E80556" w:rsidRPr="00D83E92">
        <w:rPr>
          <w:sz w:val="21"/>
          <w:szCs w:val="21"/>
        </w:rPr>
        <w:t xml:space="preserve"> celkové </w:t>
      </w:r>
      <w:r w:rsidR="00882B79" w:rsidRPr="00D83E92">
        <w:rPr>
          <w:sz w:val="21"/>
          <w:szCs w:val="21"/>
        </w:rPr>
        <w:t>ceny plnění</w:t>
      </w:r>
      <w:r w:rsidRPr="00D83E92">
        <w:rPr>
          <w:sz w:val="21"/>
          <w:szCs w:val="21"/>
        </w:rPr>
        <w:t xml:space="preserve"> </w:t>
      </w:r>
      <w:r w:rsidR="009858FF" w:rsidRPr="00D83E92">
        <w:rPr>
          <w:sz w:val="21"/>
          <w:szCs w:val="21"/>
        </w:rPr>
        <w:t xml:space="preserve">bez DPH </w:t>
      </w:r>
      <w:r w:rsidRPr="00D83E92">
        <w:rPr>
          <w:sz w:val="21"/>
          <w:szCs w:val="21"/>
        </w:rPr>
        <w:t xml:space="preserve">za každý započatý </w:t>
      </w:r>
      <w:r w:rsidR="00882B79" w:rsidRPr="00D83E92">
        <w:rPr>
          <w:sz w:val="21"/>
          <w:szCs w:val="21"/>
        </w:rPr>
        <w:t xml:space="preserve">kalendářní </w:t>
      </w:r>
      <w:r w:rsidRPr="00D83E92">
        <w:rPr>
          <w:sz w:val="21"/>
          <w:szCs w:val="21"/>
        </w:rPr>
        <w:t>den prodlení.</w:t>
      </w:r>
    </w:p>
    <w:p w:rsidR="006B4A5B" w:rsidRPr="00D83E92" w:rsidRDefault="006B4A5B" w:rsidP="00896D9F">
      <w:pPr>
        <w:numPr>
          <w:ilvl w:val="0"/>
          <w:numId w:val="3"/>
        </w:numPr>
        <w:tabs>
          <w:tab w:val="clear" w:pos="720"/>
          <w:tab w:val="num" w:pos="426"/>
          <w:tab w:val="left" w:pos="2268"/>
        </w:tabs>
        <w:spacing w:after="60"/>
        <w:ind w:left="426" w:hanging="426"/>
        <w:jc w:val="both"/>
        <w:rPr>
          <w:snapToGrid w:val="0"/>
          <w:sz w:val="21"/>
          <w:szCs w:val="21"/>
        </w:rPr>
      </w:pPr>
      <w:r w:rsidRPr="00D83E92">
        <w:rPr>
          <w:snapToGrid w:val="0"/>
          <w:sz w:val="21"/>
          <w:szCs w:val="21"/>
        </w:rPr>
        <w:t xml:space="preserve">V případě prodlení </w:t>
      </w:r>
      <w:r w:rsidR="00BD77E0" w:rsidRPr="00D83E92">
        <w:rPr>
          <w:snapToGrid w:val="0"/>
          <w:sz w:val="21"/>
          <w:szCs w:val="21"/>
        </w:rPr>
        <w:t>objednatele</w:t>
      </w:r>
      <w:r w:rsidRPr="00D83E92">
        <w:rPr>
          <w:snapToGrid w:val="0"/>
          <w:sz w:val="21"/>
          <w:szCs w:val="21"/>
        </w:rPr>
        <w:t xml:space="preserve"> se zaplacením ceny podle této smlouvy se </w:t>
      </w:r>
      <w:r w:rsidR="00BD77E0" w:rsidRPr="00D83E92">
        <w:rPr>
          <w:snapToGrid w:val="0"/>
          <w:sz w:val="21"/>
          <w:szCs w:val="21"/>
        </w:rPr>
        <w:t>objednatel</w:t>
      </w:r>
      <w:r w:rsidRPr="00D83E92">
        <w:rPr>
          <w:snapToGrid w:val="0"/>
          <w:sz w:val="21"/>
          <w:szCs w:val="21"/>
        </w:rPr>
        <w:t xml:space="preserve"> zavazuje zaplatit </w:t>
      </w:r>
      <w:r w:rsidR="009858FF" w:rsidRPr="00D83E92">
        <w:rPr>
          <w:snapToGrid w:val="0"/>
          <w:sz w:val="21"/>
          <w:szCs w:val="21"/>
        </w:rPr>
        <w:t>zhotoviteli</w:t>
      </w:r>
      <w:r w:rsidRPr="00D83E92">
        <w:rPr>
          <w:snapToGrid w:val="0"/>
          <w:sz w:val="21"/>
          <w:szCs w:val="21"/>
        </w:rPr>
        <w:t xml:space="preserve"> </w:t>
      </w:r>
      <w:r w:rsidR="00882B79" w:rsidRPr="00D83E92">
        <w:rPr>
          <w:snapToGrid w:val="0"/>
          <w:sz w:val="21"/>
          <w:szCs w:val="21"/>
        </w:rPr>
        <w:t xml:space="preserve">smluvní </w:t>
      </w:r>
      <w:r w:rsidRPr="00D83E92">
        <w:rPr>
          <w:snapToGrid w:val="0"/>
          <w:sz w:val="21"/>
          <w:szCs w:val="21"/>
        </w:rPr>
        <w:t xml:space="preserve">úrok z prodlení ve výši 0,5% z fakturované částky za každý započatý </w:t>
      </w:r>
      <w:r w:rsidR="00882B79" w:rsidRPr="00D83E92">
        <w:rPr>
          <w:snapToGrid w:val="0"/>
          <w:sz w:val="21"/>
          <w:szCs w:val="21"/>
        </w:rPr>
        <w:t xml:space="preserve">kalendářní </w:t>
      </w:r>
      <w:r w:rsidRPr="00D83E92">
        <w:rPr>
          <w:snapToGrid w:val="0"/>
          <w:sz w:val="21"/>
          <w:szCs w:val="21"/>
        </w:rPr>
        <w:t>den prodlení.</w:t>
      </w:r>
    </w:p>
    <w:p w:rsidR="00896D9F" w:rsidRPr="00D83E92" w:rsidRDefault="00896D9F" w:rsidP="00896D9F">
      <w:pPr>
        <w:numPr>
          <w:ilvl w:val="0"/>
          <w:numId w:val="3"/>
        </w:numPr>
        <w:tabs>
          <w:tab w:val="clear" w:pos="720"/>
          <w:tab w:val="num" w:pos="426"/>
        </w:tabs>
        <w:spacing w:after="60"/>
        <w:ind w:left="426" w:hanging="426"/>
        <w:jc w:val="both"/>
        <w:rPr>
          <w:sz w:val="21"/>
          <w:szCs w:val="21"/>
        </w:rPr>
      </w:pPr>
      <w:r w:rsidRPr="00D83E92">
        <w:rPr>
          <w:sz w:val="21"/>
          <w:szCs w:val="21"/>
        </w:rPr>
        <w:t>Pro případ porušení ujednání uvedeného v čl. V. bod 2) této smlouvy uhradí zhotovitel objednateli jednorázovou smluvní pokutu ve výši 10% z celkové ceny plnění bez DPH dle této smlouvy, a to se splatností do 14 dnů od vystavení faktury.</w:t>
      </w:r>
    </w:p>
    <w:p w:rsidR="009A4FB6" w:rsidRPr="00D83E92" w:rsidRDefault="009A4FB6" w:rsidP="00896D9F">
      <w:pPr>
        <w:numPr>
          <w:ilvl w:val="0"/>
          <w:numId w:val="3"/>
        </w:numPr>
        <w:tabs>
          <w:tab w:val="clear" w:pos="720"/>
          <w:tab w:val="num" w:pos="426"/>
          <w:tab w:val="left" w:pos="2268"/>
        </w:tabs>
        <w:spacing w:after="60"/>
        <w:ind w:left="426" w:hanging="426"/>
        <w:jc w:val="both"/>
        <w:rPr>
          <w:snapToGrid w:val="0"/>
          <w:sz w:val="21"/>
          <w:szCs w:val="21"/>
        </w:rPr>
      </w:pPr>
      <w:r w:rsidRPr="00D83E92">
        <w:rPr>
          <w:sz w:val="21"/>
          <w:szCs w:val="21"/>
        </w:rPr>
        <w:t>Smluvní pokuty sjednané touto smlouvou hradí povinná strana nezávisle na zavinění a na tom, zda a v jaké výši vznikne druhé straně v této souvislosti škoda, kterou lze vymáhat samostatně. Smluvní pokuty se nezapočítávají na náhradu vzniklé škody.</w:t>
      </w:r>
    </w:p>
    <w:p w:rsidR="009A4FB6" w:rsidRPr="00D83E92" w:rsidRDefault="009A4FB6" w:rsidP="009A4FB6">
      <w:pPr>
        <w:tabs>
          <w:tab w:val="left" w:pos="2268"/>
        </w:tabs>
        <w:jc w:val="both"/>
        <w:rPr>
          <w:snapToGrid w:val="0"/>
          <w:sz w:val="21"/>
          <w:szCs w:val="21"/>
        </w:rPr>
      </w:pPr>
    </w:p>
    <w:p w:rsidR="00896D9F" w:rsidRPr="00D83E92" w:rsidRDefault="00896D9F" w:rsidP="009A4FB6">
      <w:pPr>
        <w:tabs>
          <w:tab w:val="left" w:pos="2268"/>
        </w:tabs>
        <w:jc w:val="both"/>
        <w:rPr>
          <w:snapToGrid w:val="0"/>
          <w:sz w:val="21"/>
          <w:szCs w:val="21"/>
        </w:rPr>
      </w:pPr>
    </w:p>
    <w:p w:rsidR="006B4A5B" w:rsidRPr="00D83E92" w:rsidRDefault="006B4A5B" w:rsidP="00896D9F">
      <w:pPr>
        <w:tabs>
          <w:tab w:val="left" w:pos="2268"/>
        </w:tabs>
        <w:spacing w:after="120"/>
        <w:jc w:val="center"/>
        <w:rPr>
          <w:b/>
          <w:sz w:val="21"/>
          <w:szCs w:val="20"/>
        </w:rPr>
      </w:pPr>
      <w:r w:rsidRPr="00D83E92">
        <w:rPr>
          <w:b/>
          <w:sz w:val="21"/>
          <w:szCs w:val="20"/>
        </w:rPr>
        <w:t>V.</w:t>
      </w:r>
      <w:r w:rsidR="00B9050A" w:rsidRPr="00D83E92">
        <w:rPr>
          <w:b/>
          <w:sz w:val="21"/>
          <w:szCs w:val="20"/>
        </w:rPr>
        <w:t xml:space="preserve"> </w:t>
      </w:r>
      <w:r w:rsidRPr="00D83E92">
        <w:rPr>
          <w:b/>
          <w:sz w:val="21"/>
          <w:szCs w:val="20"/>
        </w:rPr>
        <w:t>Závěrečná ustanovení</w:t>
      </w:r>
    </w:p>
    <w:p w:rsidR="006B4A5B" w:rsidRPr="000348E7" w:rsidRDefault="006B4A5B" w:rsidP="00896D9F">
      <w:pPr>
        <w:pStyle w:val="Zkladntext21"/>
        <w:numPr>
          <w:ilvl w:val="0"/>
          <w:numId w:val="4"/>
        </w:numPr>
        <w:spacing w:after="60"/>
        <w:ind w:left="426" w:hanging="426"/>
        <w:rPr>
          <w:sz w:val="21"/>
          <w:szCs w:val="21"/>
        </w:rPr>
      </w:pPr>
      <w:r w:rsidRPr="000348E7">
        <w:rPr>
          <w:sz w:val="21"/>
          <w:szCs w:val="21"/>
        </w:rPr>
        <w:t xml:space="preserve">Právní vztahy touto smlouvou výslovně neupravené se řídí příslušnými ustanoveními zákona č. </w:t>
      </w:r>
      <w:r w:rsidR="00E80556" w:rsidRPr="000348E7">
        <w:rPr>
          <w:sz w:val="21"/>
          <w:szCs w:val="21"/>
        </w:rPr>
        <w:t>89/2012 Sb., občanský</w:t>
      </w:r>
      <w:r w:rsidRPr="000348E7">
        <w:rPr>
          <w:sz w:val="21"/>
          <w:szCs w:val="21"/>
        </w:rPr>
        <w:t xml:space="preserve"> zákoník, v platném znění</w:t>
      </w:r>
      <w:r w:rsidR="00E80556" w:rsidRPr="000348E7">
        <w:rPr>
          <w:sz w:val="21"/>
          <w:szCs w:val="21"/>
        </w:rPr>
        <w:t>.</w:t>
      </w:r>
    </w:p>
    <w:p w:rsidR="00E80556" w:rsidRPr="000348E7" w:rsidRDefault="009858FF" w:rsidP="00896D9F">
      <w:pPr>
        <w:numPr>
          <w:ilvl w:val="0"/>
          <w:numId w:val="4"/>
        </w:numPr>
        <w:spacing w:after="60"/>
        <w:ind w:left="426" w:hanging="426"/>
        <w:jc w:val="both"/>
        <w:rPr>
          <w:sz w:val="21"/>
          <w:szCs w:val="21"/>
        </w:rPr>
      </w:pPr>
      <w:r w:rsidRPr="000348E7">
        <w:rPr>
          <w:sz w:val="21"/>
          <w:szCs w:val="21"/>
        </w:rPr>
        <w:t>Zhotovitel</w:t>
      </w:r>
      <w:r w:rsidR="00E80556" w:rsidRPr="000348E7">
        <w:rPr>
          <w:sz w:val="21"/>
          <w:szCs w:val="21"/>
        </w:rPr>
        <w:t xml:space="preserve"> není oprávněn postoupit, převést ani zastavit tuto smlouvu ani </w:t>
      </w:r>
      <w:r w:rsidR="007A46DE" w:rsidRPr="000348E7">
        <w:rPr>
          <w:sz w:val="21"/>
          <w:szCs w:val="21"/>
        </w:rPr>
        <w:t>jakákoli</w:t>
      </w:r>
      <w:r w:rsidR="00E80556" w:rsidRPr="000348E7">
        <w:rPr>
          <w:sz w:val="21"/>
          <w:szCs w:val="21"/>
        </w:rPr>
        <w:t xml:space="preserve"> práva, povinnosti, dluhy, pohledávky nebo nároky vyplývající z této smlouvy bez předchozího písemného souhlasu </w:t>
      </w:r>
      <w:r w:rsidR="00BD77E0" w:rsidRPr="000348E7">
        <w:rPr>
          <w:sz w:val="21"/>
          <w:szCs w:val="21"/>
        </w:rPr>
        <w:t>objednatele</w:t>
      </w:r>
      <w:r w:rsidR="00E80556" w:rsidRPr="000348E7">
        <w:rPr>
          <w:sz w:val="21"/>
          <w:szCs w:val="21"/>
        </w:rPr>
        <w:t>.</w:t>
      </w:r>
    </w:p>
    <w:p w:rsidR="006B4A5B" w:rsidRPr="000348E7" w:rsidRDefault="006B4A5B" w:rsidP="00896D9F">
      <w:pPr>
        <w:numPr>
          <w:ilvl w:val="0"/>
          <w:numId w:val="4"/>
        </w:numPr>
        <w:spacing w:after="60"/>
        <w:ind w:left="426" w:hanging="426"/>
        <w:jc w:val="both"/>
        <w:rPr>
          <w:sz w:val="21"/>
          <w:szCs w:val="21"/>
        </w:rPr>
      </w:pPr>
      <w:r w:rsidRPr="000348E7">
        <w:rPr>
          <w:sz w:val="21"/>
          <w:szCs w:val="21"/>
        </w:rPr>
        <w:t>Tuto smlouvu lze měnit pouze na základě písemných dodatků, které se po podpisu oběma smluvními stranami stávají nedílnou součástí této smlouvy.</w:t>
      </w:r>
    </w:p>
    <w:p w:rsidR="006B4A5B" w:rsidRPr="000348E7" w:rsidRDefault="006B4A5B" w:rsidP="00896D9F">
      <w:pPr>
        <w:numPr>
          <w:ilvl w:val="0"/>
          <w:numId w:val="4"/>
        </w:numPr>
        <w:spacing w:after="60"/>
        <w:ind w:left="426" w:hanging="426"/>
        <w:jc w:val="both"/>
        <w:rPr>
          <w:sz w:val="21"/>
          <w:szCs w:val="21"/>
        </w:rPr>
      </w:pPr>
      <w:r w:rsidRPr="000348E7">
        <w:rPr>
          <w:sz w:val="21"/>
          <w:szCs w:val="21"/>
        </w:rPr>
        <w:t xml:space="preserve">Tato smlouva je vyhotovena v 3 stejnopisech, z nichž každý má platnost originálu. </w:t>
      </w:r>
      <w:r w:rsidR="00F858F0" w:rsidRPr="000348E7">
        <w:rPr>
          <w:sz w:val="21"/>
          <w:szCs w:val="21"/>
        </w:rPr>
        <w:t>Objednatel</w:t>
      </w:r>
      <w:r w:rsidRPr="000348E7">
        <w:rPr>
          <w:sz w:val="21"/>
          <w:szCs w:val="21"/>
        </w:rPr>
        <w:t xml:space="preserve"> obdrží 2 stejnopisy a </w:t>
      </w:r>
      <w:r w:rsidR="009858FF" w:rsidRPr="000348E7">
        <w:rPr>
          <w:sz w:val="21"/>
          <w:szCs w:val="21"/>
        </w:rPr>
        <w:t>zhotovitel</w:t>
      </w:r>
      <w:r w:rsidRPr="000348E7">
        <w:rPr>
          <w:sz w:val="21"/>
          <w:szCs w:val="21"/>
        </w:rPr>
        <w:t xml:space="preserve"> obdrží 1 stejnopis.</w:t>
      </w:r>
    </w:p>
    <w:p w:rsidR="006B4A5B" w:rsidRPr="000348E7" w:rsidRDefault="006B4A5B" w:rsidP="00896D9F">
      <w:pPr>
        <w:numPr>
          <w:ilvl w:val="0"/>
          <w:numId w:val="4"/>
        </w:numPr>
        <w:spacing w:after="60"/>
        <w:ind w:left="426" w:hanging="426"/>
        <w:jc w:val="both"/>
        <w:rPr>
          <w:sz w:val="21"/>
          <w:szCs w:val="21"/>
        </w:rPr>
      </w:pPr>
      <w:r w:rsidRPr="000348E7">
        <w:rPr>
          <w:sz w:val="21"/>
          <w:szCs w:val="21"/>
        </w:rPr>
        <w:t>Tato smlouva nabývá platnosti dnem jejího podpisu oběma smluvními stranami</w:t>
      </w:r>
      <w:r w:rsidR="007D2F10" w:rsidRPr="000348E7">
        <w:rPr>
          <w:sz w:val="21"/>
          <w:szCs w:val="21"/>
        </w:rPr>
        <w:t xml:space="preserve"> a účinnosti dnem zveřejnění v registru smluv</w:t>
      </w:r>
      <w:r w:rsidRPr="000348E7">
        <w:rPr>
          <w:sz w:val="21"/>
          <w:szCs w:val="21"/>
        </w:rPr>
        <w:t>.</w:t>
      </w:r>
    </w:p>
    <w:p w:rsidR="006B4A5B" w:rsidRPr="00896D9F" w:rsidRDefault="006B4A5B" w:rsidP="00896D9F">
      <w:pPr>
        <w:numPr>
          <w:ilvl w:val="0"/>
          <w:numId w:val="4"/>
        </w:numPr>
        <w:spacing w:after="60"/>
        <w:ind w:left="426" w:hanging="426"/>
        <w:jc w:val="both"/>
        <w:rPr>
          <w:sz w:val="21"/>
          <w:szCs w:val="21"/>
        </w:rPr>
      </w:pPr>
      <w:r w:rsidRPr="000348E7">
        <w:rPr>
          <w:sz w:val="21"/>
          <w:szCs w:val="21"/>
        </w:rPr>
        <w:t xml:space="preserve">Smluvní strany prohlašují, že si tuto smlouvu před jejím podpisem přečetly a souhlasí s jejím obsahem. Smluvní strany prohlašují, že tato smlouva je výrazem jejich pravé a svobodné vůle a že nebyla uzavřena </w:t>
      </w:r>
      <w:r w:rsidRPr="00896D9F">
        <w:rPr>
          <w:sz w:val="21"/>
          <w:szCs w:val="21"/>
        </w:rPr>
        <w:t>v tísni za nápadně nevýhodných podmínek. Na důkaz toho připojují své podpisy.</w:t>
      </w:r>
    </w:p>
    <w:p w:rsidR="00F93953" w:rsidRPr="00896D9F" w:rsidRDefault="00F93953" w:rsidP="00896D9F">
      <w:pPr>
        <w:numPr>
          <w:ilvl w:val="0"/>
          <w:numId w:val="4"/>
        </w:numPr>
        <w:spacing w:after="60"/>
        <w:ind w:left="426" w:hanging="426"/>
        <w:jc w:val="both"/>
        <w:rPr>
          <w:sz w:val="21"/>
          <w:szCs w:val="21"/>
        </w:rPr>
      </w:pPr>
      <w:r w:rsidRPr="00896D9F">
        <w:rPr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96D9F" w:rsidRPr="00D83E92" w:rsidRDefault="00896D9F" w:rsidP="00896D9F">
      <w:pPr>
        <w:numPr>
          <w:ilvl w:val="0"/>
          <w:numId w:val="4"/>
        </w:numPr>
        <w:spacing w:after="60" w:line="40" w:lineRule="atLeast"/>
        <w:ind w:left="425" w:hanging="425"/>
        <w:jc w:val="both"/>
        <w:rPr>
          <w:sz w:val="21"/>
          <w:szCs w:val="21"/>
        </w:rPr>
      </w:pPr>
      <w:r w:rsidRPr="003A5B46">
        <w:rPr>
          <w:sz w:val="21"/>
          <w:szCs w:val="21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3A5B46">
        <w:rPr>
          <w:sz w:val="21"/>
          <w:szCs w:val="21"/>
        </w:rPr>
        <w:t>mailová</w:t>
      </w:r>
      <w:proofErr w:type="spellEnd"/>
      <w:r w:rsidRPr="003A5B46">
        <w:rPr>
          <w:sz w:val="21"/>
          <w:szCs w:val="21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</w:t>
      </w:r>
      <w:r w:rsidRPr="00D83E92">
        <w:rPr>
          <w:sz w:val="21"/>
          <w:szCs w:val="21"/>
        </w:rPr>
        <w:t xml:space="preserve">jejich právech při zpracování osobních údajů. </w:t>
      </w:r>
    </w:p>
    <w:p w:rsidR="00896D9F" w:rsidRPr="00D83E92" w:rsidRDefault="00896D9F" w:rsidP="00896D9F">
      <w:pPr>
        <w:numPr>
          <w:ilvl w:val="0"/>
          <w:numId w:val="4"/>
        </w:numPr>
        <w:spacing w:after="60"/>
        <w:ind w:left="425" w:hanging="425"/>
        <w:jc w:val="both"/>
        <w:rPr>
          <w:sz w:val="21"/>
          <w:szCs w:val="21"/>
        </w:rPr>
      </w:pPr>
      <w:r w:rsidRPr="00D83E92">
        <w:rPr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96D9F" w:rsidRPr="008D0B5D" w:rsidRDefault="00896D9F" w:rsidP="008D0B5D">
      <w:pPr>
        <w:pStyle w:val="Odstavecseseznamem"/>
        <w:numPr>
          <w:ilvl w:val="0"/>
          <w:numId w:val="4"/>
        </w:numPr>
        <w:ind w:left="426" w:hanging="426"/>
        <w:jc w:val="both"/>
        <w:rPr>
          <w:sz w:val="21"/>
          <w:szCs w:val="21"/>
        </w:rPr>
      </w:pPr>
      <w:r w:rsidRPr="008D0B5D">
        <w:rPr>
          <w:sz w:val="21"/>
          <w:szCs w:val="21"/>
        </w:rPr>
        <w:t xml:space="preserve">Smluvní strany výslovně souhlasí, že tato smlouva bude zveřejněna podle zák. č. </w:t>
      </w:r>
      <w:bookmarkStart w:id="0" w:name="_Hlk521410682"/>
      <w:r w:rsidRPr="008D0B5D">
        <w:rPr>
          <w:sz w:val="21"/>
          <w:szCs w:val="21"/>
        </w:rPr>
        <w:t xml:space="preserve">340/2015 Sb., zákon </w:t>
      </w:r>
      <w:r w:rsidR="008D0B5D">
        <w:rPr>
          <w:sz w:val="21"/>
          <w:szCs w:val="21"/>
        </w:rPr>
        <w:br/>
      </w:r>
      <w:r w:rsidRPr="008D0B5D">
        <w:rPr>
          <w:sz w:val="21"/>
          <w:szCs w:val="21"/>
        </w:rPr>
        <w:t>o registru smluv, ve znění pozdějších předpisů</w:t>
      </w:r>
      <w:bookmarkEnd w:id="0"/>
      <w:r w:rsidRPr="008D0B5D">
        <w:rPr>
          <w:sz w:val="21"/>
          <w:szCs w:val="21"/>
        </w:rPr>
        <w:t xml:space="preserve">, a to včetně příloh, dodatků, odvozených dokumentů a </w:t>
      </w:r>
      <w:proofErr w:type="spellStart"/>
      <w:r w:rsidRPr="008D0B5D">
        <w:rPr>
          <w:sz w:val="21"/>
          <w:szCs w:val="21"/>
        </w:rPr>
        <w:t>metadat</w:t>
      </w:r>
      <w:proofErr w:type="spellEnd"/>
      <w:r w:rsidRPr="008D0B5D">
        <w:rPr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  <w:r w:rsidRPr="008D0B5D">
        <w:rPr>
          <w:sz w:val="21"/>
          <w:szCs w:val="21"/>
        </w:rPr>
        <w:br w:type="page"/>
      </w:r>
    </w:p>
    <w:p w:rsidR="00896D9F" w:rsidRPr="003A5B46" w:rsidRDefault="00896D9F" w:rsidP="00896D9F">
      <w:pPr>
        <w:spacing w:after="60" w:line="40" w:lineRule="atLeast"/>
        <w:jc w:val="both"/>
        <w:rPr>
          <w:i/>
          <w:sz w:val="21"/>
          <w:szCs w:val="21"/>
        </w:rPr>
      </w:pPr>
    </w:p>
    <w:p w:rsidR="00896D9F" w:rsidRPr="003A5B46" w:rsidRDefault="00896D9F" w:rsidP="00896D9F">
      <w:pPr>
        <w:numPr>
          <w:ilvl w:val="0"/>
          <w:numId w:val="4"/>
        </w:numPr>
        <w:spacing w:after="60" w:line="40" w:lineRule="atLeast"/>
        <w:ind w:left="425" w:hanging="425"/>
        <w:jc w:val="both"/>
        <w:rPr>
          <w:sz w:val="21"/>
          <w:szCs w:val="21"/>
        </w:rPr>
      </w:pPr>
      <w:r w:rsidRPr="003A5B46">
        <w:rPr>
          <w:sz w:val="21"/>
          <w:szCs w:val="21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896D9F" w:rsidRPr="003A5B46" w:rsidRDefault="00896D9F" w:rsidP="00896D9F">
      <w:pPr>
        <w:numPr>
          <w:ilvl w:val="0"/>
          <w:numId w:val="4"/>
        </w:numPr>
        <w:spacing w:after="60" w:line="40" w:lineRule="atLeast"/>
        <w:ind w:left="425" w:hanging="425"/>
        <w:jc w:val="both"/>
        <w:rPr>
          <w:sz w:val="21"/>
          <w:szCs w:val="21"/>
        </w:rPr>
      </w:pPr>
      <w:r w:rsidRPr="003A5B46">
        <w:rPr>
          <w:sz w:val="21"/>
          <w:szCs w:val="21"/>
        </w:rPr>
        <w:t>Smluvní strany nepovažují žádné ustanovení smlouvy za obchodní tajemství.</w:t>
      </w:r>
    </w:p>
    <w:p w:rsidR="006F1C6A" w:rsidRDefault="006F1C6A" w:rsidP="00896D9F">
      <w:pPr>
        <w:keepLines/>
        <w:spacing w:after="60"/>
        <w:ind w:left="426" w:hanging="426"/>
        <w:jc w:val="both"/>
        <w:rPr>
          <w:sz w:val="21"/>
          <w:szCs w:val="21"/>
        </w:rPr>
      </w:pPr>
    </w:p>
    <w:p w:rsidR="00B9050A" w:rsidRDefault="00B9050A" w:rsidP="006F1C6A">
      <w:pPr>
        <w:keepLines/>
        <w:ind w:left="426" w:hanging="357"/>
        <w:jc w:val="both"/>
        <w:rPr>
          <w:sz w:val="21"/>
          <w:szCs w:val="21"/>
        </w:rPr>
      </w:pPr>
    </w:p>
    <w:p w:rsidR="00B9050A" w:rsidRDefault="00B9050A" w:rsidP="008D0B5D">
      <w:pPr>
        <w:keepLines/>
        <w:ind w:left="426" w:hanging="426"/>
        <w:jc w:val="both"/>
        <w:rPr>
          <w:sz w:val="21"/>
          <w:szCs w:val="21"/>
        </w:rPr>
      </w:pPr>
    </w:p>
    <w:p w:rsidR="008D0B5D" w:rsidRPr="000348E7" w:rsidRDefault="008D0B5D" w:rsidP="008D0B5D">
      <w:pPr>
        <w:keepLines/>
        <w:ind w:left="426" w:hanging="426"/>
        <w:jc w:val="both"/>
        <w:rPr>
          <w:sz w:val="21"/>
          <w:szCs w:val="21"/>
        </w:rPr>
      </w:pPr>
      <w:r>
        <w:rPr>
          <w:sz w:val="21"/>
          <w:szCs w:val="21"/>
        </w:rPr>
        <w:t>za objednatele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za zhotovitele</w:t>
      </w:r>
    </w:p>
    <w:p w:rsidR="00665FFF" w:rsidRPr="00ED4B01" w:rsidRDefault="008D0B5D" w:rsidP="008D0B5D">
      <w:pPr>
        <w:jc w:val="both"/>
        <w:rPr>
          <w:sz w:val="22"/>
          <w:szCs w:val="22"/>
        </w:rPr>
      </w:pPr>
      <w:r>
        <w:rPr>
          <w:sz w:val="21"/>
          <w:szCs w:val="21"/>
        </w:rPr>
        <w:t>v</w:t>
      </w:r>
      <w:r w:rsidR="006B4A5B" w:rsidRPr="000348E7">
        <w:rPr>
          <w:sz w:val="21"/>
          <w:szCs w:val="21"/>
        </w:rPr>
        <w:t> </w:t>
      </w:r>
      <w:r w:rsidR="001A2BC7" w:rsidRPr="000348E7">
        <w:rPr>
          <w:sz w:val="21"/>
          <w:szCs w:val="21"/>
        </w:rPr>
        <w:t>Ostravě</w:t>
      </w:r>
      <w:r w:rsidR="006B4A5B" w:rsidRPr="000348E7">
        <w:rPr>
          <w:sz w:val="21"/>
          <w:szCs w:val="21"/>
        </w:rPr>
        <w:t xml:space="preserve"> dne</w:t>
      </w:r>
      <w:r w:rsidR="001F77D3" w:rsidRPr="000348E7">
        <w:rPr>
          <w:sz w:val="21"/>
          <w:szCs w:val="21"/>
        </w:rPr>
        <w:t>:</w:t>
      </w:r>
      <w:r w:rsidR="006B4A5B" w:rsidRPr="000348E7">
        <w:rPr>
          <w:sz w:val="21"/>
          <w:szCs w:val="21"/>
        </w:rPr>
        <w:tab/>
      </w:r>
      <w:proofErr w:type="gramStart"/>
      <w:r w:rsidR="00D83E92">
        <w:rPr>
          <w:sz w:val="21"/>
          <w:szCs w:val="21"/>
        </w:rPr>
        <w:t>25.11.2019</w:t>
      </w:r>
      <w:proofErr w:type="gramEnd"/>
      <w:r w:rsidR="006B4A5B" w:rsidRPr="000348E7">
        <w:rPr>
          <w:sz w:val="21"/>
          <w:szCs w:val="21"/>
        </w:rPr>
        <w:tab/>
      </w:r>
      <w:r w:rsidR="006B4A5B" w:rsidRPr="000348E7">
        <w:rPr>
          <w:sz w:val="21"/>
          <w:szCs w:val="21"/>
        </w:rPr>
        <w:tab/>
      </w:r>
      <w:r w:rsidR="006B4A5B" w:rsidRPr="000348E7">
        <w:rPr>
          <w:sz w:val="21"/>
          <w:szCs w:val="21"/>
        </w:rPr>
        <w:tab/>
      </w:r>
      <w:r w:rsidR="000F7A48" w:rsidRPr="000348E7">
        <w:rPr>
          <w:sz w:val="21"/>
          <w:szCs w:val="21"/>
        </w:rPr>
        <w:tab/>
      </w:r>
      <w:r w:rsidR="001F77D3" w:rsidRPr="000348E7">
        <w:rPr>
          <w:sz w:val="21"/>
          <w:szCs w:val="21"/>
        </w:rPr>
        <w:tab/>
      </w:r>
      <w:r>
        <w:rPr>
          <w:sz w:val="22"/>
          <w:szCs w:val="22"/>
        </w:rPr>
        <w:t>v</w:t>
      </w:r>
      <w:r w:rsidR="00665FFF" w:rsidRPr="00ED4B01">
        <w:rPr>
          <w:sz w:val="22"/>
          <w:szCs w:val="22"/>
        </w:rPr>
        <w:t>e </w:t>
      </w:r>
      <w:proofErr w:type="spellStart"/>
      <w:r w:rsidR="00665FFF" w:rsidRPr="00ED4B01">
        <w:rPr>
          <w:sz w:val="22"/>
          <w:szCs w:val="22"/>
        </w:rPr>
        <w:t>Frýdku</w:t>
      </w:r>
      <w:proofErr w:type="spellEnd"/>
      <w:r>
        <w:rPr>
          <w:sz w:val="22"/>
          <w:szCs w:val="22"/>
        </w:rPr>
        <w:t>-</w:t>
      </w:r>
      <w:r w:rsidR="00665FFF" w:rsidRPr="00ED4B01">
        <w:rPr>
          <w:sz w:val="22"/>
          <w:szCs w:val="22"/>
        </w:rPr>
        <w:t>Místku dne</w:t>
      </w:r>
      <w:r w:rsidR="00D83E92">
        <w:rPr>
          <w:sz w:val="22"/>
          <w:szCs w:val="22"/>
        </w:rPr>
        <w:t xml:space="preserve"> 25.11.2019</w:t>
      </w:r>
    </w:p>
    <w:p w:rsidR="006B4A5B" w:rsidRPr="000348E7" w:rsidRDefault="006B4A5B">
      <w:pPr>
        <w:tabs>
          <w:tab w:val="left" w:pos="720"/>
        </w:tabs>
        <w:jc w:val="both"/>
        <w:rPr>
          <w:sz w:val="21"/>
          <w:szCs w:val="21"/>
        </w:rPr>
      </w:pPr>
    </w:p>
    <w:p w:rsidR="001F77D3" w:rsidRPr="000348E7" w:rsidRDefault="001F77D3" w:rsidP="001F77D3">
      <w:pPr>
        <w:tabs>
          <w:tab w:val="left" w:pos="720"/>
        </w:tabs>
        <w:jc w:val="both"/>
        <w:rPr>
          <w:sz w:val="21"/>
          <w:szCs w:val="21"/>
        </w:rPr>
      </w:pPr>
    </w:p>
    <w:p w:rsidR="00214EAC" w:rsidRDefault="00214EAC" w:rsidP="001F77D3">
      <w:pPr>
        <w:tabs>
          <w:tab w:val="left" w:pos="720"/>
        </w:tabs>
        <w:jc w:val="both"/>
        <w:rPr>
          <w:sz w:val="21"/>
          <w:szCs w:val="21"/>
        </w:rPr>
      </w:pPr>
    </w:p>
    <w:p w:rsidR="00B9050A" w:rsidRDefault="00B9050A" w:rsidP="001F77D3">
      <w:pPr>
        <w:tabs>
          <w:tab w:val="left" w:pos="720"/>
        </w:tabs>
        <w:jc w:val="both"/>
        <w:rPr>
          <w:sz w:val="21"/>
          <w:szCs w:val="21"/>
        </w:rPr>
      </w:pPr>
    </w:p>
    <w:p w:rsidR="00B9050A" w:rsidRPr="000348E7" w:rsidRDefault="00B9050A" w:rsidP="001F77D3">
      <w:pPr>
        <w:tabs>
          <w:tab w:val="left" w:pos="720"/>
        </w:tabs>
        <w:jc w:val="both"/>
        <w:rPr>
          <w:sz w:val="21"/>
          <w:szCs w:val="21"/>
        </w:rPr>
      </w:pPr>
    </w:p>
    <w:p w:rsidR="00214EAC" w:rsidRPr="008D0B5D" w:rsidRDefault="008D0B5D" w:rsidP="008D0B5D">
      <w:pPr>
        <w:jc w:val="both"/>
        <w:rPr>
          <w:sz w:val="21"/>
          <w:szCs w:val="21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1F77D3" w:rsidRPr="000348E7" w:rsidRDefault="008D0B5D" w:rsidP="008D0B5D">
      <w:pPr>
        <w:tabs>
          <w:tab w:val="center" w:pos="1418"/>
          <w:tab w:val="center" w:pos="7088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1F77D3" w:rsidRPr="000348E7">
        <w:rPr>
          <w:sz w:val="21"/>
          <w:szCs w:val="21"/>
        </w:rPr>
        <w:t xml:space="preserve">Ing. Jiří </w:t>
      </w:r>
      <w:proofErr w:type="spellStart"/>
      <w:r w:rsidR="00425EBD">
        <w:rPr>
          <w:sz w:val="21"/>
          <w:szCs w:val="21"/>
        </w:rPr>
        <w:t>Tk</w:t>
      </w:r>
      <w:r>
        <w:rPr>
          <w:sz w:val="21"/>
          <w:szCs w:val="21"/>
        </w:rPr>
        <w:t>áč</w:t>
      </w:r>
      <w:proofErr w:type="spellEnd"/>
      <w:r w:rsidR="00214EAC" w:rsidRPr="000348E7">
        <w:rPr>
          <w:sz w:val="21"/>
          <w:szCs w:val="21"/>
        </w:rPr>
        <w:tab/>
      </w:r>
      <w:proofErr w:type="spellStart"/>
      <w:r w:rsidR="00D83E92">
        <w:rPr>
          <w:sz w:val="21"/>
        </w:rPr>
        <w:t>xxx</w:t>
      </w:r>
      <w:proofErr w:type="spellEnd"/>
    </w:p>
    <w:p w:rsidR="001F77D3" w:rsidRPr="000348E7" w:rsidRDefault="008D0B5D" w:rsidP="008D0B5D">
      <w:pPr>
        <w:tabs>
          <w:tab w:val="left" w:pos="720"/>
          <w:tab w:val="center" w:pos="1418"/>
          <w:tab w:val="center" w:pos="7088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  <w:t>generální ředitel</w:t>
      </w:r>
      <w:r w:rsidR="001F77D3" w:rsidRPr="000348E7">
        <w:rPr>
          <w:sz w:val="21"/>
          <w:szCs w:val="21"/>
        </w:rPr>
        <w:tab/>
      </w:r>
      <w:r w:rsidR="00D83E92">
        <w:rPr>
          <w:sz w:val="21"/>
        </w:rPr>
        <w:t>xxx</w:t>
      </w:r>
    </w:p>
    <w:sectPr w:rsidR="001F77D3" w:rsidRPr="000348E7" w:rsidSect="008D0B5D">
      <w:footerReference w:type="default" r:id="rId8"/>
      <w:headerReference w:type="first" r:id="rId9"/>
      <w:pgSz w:w="11906" w:h="16838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A0" w:rsidRDefault="003107A0">
      <w:r>
        <w:separator/>
      </w:r>
    </w:p>
  </w:endnote>
  <w:endnote w:type="continuationSeparator" w:id="0">
    <w:p w:rsidR="003107A0" w:rsidRDefault="00310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EE" w:rsidRPr="001A2BC7" w:rsidRDefault="00673650" w:rsidP="001A2BC7">
    <w:pPr>
      <w:pStyle w:val="Zpat"/>
      <w:jc w:val="center"/>
      <w:rPr>
        <w:sz w:val="20"/>
        <w:szCs w:val="20"/>
      </w:rPr>
    </w:pPr>
    <w:r w:rsidRPr="001A2BC7">
      <w:rPr>
        <w:rStyle w:val="slostrnky"/>
        <w:sz w:val="20"/>
        <w:szCs w:val="20"/>
      </w:rPr>
      <w:fldChar w:fldCharType="begin"/>
    </w:r>
    <w:r w:rsidR="00D750EE" w:rsidRPr="001A2BC7">
      <w:rPr>
        <w:rStyle w:val="slostrnky"/>
        <w:sz w:val="20"/>
        <w:szCs w:val="20"/>
      </w:rPr>
      <w:instrText xml:space="preserve"> PAGE </w:instrText>
    </w:r>
    <w:r w:rsidRPr="001A2BC7">
      <w:rPr>
        <w:rStyle w:val="slostrnky"/>
        <w:sz w:val="20"/>
        <w:szCs w:val="20"/>
      </w:rPr>
      <w:fldChar w:fldCharType="separate"/>
    </w:r>
    <w:r w:rsidR="00D83E92">
      <w:rPr>
        <w:rStyle w:val="slostrnky"/>
        <w:noProof/>
        <w:sz w:val="20"/>
        <w:szCs w:val="20"/>
      </w:rPr>
      <w:t>4</w:t>
    </w:r>
    <w:r w:rsidRPr="001A2BC7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A0" w:rsidRDefault="003107A0">
      <w:r>
        <w:separator/>
      </w:r>
    </w:p>
  </w:footnote>
  <w:footnote w:type="continuationSeparator" w:id="0">
    <w:p w:rsidR="003107A0" w:rsidRDefault="00310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5D" w:rsidRPr="008D0B5D" w:rsidRDefault="008D0B5D" w:rsidP="008D0B5D">
    <w:pPr>
      <w:pStyle w:val="Zhlav"/>
      <w:tabs>
        <w:tab w:val="clear" w:pos="9072"/>
        <w:tab w:val="right" w:pos="9356"/>
      </w:tabs>
      <w:rPr>
        <w:sz w:val="21"/>
        <w:szCs w:val="21"/>
      </w:rPr>
    </w:pPr>
    <w:proofErr w:type="spellStart"/>
    <w:r w:rsidRPr="008D0B5D">
      <w:rPr>
        <w:sz w:val="21"/>
        <w:szCs w:val="21"/>
      </w:rPr>
      <w:t>ev</w:t>
    </w:r>
    <w:r>
      <w:rPr>
        <w:sz w:val="21"/>
        <w:szCs w:val="21"/>
      </w:rPr>
      <w:t>.č</w:t>
    </w:r>
    <w:proofErr w:type="spellEnd"/>
    <w:r>
      <w:rPr>
        <w:sz w:val="21"/>
        <w:szCs w:val="21"/>
      </w:rPr>
      <w:t>. objednatele:</w:t>
    </w:r>
    <w:r w:rsidR="00166E1C">
      <w:rPr>
        <w:b/>
        <w:sz w:val="21"/>
        <w:szCs w:val="21"/>
      </w:rPr>
      <w:t xml:space="preserve">  A</w:t>
    </w:r>
    <w:r w:rsidR="00FC49B4">
      <w:rPr>
        <w:b/>
        <w:sz w:val="21"/>
        <w:szCs w:val="21"/>
      </w:rPr>
      <w:t xml:space="preserve"> 035/19</w:t>
    </w:r>
    <w:r w:rsidR="00166E1C">
      <w:rPr>
        <w:b/>
        <w:sz w:val="21"/>
        <w:szCs w:val="21"/>
      </w:rPr>
      <w:t xml:space="preserve"> </w:t>
    </w:r>
    <w:r>
      <w:rPr>
        <w:sz w:val="21"/>
        <w:szCs w:val="21"/>
      </w:rPr>
      <w:tab/>
    </w:r>
    <w:r>
      <w:rPr>
        <w:sz w:val="21"/>
        <w:szCs w:val="21"/>
      </w:rPr>
      <w:tab/>
    </w:r>
    <w:proofErr w:type="spellStart"/>
    <w:r>
      <w:rPr>
        <w:sz w:val="21"/>
        <w:szCs w:val="21"/>
      </w:rPr>
      <w:t>ev.č</w:t>
    </w:r>
    <w:proofErr w:type="spellEnd"/>
    <w:r>
      <w:rPr>
        <w:sz w:val="21"/>
        <w:szCs w:val="21"/>
      </w:rPr>
      <w:t>. zhotovitele: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D70636A"/>
    <w:lvl w:ilvl="0">
      <w:start w:val="1"/>
      <w:numFmt w:val="bullet"/>
      <w:pStyle w:val="Seznamsodrkami2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</w:abstractNum>
  <w:abstractNum w:abstractNumId="1">
    <w:nsid w:val="04E32B96"/>
    <w:multiLevelType w:val="hybridMultilevel"/>
    <w:tmpl w:val="AF724C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71879"/>
    <w:multiLevelType w:val="singleLevel"/>
    <w:tmpl w:val="8056D9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3">
    <w:nsid w:val="08C92C76"/>
    <w:multiLevelType w:val="hybridMultilevel"/>
    <w:tmpl w:val="C5328B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>
    <w:nsid w:val="108C068C"/>
    <w:multiLevelType w:val="hybridMultilevel"/>
    <w:tmpl w:val="AE9C3A0A"/>
    <w:lvl w:ilvl="0" w:tplc="3ED868B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621371"/>
    <w:multiLevelType w:val="singleLevel"/>
    <w:tmpl w:val="39DC15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C36C28"/>
    <w:multiLevelType w:val="hybridMultilevel"/>
    <w:tmpl w:val="70969D94"/>
    <w:lvl w:ilvl="0" w:tplc="30CA083E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2">
    <w:nsid w:val="47AF3D0D"/>
    <w:multiLevelType w:val="hybridMultilevel"/>
    <w:tmpl w:val="4D58C178"/>
    <w:lvl w:ilvl="0" w:tplc="0F72F1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F90017"/>
    <w:multiLevelType w:val="hybridMultilevel"/>
    <w:tmpl w:val="34446A8E"/>
    <w:lvl w:ilvl="0" w:tplc="5EE84C08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4AB46FE0">
      <w:start w:val="1"/>
      <w:numFmt w:val="bullet"/>
      <w:lvlText w:val="-"/>
      <w:lvlJc w:val="left"/>
      <w:pPr>
        <w:ind w:left="1582" w:hanging="360"/>
      </w:pPr>
      <w:rPr>
        <w:rFonts w:ascii="Courier New" w:hAnsi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F5E05B7"/>
    <w:multiLevelType w:val="multilevel"/>
    <w:tmpl w:val="2BFE1BE2"/>
    <w:numStyleLink w:val="Seznamslovan"/>
  </w:abstractNum>
  <w:abstractNum w:abstractNumId="15">
    <w:nsid w:val="52BF34BC"/>
    <w:multiLevelType w:val="multilevel"/>
    <w:tmpl w:val="2BFE1BE2"/>
    <w:styleLink w:val="Seznamslovan"/>
    <w:lvl w:ilvl="0">
      <w:start w:val="1"/>
      <w:numFmt w:val="decimal"/>
      <w:pStyle w:val="slovanseznam"/>
      <w:lvlText w:val="%1)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>
      <w:start w:val="1"/>
      <w:numFmt w:val="lowerLetter"/>
      <w:pStyle w:val="slovanseznam2"/>
      <w:lvlText w:val="%2)"/>
      <w:lvlJc w:val="left"/>
      <w:pPr>
        <w:tabs>
          <w:tab w:val="num" w:pos="1134"/>
        </w:tabs>
        <w:ind w:left="1474" w:hanging="340"/>
      </w:pPr>
      <w:rPr>
        <w:rFonts w:hint="default"/>
      </w:rPr>
    </w:lvl>
    <w:lvl w:ilvl="2">
      <w:start w:val="1"/>
      <w:numFmt w:val="lowerRoman"/>
      <w:pStyle w:val="slovanseznam3"/>
      <w:lvlText w:val="%3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3">
      <w:start w:val="1"/>
      <w:numFmt w:val="decimal"/>
      <w:pStyle w:val="slovanseznam4"/>
      <w:lvlText w:val="(%4)"/>
      <w:lvlJc w:val="left"/>
      <w:pPr>
        <w:tabs>
          <w:tab w:val="num" w:pos="2268"/>
        </w:tabs>
        <w:ind w:left="2608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3175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742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430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876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43" w:hanging="340"/>
      </w:pPr>
      <w:rPr>
        <w:rFonts w:hint="default"/>
      </w:rPr>
    </w:lvl>
  </w:abstractNum>
  <w:abstractNum w:abstractNumId="16">
    <w:nsid w:val="55295A7F"/>
    <w:multiLevelType w:val="hybridMultilevel"/>
    <w:tmpl w:val="505A1B8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47A3A"/>
    <w:multiLevelType w:val="hybridMultilevel"/>
    <w:tmpl w:val="29400B0A"/>
    <w:lvl w:ilvl="0" w:tplc="5E3CBA28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>
    <w:nsid w:val="5AF35B60"/>
    <w:multiLevelType w:val="hybridMultilevel"/>
    <w:tmpl w:val="024ED33E"/>
    <w:lvl w:ilvl="0" w:tplc="76A2B616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60283910"/>
    <w:multiLevelType w:val="hybridMultilevel"/>
    <w:tmpl w:val="B58C4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0175A"/>
    <w:multiLevelType w:val="hybridMultilevel"/>
    <w:tmpl w:val="01FA0E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555415D"/>
    <w:multiLevelType w:val="multilevel"/>
    <w:tmpl w:val="AE50BA3C"/>
    <w:lvl w:ilvl="0">
      <w:start w:val="8"/>
      <w:numFmt w:val="decimal"/>
      <w:lvlText w:val="%1"/>
      <w:lvlJc w:val="left"/>
      <w:pPr>
        <w:ind w:left="68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61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615"/>
      </w:pPr>
      <w:rPr>
        <w:rFonts w:hint="default"/>
      </w:rPr>
    </w:lvl>
  </w:abstractNum>
  <w:abstractNum w:abstractNumId="22">
    <w:nsid w:val="65943B69"/>
    <w:multiLevelType w:val="hybridMultilevel"/>
    <w:tmpl w:val="DE52712E"/>
    <w:lvl w:ilvl="0" w:tplc="9C46B40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3">
    <w:nsid w:val="68084259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24">
    <w:nsid w:val="68BA011B"/>
    <w:multiLevelType w:val="hybridMultilevel"/>
    <w:tmpl w:val="F19A34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E61D90"/>
    <w:multiLevelType w:val="hybridMultilevel"/>
    <w:tmpl w:val="E82C6A62"/>
    <w:lvl w:ilvl="0" w:tplc="03CC2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F218A"/>
    <w:multiLevelType w:val="hybridMultilevel"/>
    <w:tmpl w:val="DD127844"/>
    <w:lvl w:ilvl="0" w:tplc="A790E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070AA"/>
    <w:multiLevelType w:val="hybridMultilevel"/>
    <w:tmpl w:val="BF1E7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2"/>
  </w:num>
  <w:num w:numId="5">
    <w:abstractNumId w:val="18"/>
  </w:num>
  <w:num w:numId="6">
    <w:abstractNumId w:val="27"/>
  </w:num>
  <w:num w:numId="7">
    <w:abstractNumId w:val="3"/>
  </w:num>
  <w:num w:numId="8">
    <w:abstractNumId w:val="20"/>
  </w:num>
  <w:num w:numId="9">
    <w:abstractNumId w:val="0"/>
  </w:num>
  <w:num w:numId="10">
    <w:abstractNumId w:val="8"/>
  </w:num>
  <w:num w:numId="11">
    <w:abstractNumId w:val="7"/>
  </w:num>
  <w:num w:numId="12">
    <w:abstractNumId w:val="13"/>
  </w:num>
  <w:num w:numId="13">
    <w:abstractNumId w:val="6"/>
  </w:num>
  <w:num w:numId="14">
    <w:abstractNumId w:val="5"/>
  </w:num>
  <w:num w:numId="15">
    <w:abstractNumId w:val="15"/>
  </w:num>
  <w:num w:numId="16">
    <w:abstractNumId w:val="14"/>
  </w:num>
  <w:num w:numId="17">
    <w:abstractNumId w:val="22"/>
  </w:num>
  <w:num w:numId="18">
    <w:abstractNumId w:val="21"/>
  </w:num>
  <w:num w:numId="19">
    <w:abstractNumId w:val="10"/>
  </w:num>
  <w:num w:numId="20">
    <w:abstractNumId w:val="17"/>
  </w:num>
  <w:num w:numId="21">
    <w:abstractNumId w:val="4"/>
  </w:num>
  <w:num w:numId="22">
    <w:abstractNumId w:val="25"/>
  </w:num>
  <w:num w:numId="23">
    <w:abstractNumId w:val="19"/>
  </w:num>
  <w:num w:numId="24">
    <w:abstractNumId w:val="26"/>
  </w:num>
  <w:num w:numId="25">
    <w:abstractNumId w:val="23"/>
  </w:num>
  <w:num w:numId="26">
    <w:abstractNumId w:val="11"/>
  </w:num>
  <w:num w:numId="27">
    <w:abstractNumId w:val="9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90A7B"/>
    <w:rsid w:val="000348E7"/>
    <w:rsid w:val="00044AB3"/>
    <w:rsid w:val="000475A4"/>
    <w:rsid w:val="0005487E"/>
    <w:rsid w:val="00083719"/>
    <w:rsid w:val="00090BD2"/>
    <w:rsid w:val="00094168"/>
    <w:rsid w:val="000A032A"/>
    <w:rsid w:val="000A676D"/>
    <w:rsid w:val="000B67EF"/>
    <w:rsid w:val="000C1BDC"/>
    <w:rsid w:val="000C2B28"/>
    <w:rsid w:val="000D40F1"/>
    <w:rsid w:val="000E312B"/>
    <w:rsid w:val="000F1BED"/>
    <w:rsid w:val="000F7A48"/>
    <w:rsid w:val="00122744"/>
    <w:rsid w:val="00166E1C"/>
    <w:rsid w:val="00190C57"/>
    <w:rsid w:val="00194976"/>
    <w:rsid w:val="001A2BC7"/>
    <w:rsid w:val="001B375E"/>
    <w:rsid w:val="001D2499"/>
    <w:rsid w:val="001D344C"/>
    <w:rsid w:val="001D4020"/>
    <w:rsid w:val="001F0920"/>
    <w:rsid w:val="001F2DFB"/>
    <w:rsid w:val="001F77D3"/>
    <w:rsid w:val="00214EAC"/>
    <w:rsid w:val="0021700F"/>
    <w:rsid w:val="0023110E"/>
    <w:rsid w:val="00271451"/>
    <w:rsid w:val="0028658A"/>
    <w:rsid w:val="002A091A"/>
    <w:rsid w:val="002C4173"/>
    <w:rsid w:val="002F4EE1"/>
    <w:rsid w:val="003005C0"/>
    <w:rsid w:val="003107A0"/>
    <w:rsid w:val="00312DEA"/>
    <w:rsid w:val="00323A6C"/>
    <w:rsid w:val="003475B6"/>
    <w:rsid w:val="00352D86"/>
    <w:rsid w:val="003C5DDB"/>
    <w:rsid w:val="003C6F57"/>
    <w:rsid w:val="003D4044"/>
    <w:rsid w:val="003F24D4"/>
    <w:rsid w:val="003F676F"/>
    <w:rsid w:val="003F763A"/>
    <w:rsid w:val="00425EBD"/>
    <w:rsid w:val="004336FD"/>
    <w:rsid w:val="00446ACE"/>
    <w:rsid w:val="004471E7"/>
    <w:rsid w:val="004526C9"/>
    <w:rsid w:val="00452B92"/>
    <w:rsid w:val="0045774B"/>
    <w:rsid w:val="00473030"/>
    <w:rsid w:val="004748C7"/>
    <w:rsid w:val="00481543"/>
    <w:rsid w:val="0049602E"/>
    <w:rsid w:val="004C4084"/>
    <w:rsid w:val="004F061B"/>
    <w:rsid w:val="004F7283"/>
    <w:rsid w:val="00505C56"/>
    <w:rsid w:val="005812A5"/>
    <w:rsid w:val="0059318A"/>
    <w:rsid w:val="00594419"/>
    <w:rsid w:val="005C64AB"/>
    <w:rsid w:val="005D3D2D"/>
    <w:rsid w:val="005E27AF"/>
    <w:rsid w:val="00623FCE"/>
    <w:rsid w:val="00665FFF"/>
    <w:rsid w:val="00673650"/>
    <w:rsid w:val="00673C7A"/>
    <w:rsid w:val="00694466"/>
    <w:rsid w:val="006A7418"/>
    <w:rsid w:val="006B4A5B"/>
    <w:rsid w:val="006B5A5C"/>
    <w:rsid w:val="006B78A6"/>
    <w:rsid w:val="006C1CBB"/>
    <w:rsid w:val="006D08A3"/>
    <w:rsid w:val="006D0F42"/>
    <w:rsid w:val="006F1C6A"/>
    <w:rsid w:val="006F1E3E"/>
    <w:rsid w:val="006F261D"/>
    <w:rsid w:val="0071013A"/>
    <w:rsid w:val="0073470B"/>
    <w:rsid w:val="007351E7"/>
    <w:rsid w:val="007379FA"/>
    <w:rsid w:val="0074241A"/>
    <w:rsid w:val="00743213"/>
    <w:rsid w:val="00744CFA"/>
    <w:rsid w:val="007630D3"/>
    <w:rsid w:val="007803DA"/>
    <w:rsid w:val="007A46DE"/>
    <w:rsid w:val="007C26A1"/>
    <w:rsid w:val="007C6EAE"/>
    <w:rsid w:val="007D2F10"/>
    <w:rsid w:val="007E10FB"/>
    <w:rsid w:val="008008AC"/>
    <w:rsid w:val="008053D4"/>
    <w:rsid w:val="008064B2"/>
    <w:rsid w:val="00810CAD"/>
    <w:rsid w:val="0082542E"/>
    <w:rsid w:val="008269A0"/>
    <w:rsid w:val="008428D2"/>
    <w:rsid w:val="008464AE"/>
    <w:rsid w:val="00860FE0"/>
    <w:rsid w:val="00863A01"/>
    <w:rsid w:val="00877A46"/>
    <w:rsid w:val="00882B79"/>
    <w:rsid w:val="00882E48"/>
    <w:rsid w:val="00896D9F"/>
    <w:rsid w:val="008A3BDA"/>
    <w:rsid w:val="008A477B"/>
    <w:rsid w:val="008B1512"/>
    <w:rsid w:val="008C4EE8"/>
    <w:rsid w:val="008D0B5D"/>
    <w:rsid w:val="008D1DA0"/>
    <w:rsid w:val="008F4142"/>
    <w:rsid w:val="00915D64"/>
    <w:rsid w:val="00921C4C"/>
    <w:rsid w:val="0092608D"/>
    <w:rsid w:val="00931482"/>
    <w:rsid w:val="009478F0"/>
    <w:rsid w:val="00953F75"/>
    <w:rsid w:val="00957825"/>
    <w:rsid w:val="009858FF"/>
    <w:rsid w:val="009860F6"/>
    <w:rsid w:val="009878EA"/>
    <w:rsid w:val="009A4FB6"/>
    <w:rsid w:val="009A5E17"/>
    <w:rsid w:val="009E3626"/>
    <w:rsid w:val="009F7AE5"/>
    <w:rsid w:val="00A637E1"/>
    <w:rsid w:val="00A80021"/>
    <w:rsid w:val="00A81DCE"/>
    <w:rsid w:val="00A964DA"/>
    <w:rsid w:val="00A96927"/>
    <w:rsid w:val="00A977E2"/>
    <w:rsid w:val="00AA09B3"/>
    <w:rsid w:val="00AA0FDA"/>
    <w:rsid w:val="00AB36D6"/>
    <w:rsid w:val="00AB7735"/>
    <w:rsid w:val="00AD3750"/>
    <w:rsid w:val="00AD583F"/>
    <w:rsid w:val="00AF665F"/>
    <w:rsid w:val="00B04EA1"/>
    <w:rsid w:val="00B42EBA"/>
    <w:rsid w:val="00B479F9"/>
    <w:rsid w:val="00B534D3"/>
    <w:rsid w:val="00B9050A"/>
    <w:rsid w:val="00BB6008"/>
    <w:rsid w:val="00BC37DD"/>
    <w:rsid w:val="00BC53AC"/>
    <w:rsid w:val="00BD128D"/>
    <w:rsid w:val="00BD1A6E"/>
    <w:rsid w:val="00BD77E0"/>
    <w:rsid w:val="00BE5295"/>
    <w:rsid w:val="00C41461"/>
    <w:rsid w:val="00C6134D"/>
    <w:rsid w:val="00C72643"/>
    <w:rsid w:val="00C76E55"/>
    <w:rsid w:val="00C84FB2"/>
    <w:rsid w:val="00C90A7B"/>
    <w:rsid w:val="00C917B5"/>
    <w:rsid w:val="00C93547"/>
    <w:rsid w:val="00C946DE"/>
    <w:rsid w:val="00CA6368"/>
    <w:rsid w:val="00CD1B39"/>
    <w:rsid w:val="00CE0D25"/>
    <w:rsid w:val="00CF0B46"/>
    <w:rsid w:val="00D05DEA"/>
    <w:rsid w:val="00D213C0"/>
    <w:rsid w:val="00D372BA"/>
    <w:rsid w:val="00D469BC"/>
    <w:rsid w:val="00D631E1"/>
    <w:rsid w:val="00D750EE"/>
    <w:rsid w:val="00D7631A"/>
    <w:rsid w:val="00D82D08"/>
    <w:rsid w:val="00D83E92"/>
    <w:rsid w:val="00DA1BE6"/>
    <w:rsid w:val="00DA3B86"/>
    <w:rsid w:val="00DB6B30"/>
    <w:rsid w:val="00DF043D"/>
    <w:rsid w:val="00DF1483"/>
    <w:rsid w:val="00E00449"/>
    <w:rsid w:val="00E11C24"/>
    <w:rsid w:val="00E20B5A"/>
    <w:rsid w:val="00E222FD"/>
    <w:rsid w:val="00E47727"/>
    <w:rsid w:val="00E50AE8"/>
    <w:rsid w:val="00E52831"/>
    <w:rsid w:val="00E60E9E"/>
    <w:rsid w:val="00E65B2F"/>
    <w:rsid w:val="00E66413"/>
    <w:rsid w:val="00E77938"/>
    <w:rsid w:val="00E80556"/>
    <w:rsid w:val="00E87D3D"/>
    <w:rsid w:val="00E92C40"/>
    <w:rsid w:val="00E96283"/>
    <w:rsid w:val="00EA072A"/>
    <w:rsid w:val="00EA56CA"/>
    <w:rsid w:val="00EA637A"/>
    <w:rsid w:val="00EB6651"/>
    <w:rsid w:val="00ED725E"/>
    <w:rsid w:val="00EE7F9A"/>
    <w:rsid w:val="00F24739"/>
    <w:rsid w:val="00F43E1D"/>
    <w:rsid w:val="00F65A05"/>
    <w:rsid w:val="00F73248"/>
    <w:rsid w:val="00F858F0"/>
    <w:rsid w:val="00F93953"/>
    <w:rsid w:val="00F93CE5"/>
    <w:rsid w:val="00FA6124"/>
    <w:rsid w:val="00FC0E66"/>
    <w:rsid w:val="00FC49B4"/>
    <w:rsid w:val="00FD07F3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Number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CE5"/>
    <w:rPr>
      <w:sz w:val="24"/>
      <w:szCs w:val="24"/>
    </w:rPr>
  </w:style>
  <w:style w:type="paragraph" w:styleId="Nadpis1">
    <w:name w:val="heading 1"/>
    <w:basedOn w:val="Normln"/>
    <w:next w:val="Normln"/>
    <w:qFormat/>
    <w:rsid w:val="00F93CE5"/>
    <w:pPr>
      <w:keepNext/>
      <w:tabs>
        <w:tab w:val="left" w:pos="2268"/>
      </w:tabs>
      <w:jc w:val="center"/>
      <w:outlineLvl w:val="0"/>
    </w:pPr>
    <w:rPr>
      <w:b/>
      <w:bCs/>
      <w:snapToGrid w:val="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6E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93CE5"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rsid w:val="00F93CE5"/>
    <w:pPr>
      <w:jc w:val="center"/>
    </w:pPr>
  </w:style>
  <w:style w:type="paragraph" w:styleId="Zkladntext2">
    <w:name w:val="Body Text 2"/>
    <w:basedOn w:val="Normln"/>
    <w:semiHidden/>
    <w:rsid w:val="00F93CE5"/>
    <w:pPr>
      <w:tabs>
        <w:tab w:val="left" w:pos="2268"/>
      </w:tabs>
      <w:jc w:val="both"/>
    </w:pPr>
    <w:rPr>
      <w:snapToGrid w:val="0"/>
    </w:rPr>
  </w:style>
  <w:style w:type="paragraph" w:customStyle="1" w:styleId="Zkladntext21">
    <w:name w:val="Základní text 21"/>
    <w:basedOn w:val="Normln"/>
    <w:rsid w:val="00F93CE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platne1">
    <w:name w:val="platne1"/>
    <w:rsid w:val="00F93CE5"/>
    <w:rPr>
      <w:w w:val="1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A7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A7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1700F"/>
    <w:pPr>
      <w:ind w:left="708"/>
    </w:pPr>
  </w:style>
  <w:style w:type="character" w:customStyle="1" w:styleId="text1">
    <w:name w:val="text1"/>
    <w:rsid w:val="008F4142"/>
    <w:rPr>
      <w:rFonts w:ascii="Arial" w:hAnsi="Arial" w:cs="Arial" w:hint="default"/>
      <w:sz w:val="22"/>
      <w:szCs w:val="22"/>
    </w:rPr>
  </w:style>
  <w:style w:type="paragraph" w:styleId="Zhlav">
    <w:name w:val="header"/>
    <w:basedOn w:val="Normln"/>
    <w:rsid w:val="001A2B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A2B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2BC7"/>
  </w:style>
  <w:style w:type="paragraph" w:customStyle="1" w:styleId="Default">
    <w:name w:val="Default"/>
    <w:uiPriority w:val="99"/>
    <w:rsid w:val="00744C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D82D08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D82D08"/>
    <w:rPr>
      <w:rFonts w:ascii="Calibri" w:eastAsia="Calibri" w:hAnsi="Calibri"/>
      <w:sz w:val="22"/>
      <w:szCs w:val="22"/>
      <w:lang w:val="cs-CZ" w:eastAsia="en-US" w:bidi="ar-SA"/>
    </w:rPr>
  </w:style>
  <w:style w:type="paragraph" w:styleId="Seznam">
    <w:name w:val="List"/>
    <w:basedOn w:val="Normln"/>
    <w:rsid w:val="00C946DE"/>
    <w:pPr>
      <w:ind w:left="283" w:hanging="283"/>
    </w:pPr>
    <w:rPr>
      <w:sz w:val="20"/>
      <w:szCs w:val="20"/>
    </w:rPr>
  </w:style>
  <w:style w:type="paragraph" w:styleId="Seznamsodrkami2">
    <w:name w:val="List Bullet 2"/>
    <w:basedOn w:val="Normln"/>
    <w:rsid w:val="00C946DE"/>
    <w:pPr>
      <w:numPr>
        <w:numId w:val="9"/>
      </w:numPr>
    </w:pPr>
    <w:rPr>
      <w:sz w:val="20"/>
      <w:szCs w:val="20"/>
    </w:rPr>
  </w:style>
  <w:style w:type="paragraph" w:customStyle="1" w:styleId="odstavec">
    <w:name w:val="odstavec"/>
    <w:link w:val="odstavecChar"/>
    <w:qFormat/>
    <w:rsid w:val="00AA0FDA"/>
    <w:pPr>
      <w:autoSpaceDE w:val="0"/>
      <w:autoSpaceDN w:val="0"/>
      <w:adjustRightInd w:val="0"/>
      <w:spacing w:before="240" w:after="240"/>
      <w:jc w:val="both"/>
      <w:textAlignment w:val="center"/>
    </w:pPr>
    <w:rPr>
      <w:rFonts w:ascii="Calibri" w:hAnsi="Calibri" w:cs="Calibri-Light"/>
      <w:sz w:val="22"/>
      <w:szCs w:val="22"/>
      <w:lang w:eastAsia="en-US"/>
    </w:rPr>
  </w:style>
  <w:style w:type="character" w:customStyle="1" w:styleId="odstavecChar">
    <w:name w:val="odstavec Char"/>
    <w:link w:val="odstavec"/>
    <w:rsid w:val="00AA0FDA"/>
    <w:rPr>
      <w:rFonts w:ascii="Calibri" w:hAnsi="Calibri" w:cs="Calibri-Light"/>
      <w:sz w:val="22"/>
      <w:szCs w:val="22"/>
      <w:lang w:val="cs-CZ" w:eastAsia="en-US" w:bidi="ar-SA"/>
    </w:rPr>
  </w:style>
  <w:style w:type="table" w:customStyle="1" w:styleId="Tabulkaarbes4">
    <w:name w:val="Tabulka_arbes4"/>
    <w:basedOn w:val="Normlntabulka"/>
    <w:uiPriority w:val="99"/>
    <w:rsid w:val="00AA0FDA"/>
    <w:pPr>
      <w:keepNext/>
      <w:keepLines/>
    </w:pPr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01476C"/>
        <w:left w:val="single" w:sz="4" w:space="0" w:color="01476C"/>
        <w:bottom w:val="single" w:sz="4" w:space="0" w:color="01476C"/>
        <w:right w:val="single" w:sz="4" w:space="0" w:color="01476C"/>
        <w:insideH w:val="single" w:sz="4" w:space="0" w:color="01476C"/>
        <w:insideV w:val="single" w:sz="4" w:space="0" w:color="01476C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Cambria" w:hAnsi="Cambria"/>
        <w:b/>
        <w:bCs/>
        <w:color w:val="FFFFFF"/>
      </w:rPr>
      <w:tblPr/>
      <w:tcPr>
        <w:tcBorders>
          <w:top w:val="single" w:sz="4" w:space="0" w:color="0087BE"/>
          <w:left w:val="single" w:sz="4" w:space="0" w:color="0087BE"/>
          <w:bottom w:val="single" w:sz="4" w:space="0" w:color="0087BE"/>
          <w:right w:val="single" w:sz="4" w:space="0" w:color="0087BE"/>
          <w:insideH w:val="single" w:sz="4" w:space="0" w:color="0087BE"/>
          <w:insideV w:val="single" w:sz="4" w:space="0" w:color="0087BE"/>
        </w:tcBorders>
        <w:shd w:val="clear" w:color="auto" w:fill="01476C"/>
      </w:tcPr>
    </w:tblStylePr>
    <w:tblStylePr w:type="lastRow">
      <w:rPr>
        <w:rFonts w:ascii="Calibri" w:hAnsi="Calibri"/>
        <w:b/>
        <w:bCs/>
        <w:color w:val="auto"/>
      </w:rPr>
      <w:tblPr/>
      <w:tcPr>
        <w:tcBorders>
          <w:top w:val="double" w:sz="4" w:space="0" w:color="BFBFBF"/>
          <w:tl2br w:val="none" w:sz="0" w:space="0" w:color="auto"/>
          <w:tr2bl w:val="none" w:sz="0" w:space="0" w:color="auto"/>
        </w:tcBorders>
        <w:shd w:val="clear" w:color="auto" w:fill="E8E7E1"/>
      </w:tcPr>
    </w:tblStylePr>
    <w:tblStylePr w:type="firstCol">
      <w:rPr>
        <w:b/>
        <w:bCs/>
      </w:rPr>
    </w:tblStylePr>
    <w:tblStylePr w:type="lastCol">
      <w:rPr>
        <w:rFonts w:ascii="Cambria" w:hAnsi="Cambria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/>
      </w:tcPr>
    </w:tblStylePr>
    <w:tblStylePr w:type="band1Horz">
      <w:pPr>
        <w:wordWrap/>
        <w:spacing w:beforeLines="0" w:beforeAutospacing="0" w:afterLines="0" w:afterAutospacing="0"/>
      </w:pPr>
      <w:tblPr/>
      <w:tcPr>
        <w:shd w:val="clear" w:color="auto" w:fill="82B7E6"/>
      </w:tcPr>
    </w:tblStylePr>
    <w:tblStylePr w:type="band2Horz">
      <w:pPr>
        <w:wordWrap/>
        <w:spacing w:beforeLines="0" w:beforeAutospacing="0" w:afterLines="0" w:afterAutospacing="0"/>
      </w:pPr>
    </w:tblStylePr>
  </w:style>
  <w:style w:type="numbering" w:customStyle="1" w:styleId="Seznamslovan">
    <w:name w:val="Seznam_číslovaný"/>
    <w:basedOn w:val="Bezseznamu"/>
    <w:uiPriority w:val="99"/>
    <w:rsid w:val="00194976"/>
    <w:pPr>
      <w:numPr>
        <w:numId w:val="15"/>
      </w:numPr>
    </w:pPr>
  </w:style>
  <w:style w:type="paragraph" w:styleId="slovanseznam">
    <w:name w:val="List Number"/>
    <w:basedOn w:val="Normln"/>
    <w:uiPriority w:val="99"/>
    <w:qFormat/>
    <w:rsid w:val="00194976"/>
    <w:pPr>
      <w:keepNext/>
      <w:numPr>
        <w:numId w:val="16"/>
      </w:numPr>
      <w:contextualSpacing/>
    </w:pPr>
    <w:rPr>
      <w:rFonts w:ascii="Calibri" w:hAnsi="Calibri"/>
      <w:lang w:eastAsia="en-US"/>
    </w:rPr>
  </w:style>
  <w:style w:type="paragraph" w:styleId="slovanseznam2">
    <w:name w:val="List Number 2"/>
    <w:basedOn w:val="Normln"/>
    <w:uiPriority w:val="99"/>
    <w:unhideWhenUsed/>
    <w:rsid w:val="00194976"/>
    <w:pPr>
      <w:numPr>
        <w:ilvl w:val="1"/>
        <w:numId w:val="16"/>
      </w:numPr>
      <w:contextualSpacing/>
    </w:pPr>
    <w:rPr>
      <w:rFonts w:ascii="Calibri" w:hAnsi="Calibri"/>
      <w:lang w:eastAsia="en-US"/>
    </w:rPr>
  </w:style>
  <w:style w:type="paragraph" w:styleId="slovanseznam3">
    <w:name w:val="List Number 3"/>
    <w:basedOn w:val="Normln"/>
    <w:uiPriority w:val="99"/>
    <w:unhideWhenUsed/>
    <w:rsid w:val="00194976"/>
    <w:pPr>
      <w:numPr>
        <w:ilvl w:val="2"/>
        <w:numId w:val="16"/>
      </w:numPr>
      <w:contextualSpacing/>
    </w:pPr>
    <w:rPr>
      <w:rFonts w:ascii="Calibri" w:hAnsi="Calibri"/>
      <w:lang w:eastAsia="en-US"/>
    </w:rPr>
  </w:style>
  <w:style w:type="paragraph" w:styleId="slovanseznam4">
    <w:name w:val="List Number 4"/>
    <w:basedOn w:val="Normln"/>
    <w:uiPriority w:val="99"/>
    <w:semiHidden/>
    <w:unhideWhenUsed/>
    <w:rsid w:val="00194976"/>
    <w:pPr>
      <w:numPr>
        <w:ilvl w:val="3"/>
        <w:numId w:val="16"/>
      </w:numPr>
      <w:contextualSpacing/>
    </w:pPr>
    <w:rPr>
      <w:rFonts w:ascii="Calibri" w:hAnsi="Calibri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6E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7D1FC-2351-4FBB-9D36-DD08E14D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1506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Hewlett-Packard Company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Rudolf Suk</dc:creator>
  <cp:lastModifiedBy>Groholova</cp:lastModifiedBy>
  <cp:revision>3</cp:revision>
  <cp:lastPrinted>2019-03-27T09:26:00Z</cp:lastPrinted>
  <dcterms:created xsi:type="dcterms:W3CDTF">2019-12-10T07:02:00Z</dcterms:created>
  <dcterms:modified xsi:type="dcterms:W3CDTF">2019-12-10T07:04:00Z</dcterms:modified>
</cp:coreProperties>
</file>