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B7349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7349D">
        <w:rPr>
          <w:snapToGrid w:val="0"/>
          <w:sz w:val="18"/>
        </w:rPr>
        <w:t xml:space="preserve">Číslo </w:t>
      </w:r>
      <w:r w:rsidR="00DB577C" w:rsidRPr="00B7349D">
        <w:rPr>
          <w:snapToGrid w:val="0"/>
          <w:sz w:val="18"/>
        </w:rPr>
        <w:t>příjemce</w:t>
      </w:r>
    </w:p>
    <w:p w:rsidR="007D4C5D" w:rsidRPr="00B7349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7349D">
        <w:rPr>
          <w:bCs/>
          <w:smallCaps/>
          <w:snapToGrid w:val="0"/>
          <w:sz w:val="28"/>
          <w:szCs w:val="28"/>
        </w:rPr>
        <w:t>D</w:t>
      </w:r>
      <w:r w:rsidR="004A1EE5" w:rsidRPr="00B7349D">
        <w:rPr>
          <w:bCs/>
          <w:smallCaps/>
          <w:snapToGrid w:val="0"/>
          <w:sz w:val="28"/>
          <w:szCs w:val="28"/>
        </w:rPr>
        <w:t>ODATEK</w:t>
      </w:r>
      <w:r w:rsidRPr="00B7349D">
        <w:rPr>
          <w:bCs/>
          <w:smallCaps/>
          <w:snapToGrid w:val="0"/>
          <w:sz w:val="28"/>
          <w:szCs w:val="28"/>
        </w:rPr>
        <w:t xml:space="preserve"> č. </w:t>
      </w:r>
      <w:r w:rsidR="008F536D" w:rsidRPr="00B7349D">
        <w:rPr>
          <w:bCs/>
          <w:smallCaps/>
          <w:snapToGrid w:val="0"/>
          <w:sz w:val="28"/>
          <w:szCs w:val="28"/>
        </w:rPr>
        <w:t>1</w:t>
      </w:r>
    </w:p>
    <w:p w:rsidR="001B050C" w:rsidRPr="00B7349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7349D">
        <w:rPr>
          <w:bCs/>
          <w:smallCaps/>
        </w:rPr>
        <w:t>k</w:t>
      </w:r>
      <w:r w:rsidR="00BA53A8" w:rsidRPr="00B7349D">
        <w:rPr>
          <w:szCs w:val="36"/>
        </w:rPr>
        <w:t xml:space="preserve"> </w:t>
      </w:r>
      <w:r w:rsidR="00BA53A8" w:rsidRPr="00B7349D">
        <w:rPr>
          <w:caps/>
          <w:sz w:val="28"/>
          <w:szCs w:val="28"/>
        </w:rPr>
        <w:t>PŘÍKAZNÍ</w:t>
      </w:r>
      <w:r w:rsidR="004A1EE5" w:rsidRPr="00B7349D">
        <w:rPr>
          <w:caps/>
          <w:sz w:val="28"/>
          <w:szCs w:val="28"/>
        </w:rPr>
        <w:t xml:space="preserve"> SmlouvĚ</w:t>
      </w:r>
    </w:p>
    <w:p w:rsidR="004A1EE5" w:rsidRPr="00B7349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7349D">
        <w:rPr>
          <w:b/>
          <w:snapToGrid w:val="0"/>
          <w:sz w:val="28"/>
          <w:szCs w:val="28"/>
        </w:rPr>
        <w:t xml:space="preserve">č. </w:t>
      </w:r>
      <w:proofErr w:type="spellStart"/>
      <w:r w:rsidRPr="00B7349D">
        <w:rPr>
          <w:b/>
          <w:snapToGrid w:val="0"/>
          <w:sz w:val="28"/>
          <w:szCs w:val="28"/>
        </w:rPr>
        <w:t>nSIPO</w:t>
      </w:r>
      <w:proofErr w:type="spellEnd"/>
      <w:r w:rsidRPr="00B7349D">
        <w:rPr>
          <w:b/>
          <w:snapToGrid w:val="0"/>
          <w:sz w:val="28"/>
          <w:szCs w:val="28"/>
        </w:rPr>
        <w:t xml:space="preserve"> </w:t>
      </w:r>
      <w:r w:rsidR="00B7349D">
        <w:rPr>
          <w:b/>
          <w:snapToGrid w:val="0"/>
          <w:sz w:val="28"/>
          <w:szCs w:val="28"/>
        </w:rPr>
        <w:t xml:space="preserve">06 – </w:t>
      </w:r>
      <w:r w:rsidR="00030492">
        <w:rPr>
          <w:b/>
          <w:snapToGrid w:val="0"/>
          <w:sz w:val="28"/>
          <w:szCs w:val="28"/>
        </w:rPr>
        <w:t>108/2015</w:t>
      </w:r>
    </w:p>
    <w:p w:rsidR="00BA53A8" w:rsidRPr="00B7349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7349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7349D">
        <w:rPr>
          <w:rFonts w:ascii="Times New Roman" w:hAnsi="Times New Roman"/>
          <w:sz w:val="24"/>
          <w:szCs w:val="24"/>
        </w:rPr>
        <w:t>ust</w:t>
      </w:r>
      <w:proofErr w:type="spellEnd"/>
      <w:r w:rsidRPr="00B7349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7349D">
        <w:rPr>
          <w:rFonts w:ascii="Times New Roman" w:hAnsi="Times New Roman"/>
          <w:sz w:val="24"/>
          <w:szCs w:val="24"/>
        </w:rPr>
        <w:t>ZoPS</w:t>
      </w:r>
      <w:proofErr w:type="spellEnd"/>
      <w:r w:rsidRPr="00B7349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7349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1.</w:t>
      </w:r>
      <w:r w:rsidRPr="00B7349D">
        <w:rPr>
          <w:b/>
          <w:snapToGrid w:val="0"/>
          <w:sz w:val="24"/>
        </w:rPr>
        <w:tab/>
        <w:t>Česká pošta, s. p.</w:t>
      </w:r>
    </w:p>
    <w:p w:rsidR="00BA53A8" w:rsidRPr="00B7349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se sídlem Praha 1, Politických vězňů 909/4, PSČ 225 99</w:t>
      </w:r>
    </w:p>
    <w:p w:rsidR="00C208CB" w:rsidRPr="00B7349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7349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7349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IČO: </w:t>
      </w:r>
      <w:r w:rsidRPr="00B7349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DIČ:</w:t>
      </w:r>
      <w:r w:rsidRPr="00B7349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7349D">
        <w:rPr>
          <w:rFonts w:ascii="Times New Roman" w:hAnsi="Times New Roman"/>
          <w:snapToGrid w:val="0"/>
          <w:sz w:val="24"/>
        </w:rPr>
        <w:t>s.p</w:t>
      </w:r>
      <w:proofErr w:type="spellEnd"/>
      <w:r w:rsidRPr="00B7349D">
        <w:rPr>
          <w:rFonts w:ascii="Times New Roman" w:hAnsi="Times New Roman"/>
          <w:snapToGrid w:val="0"/>
          <w:sz w:val="24"/>
        </w:rPr>
        <w:t>.</w:t>
      </w:r>
      <w:proofErr w:type="gramEnd"/>
      <w:r w:rsidRPr="00B7349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B7349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927E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B7349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B7349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a</w:t>
      </w:r>
    </w:p>
    <w:p w:rsidR="00B7349D" w:rsidRPr="00DE2BC9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30492" w:rsidRPr="00030492">
        <w:rPr>
          <w:rFonts w:ascii="Times New Roman" w:hAnsi="Times New Roman"/>
          <w:snapToGrid w:val="0"/>
          <w:sz w:val="24"/>
        </w:rPr>
        <w:t>36767007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B7349D" w:rsidRDefault="00030492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</w:t>
      </w:r>
      <w:r w:rsidR="00B7349D" w:rsidRPr="00782228">
        <w:rPr>
          <w:rFonts w:ascii="Times New Roman" w:hAnsi="Times New Roman"/>
          <w:b/>
          <w:snapToGrid w:val="0"/>
          <w:sz w:val="24"/>
        </w:rPr>
        <w:t>ěstská část Brno</w:t>
      </w:r>
      <w:r w:rsidR="00B7349D">
        <w:rPr>
          <w:rFonts w:ascii="Times New Roman" w:hAnsi="Times New Roman"/>
          <w:b/>
          <w:snapToGrid w:val="0"/>
          <w:sz w:val="24"/>
        </w:rPr>
        <w:t>-Ž</w:t>
      </w:r>
      <w:r>
        <w:rPr>
          <w:rFonts w:ascii="Times New Roman" w:hAnsi="Times New Roman"/>
          <w:b/>
          <w:snapToGrid w:val="0"/>
          <w:sz w:val="24"/>
        </w:rPr>
        <w:t>idenice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30492">
        <w:rPr>
          <w:rFonts w:ascii="Times New Roman" w:hAnsi="Times New Roman"/>
          <w:b/>
          <w:snapToGrid w:val="0"/>
          <w:sz w:val="24"/>
        </w:rPr>
        <w:t>Gajdošova 7, 615 00</w:t>
      </w:r>
      <w:r w:rsidR="009F1274">
        <w:rPr>
          <w:rFonts w:ascii="Times New Roman" w:hAnsi="Times New Roman"/>
          <w:b/>
          <w:snapToGrid w:val="0"/>
          <w:sz w:val="24"/>
        </w:rPr>
        <w:t xml:space="preserve"> Brno</w:t>
      </w:r>
    </w:p>
    <w:p w:rsidR="00B7349D" w:rsidRPr="00903CAE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030492">
        <w:rPr>
          <w:rFonts w:ascii="Times New Roman" w:hAnsi="Times New Roman"/>
          <w:snapToGrid w:val="0"/>
          <w:sz w:val="24"/>
        </w:rPr>
        <w:t>Mgr. Alešem Mrázkem, starostou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B7349D" w:rsidRPr="003721EA" w:rsidRDefault="00B7349D" w:rsidP="00B7349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7349D" w:rsidRPr="008140C7" w:rsidRDefault="00B7349D" w:rsidP="00B7349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927E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7349D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030492">
        <w:rPr>
          <w:rFonts w:ascii="Times New Roman" w:hAnsi="Times New Roman"/>
          <w:snapToGrid w:val="0"/>
          <w:sz w:val="24"/>
        </w:rPr>
        <w:t xml:space="preserve"> 2108</w:t>
      </w:r>
    </w:p>
    <w:p w:rsidR="00B7349D" w:rsidRPr="00DE2BC9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7349D" w:rsidRPr="00DE2BC9" w:rsidRDefault="00B7349D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B7349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>1.</w:t>
      </w:r>
      <w:r w:rsidRPr="00B7349D">
        <w:rPr>
          <w:rFonts w:ascii="Times New Roman" w:hAnsi="Times New Roman"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30492">
        <w:rPr>
          <w:rFonts w:ascii="Times New Roman" w:hAnsi="Times New Roman"/>
          <w:b/>
          <w:sz w:val="24"/>
        </w:rPr>
        <w:t>4.3.2015</w:t>
      </w:r>
      <w:proofErr w:type="gramEnd"/>
      <w:r w:rsidR="000B3C49" w:rsidRPr="00B7349D">
        <w:rPr>
          <w:rFonts w:ascii="Times New Roman" w:hAnsi="Times New Roman"/>
          <w:b/>
          <w:sz w:val="24"/>
        </w:rPr>
        <w:t xml:space="preserve"> </w:t>
      </w:r>
      <w:r w:rsidR="00BA53A8" w:rsidRPr="00B7349D">
        <w:rPr>
          <w:rFonts w:ascii="Times New Roman" w:hAnsi="Times New Roman"/>
          <w:b/>
          <w:sz w:val="24"/>
        </w:rPr>
        <w:t>Příkazní</w:t>
      </w:r>
      <w:r w:rsidRPr="00B7349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7349D">
        <w:rPr>
          <w:rFonts w:ascii="Times New Roman" w:hAnsi="Times New Roman"/>
          <w:b/>
          <w:sz w:val="24"/>
        </w:rPr>
        <w:t>n</w:t>
      </w:r>
      <w:r w:rsidRPr="00B7349D">
        <w:rPr>
          <w:rFonts w:ascii="Times New Roman" w:hAnsi="Times New Roman"/>
          <w:b/>
          <w:sz w:val="24"/>
        </w:rPr>
        <w:t>SIPO</w:t>
      </w:r>
      <w:proofErr w:type="spellEnd"/>
      <w:r w:rsidRPr="00B7349D">
        <w:rPr>
          <w:rFonts w:ascii="Times New Roman" w:hAnsi="Times New Roman"/>
          <w:b/>
          <w:sz w:val="24"/>
        </w:rPr>
        <w:t xml:space="preserve"> </w:t>
      </w:r>
      <w:r w:rsidR="002F71B9" w:rsidRPr="00B7349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9300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B7349D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30492">
        <w:rPr>
          <w:rFonts w:ascii="Times New Roman" w:hAnsi="Times New Roman"/>
          <w:b/>
          <w:snapToGrid w:val="0"/>
          <w:sz w:val="24"/>
          <w:szCs w:val="24"/>
        </w:rPr>
        <w:t>108/2015</w:t>
      </w:r>
      <w:r w:rsidRPr="00B7349D">
        <w:rPr>
          <w:rFonts w:ascii="Times New Roman" w:hAnsi="Times New Roman"/>
          <w:b/>
          <w:sz w:val="24"/>
        </w:rPr>
        <w:t xml:space="preserve"> (dále jen „Smlouva“).</w:t>
      </w:r>
    </w:p>
    <w:p w:rsidR="00030492" w:rsidRPr="00B7349D" w:rsidRDefault="00030492" w:rsidP="00B7349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A930C1" w:rsidRPr="00B7349D" w:rsidRDefault="00A930C1" w:rsidP="00093001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lastRenderedPageBreak/>
        <w:t xml:space="preserve">2. </w:t>
      </w:r>
      <w:r w:rsidRPr="00B7349D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7349D">
        <w:rPr>
          <w:rFonts w:ascii="Times New Roman" w:hAnsi="Times New Roman"/>
          <w:b/>
          <w:sz w:val="24"/>
          <w:u w:val="single"/>
        </w:rPr>
        <w:t xml:space="preserve">změnu </w:t>
      </w:r>
      <w:r w:rsidR="00093001">
        <w:rPr>
          <w:rFonts w:ascii="Times New Roman" w:hAnsi="Times New Roman"/>
          <w:b/>
          <w:sz w:val="24"/>
          <w:u w:val="single"/>
        </w:rPr>
        <w:t xml:space="preserve">záhlaví </w:t>
      </w:r>
      <w:r w:rsidRPr="00B7349D">
        <w:rPr>
          <w:rFonts w:ascii="Times New Roman" w:hAnsi="Times New Roman"/>
          <w:b/>
          <w:sz w:val="24"/>
        </w:rPr>
        <w:t>na straně Příkazce.</w:t>
      </w:r>
    </w:p>
    <w:p w:rsidR="00030492" w:rsidRPr="00B7349D" w:rsidRDefault="00030492" w:rsidP="00490E6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Pr="0003049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2.1.7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ruší</w:t>
      </w:r>
      <w:r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030492" w:rsidRPr="00DE2BC9" w:rsidRDefault="00030492" w:rsidP="00030492">
      <w:pPr>
        <w:pStyle w:val="Zkladntext"/>
        <w:numPr>
          <w:ilvl w:val="2"/>
          <w:numId w:val="22"/>
        </w:numPr>
        <w:spacing w:before="120"/>
        <w:ind w:left="567" w:hanging="567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030492" w:rsidRPr="00B7349D" w:rsidRDefault="00030492" w:rsidP="00490E69">
      <w:pPr>
        <w:pStyle w:val="Codstavec"/>
        <w:numPr>
          <w:ilvl w:val="0"/>
          <w:numId w:val="23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2.1.7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nahrazuje</w:t>
      </w:r>
      <w:r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030492" w:rsidRPr="00642C9A" w:rsidRDefault="00030492" w:rsidP="00030492">
      <w:pPr>
        <w:pStyle w:val="Zkladntext"/>
        <w:numPr>
          <w:ilvl w:val="2"/>
          <w:numId w:val="24"/>
        </w:numPr>
        <w:spacing w:before="120"/>
        <w:ind w:left="567" w:hanging="567"/>
        <w:rPr>
          <w:szCs w:val="22"/>
        </w:rPr>
      </w:pPr>
      <w:r w:rsidRPr="00642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42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030492" w:rsidRPr="00B7349D" w:rsidRDefault="00030492" w:rsidP="00490E6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 w:rsidRPr="0003049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3.3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ruší</w:t>
      </w:r>
      <w:r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030492" w:rsidRPr="00490E69" w:rsidRDefault="00030492" w:rsidP="00030492">
      <w:pPr>
        <w:pStyle w:val="Codstavec"/>
        <w:numPr>
          <w:ilvl w:val="1"/>
          <w:numId w:val="25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C263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7C263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90E69">
        <w:rPr>
          <w:rFonts w:ascii="Times New Roman" w:hAnsi="Times New Roman"/>
          <w:b/>
          <w:snapToGrid w:val="0"/>
          <w:sz w:val="24"/>
        </w:rPr>
        <w:t xml:space="preserve">) </w:t>
      </w:r>
      <w:r w:rsidRPr="00490E69">
        <w:rPr>
          <w:rFonts w:ascii="Times New Roman" w:hAnsi="Times New Roman"/>
          <w:snapToGrid w:val="0"/>
          <w:sz w:val="24"/>
        </w:rPr>
        <w:t>na adresu BYTASEN, spol. s r.o., Konečného 18, 615 00 Brno</w:t>
      </w:r>
    </w:p>
    <w:p w:rsidR="00030492" w:rsidRPr="00B7349D" w:rsidRDefault="00030492" w:rsidP="00490E69">
      <w:pPr>
        <w:pStyle w:val="Codstavec"/>
        <w:numPr>
          <w:ilvl w:val="0"/>
          <w:numId w:val="27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 xml:space="preserve">Dosavadní ustanovení </w:t>
      </w:r>
      <w:r w:rsidR="00EF6603">
        <w:rPr>
          <w:rFonts w:ascii="Times New Roman" w:hAnsi="Times New Roman"/>
          <w:b/>
          <w:sz w:val="24"/>
        </w:rPr>
        <w:t>čl. III. Převody plateb, odst. 3.3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EF6603">
        <w:rPr>
          <w:rFonts w:ascii="Times New Roman" w:hAnsi="Times New Roman"/>
          <w:b/>
          <w:sz w:val="24"/>
          <w:u w:val="single"/>
        </w:rPr>
        <w:t>se nahrazuje</w:t>
      </w:r>
      <w:r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EF6603" w:rsidRPr="00EF6603" w:rsidRDefault="00EF6603" w:rsidP="00EF6603">
      <w:pPr>
        <w:pStyle w:val="Codstavec"/>
        <w:numPr>
          <w:ilvl w:val="1"/>
          <w:numId w:val="28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F6603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F6603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F6603">
        <w:rPr>
          <w:rFonts w:ascii="Times New Roman" w:hAnsi="Times New Roman"/>
          <w:snapToGrid w:val="0"/>
          <w:sz w:val="24"/>
        </w:rPr>
        <w:t xml:space="preserve">) </w:t>
      </w:r>
      <w:r w:rsidRPr="00EF660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F660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F660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EF6603" w:rsidRPr="00B7349D" w:rsidRDefault="00EF6603" w:rsidP="00490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 w:rsidRPr="0003049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4.1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ruší</w:t>
      </w:r>
      <w:r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EF6603" w:rsidRPr="00DE2BC9" w:rsidRDefault="00EF6603" w:rsidP="00EF6603">
      <w:pPr>
        <w:pStyle w:val="Codstavec"/>
        <w:numPr>
          <w:ilvl w:val="1"/>
          <w:numId w:val="19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EF6603" w:rsidRPr="00DE2BC9" w:rsidRDefault="00EF6603" w:rsidP="00EF6603">
      <w:pPr>
        <w:pStyle w:val="Zkladntext"/>
        <w:tabs>
          <w:tab w:val="left" w:pos="567"/>
          <w:tab w:val="left" w:pos="709"/>
        </w:tabs>
        <w:spacing w:before="80"/>
        <w:ind w:left="567" w:hanging="567"/>
      </w:pPr>
      <w:r>
        <w:tab/>
      </w:r>
      <w:r w:rsidRPr="00DE2BC9">
        <w:t xml:space="preserve">Za službu upomínání dle </w:t>
      </w:r>
      <w:r>
        <w:t xml:space="preserve">Čl. II, bod </w:t>
      </w:r>
      <w:r w:rsidRPr="00041C57">
        <w:t xml:space="preserve">2.1.7.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EF6603" w:rsidRDefault="00EF6603" w:rsidP="00EF6603">
      <w:pPr>
        <w:pStyle w:val="Zkladntext"/>
        <w:tabs>
          <w:tab w:val="left" w:pos="709"/>
        </w:tabs>
        <w:spacing w:before="80"/>
        <w:ind w:left="567" w:hanging="567"/>
      </w:pPr>
      <w:r>
        <w:tab/>
      </w:r>
      <w:r w:rsidRPr="00DE2BC9">
        <w:t>Výsledná cena za jednu položku předepsanou k inkasu je součtem základní a doplňkové ceny.</w:t>
      </w:r>
    </w:p>
    <w:p w:rsidR="00EF6603" w:rsidRDefault="00EF6603" w:rsidP="00EF6603">
      <w:pPr>
        <w:pStyle w:val="Zkladntext"/>
        <w:tabs>
          <w:tab w:val="left" w:pos="709"/>
        </w:tabs>
        <w:spacing w:before="80"/>
        <w:ind w:left="567" w:hanging="567"/>
      </w:pPr>
    </w:p>
    <w:p w:rsidR="00EF6603" w:rsidRPr="00B7349D" w:rsidRDefault="00EF6603" w:rsidP="00EF6603">
      <w:pPr>
        <w:pStyle w:val="Codstavec"/>
        <w:numPr>
          <w:ilvl w:val="0"/>
          <w:numId w:val="29"/>
        </w:numPr>
        <w:tabs>
          <w:tab w:val="left" w:pos="0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lastRenderedPageBreak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4.1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EF6603">
        <w:rPr>
          <w:rFonts w:ascii="Times New Roman" w:hAnsi="Times New Roman"/>
          <w:b/>
          <w:sz w:val="24"/>
          <w:u w:val="single"/>
        </w:rPr>
        <w:t>se nahrazuje</w:t>
      </w:r>
      <w:r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EF6603" w:rsidRDefault="00EF6603" w:rsidP="00EF6603">
      <w:pPr>
        <w:pStyle w:val="Codstavec"/>
        <w:numPr>
          <w:ilvl w:val="1"/>
          <w:numId w:val="23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490E69" w:rsidRPr="00B7349D" w:rsidRDefault="00490E69" w:rsidP="00490E69">
      <w:pPr>
        <w:pStyle w:val="Codstavec"/>
        <w:numPr>
          <w:ilvl w:val="0"/>
          <w:numId w:val="29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ujednání, odst. 5.4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ruší</w:t>
      </w:r>
      <w:r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490E69" w:rsidRDefault="00490E69" w:rsidP="00490E69">
      <w:pPr>
        <w:pStyle w:val="Codstavec"/>
        <w:numPr>
          <w:ilvl w:val="1"/>
          <w:numId w:val="33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490E69" w:rsidRPr="00B7349D" w:rsidRDefault="00490E69" w:rsidP="00490E69">
      <w:pPr>
        <w:pStyle w:val="Codstavec"/>
        <w:numPr>
          <w:ilvl w:val="0"/>
          <w:numId w:val="29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ujednání, odst. 5.4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EF6603">
        <w:rPr>
          <w:rFonts w:ascii="Times New Roman" w:hAnsi="Times New Roman"/>
          <w:b/>
          <w:sz w:val="24"/>
          <w:u w:val="single"/>
        </w:rPr>
        <w:t>se nahrazuje</w:t>
      </w:r>
      <w:r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490E69" w:rsidRPr="007E0297" w:rsidRDefault="00490E69" w:rsidP="00490E69">
      <w:pPr>
        <w:pStyle w:val="Codstavec"/>
        <w:numPr>
          <w:ilvl w:val="1"/>
          <w:numId w:val="34"/>
        </w:numPr>
        <w:tabs>
          <w:tab w:val="left" w:pos="3544"/>
        </w:tabs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EF6603" w:rsidRPr="00B7349D" w:rsidRDefault="00EF6603" w:rsidP="00490E69">
      <w:pPr>
        <w:pStyle w:val="Codstavec"/>
        <w:numPr>
          <w:ilvl w:val="0"/>
          <w:numId w:val="29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VII. Závěrečná ustanovení, odst. 7.9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ruší</w:t>
      </w:r>
      <w:r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EF6603" w:rsidRDefault="00EF6603" w:rsidP="00EF6603">
      <w:pPr>
        <w:pStyle w:val="Codstavec"/>
        <w:numPr>
          <w:ilvl w:val="1"/>
          <w:numId w:val="31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 xml:space="preserve">lnou součástí této Smlouvy je Příloha č. 1 - Kontaktní osoby a spojení, způsob předávání </w:t>
      </w:r>
      <w:r w:rsidRPr="00EF6603">
        <w:rPr>
          <w:rFonts w:ascii="Times New Roman" w:hAnsi="Times New Roman"/>
          <w:sz w:val="24"/>
        </w:rPr>
        <w:t>datových</w:t>
      </w:r>
      <w:r>
        <w:rPr>
          <w:rFonts w:ascii="Times New Roman" w:hAnsi="Times New Roman"/>
          <w:snapToGrid w:val="0"/>
          <w:sz w:val="24"/>
        </w:rPr>
        <w:t xml:space="preserve"> souborů, kontaktní místo pro předávání souborů</w:t>
      </w:r>
      <w:r w:rsidRPr="007D017F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Pr="007D017F">
        <w:rPr>
          <w:rFonts w:ascii="Times New Roman" w:hAnsi="Times New Roman"/>
          <w:snapToGrid w:val="0"/>
          <w:sz w:val="24"/>
        </w:rPr>
        <w:t>a Příloha č. 2 - Sloučené šifrování – prohlášení Příkazce.</w:t>
      </w:r>
    </w:p>
    <w:p w:rsidR="00490E69" w:rsidRDefault="00490E69" w:rsidP="00490E69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490E69" w:rsidRDefault="00490E69" w:rsidP="00490E69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490E69" w:rsidRDefault="00490E69" w:rsidP="00490E69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EF6603" w:rsidRPr="00B7349D" w:rsidRDefault="00490E69" w:rsidP="00490E6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12</w:t>
      </w:r>
      <w:r w:rsidR="00EF6603">
        <w:rPr>
          <w:rFonts w:ascii="Times New Roman" w:hAnsi="Times New Roman"/>
          <w:b/>
          <w:sz w:val="24"/>
        </w:rPr>
        <w:t>.</w:t>
      </w:r>
      <w:r w:rsidR="00EF6603">
        <w:rPr>
          <w:rFonts w:ascii="Times New Roman" w:hAnsi="Times New Roman"/>
          <w:b/>
          <w:sz w:val="24"/>
        </w:rPr>
        <w:tab/>
      </w:r>
      <w:r w:rsidR="00EF6603" w:rsidRPr="00B7349D">
        <w:rPr>
          <w:rFonts w:ascii="Times New Roman" w:hAnsi="Times New Roman"/>
          <w:b/>
          <w:sz w:val="24"/>
        </w:rPr>
        <w:t xml:space="preserve">Dosavadní ustanovení </w:t>
      </w:r>
      <w:r w:rsidR="00EF6603">
        <w:rPr>
          <w:rFonts w:ascii="Times New Roman" w:hAnsi="Times New Roman"/>
          <w:b/>
          <w:sz w:val="24"/>
        </w:rPr>
        <w:t>čl. VII. Závěrečná ustanovení, odst. 7.9</w:t>
      </w:r>
      <w:r w:rsidR="00EF6603" w:rsidRPr="00B7349D">
        <w:rPr>
          <w:rFonts w:ascii="Times New Roman" w:hAnsi="Times New Roman"/>
          <w:b/>
          <w:sz w:val="24"/>
        </w:rPr>
        <w:t xml:space="preserve">, Smlouvy </w:t>
      </w:r>
      <w:r w:rsidR="00EF6603" w:rsidRPr="00EF6603">
        <w:rPr>
          <w:rFonts w:ascii="Times New Roman" w:hAnsi="Times New Roman"/>
          <w:b/>
          <w:sz w:val="24"/>
          <w:u w:val="single"/>
        </w:rPr>
        <w:t>se nahrazuje</w:t>
      </w:r>
      <w:r w:rsidR="00EF6603"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030492" w:rsidRPr="00EF6603" w:rsidRDefault="00EF6603" w:rsidP="00EF6603">
      <w:pPr>
        <w:pStyle w:val="Codstavec"/>
        <w:numPr>
          <w:ilvl w:val="1"/>
          <w:numId w:val="32"/>
        </w:numPr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EF6603">
        <w:rPr>
          <w:rFonts w:ascii="Times New Roman" w:hAnsi="Times New Roman"/>
          <w:snapToGrid w:val="0"/>
          <w:sz w:val="24"/>
        </w:rPr>
        <w:t xml:space="preserve">Nedílnou součástí této Smlouvy je Příloha č. 1 - Kontaktní osoby a spojení, způsob předávání </w:t>
      </w:r>
      <w:r w:rsidRPr="00EF6603">
        <w:rPr>
          <w:rFonts w:ascii="Times New Roman" w:hAnsi="Times New Roman"/>
          <w:sz w:val="24"/>
        </w:rPr>
        <w:t>datových</w:t>
      </w:r>
      <w:r w:rsidRPr="00EF6603">
        <w:rPr>
          <w:rFonts w:ascii="Times New Roman" w:hAnsi="Times New Roman"/>
          <w:snapToGrid w:val="0"/>
          <w:sz w:val="24"/>
        </w:rPr>
        <w:t xml:space="preserve"> souborů, kontaktní místo pro předávání souborů</w:t>
      </w:r>
      <w:r>
        <w:rPr>
          <w:rFonts w:ascii="Times New Roman" w:hAnsi="Times New Roman"/>
          <w:snapToGrid w:val="0"/>
          <w:color w:val="0000FF"/>
          <w:sz w:val="24"/>
        </w:rPr>
        <w:t>.</w:t>
      </w:r>
    </w:p>
    <w:p w:rsidR="00C57379" w:rsidRPr="00B7349D" w:rsidRDefault="00490E69" w:rsidP="00490E6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B7349D">
        <w:rPr>
          <w:rFonts w:ascii="Times New Roman" w:hAnsi="Times New Roman"/>
          <w:b/>
          <w:sz w:val="24"/>
        </w:rPr>
        <w:t xml:space="preserve">Přílohy č. 1, </w:t>
      </w:r>
      <w:r w:rsidR="00C57379" w:rsidRPr="00B7349D">
        <w:rPr>
          <w:rFonts w:ascii="Times New Roman" w:hAnsi="Times New Roman"/>
          <w:b/>
          <w:sz w:val="24"/>
        </w:rPr>
        <w:t xml:space="preserve">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ruší</w:t>
      </w:r>
      <w:r w:rsidR="00C57379"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EF6603" w:rsidRPr="00EF6603" w:rsidRDefault="00A927EF" w:rsidP="00EF6603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B7349D" w:rsidRDefault="00490E69" w:rsidP="00490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nahrazuje</w:t>
      </w:r>
      <w:r w:rsidR="00C57379"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490E69" w:rsidRPr="00490E69" w:rsidRDefault="00A927EF" w:rsidP="00490E69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color w:val="0000FF"/>
          <w:u w:val="single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B7349D" w:rsidRDefault="00490E69" w:rsidP="00490E6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1</w:t>
      </w:r>
      <w:r w:rsidR="0090644A" w:rsidRPr="00B7349D">
        <w:rPr>
          <w:b/>
        </w:rPr>
        <w:t>5.</w:t>
      </w:r>
      <w:r w:rsidR="0090644A" w:rsidRPr="00B7349D">
        <w:rPr>
          <w:b/>
        </w:rPr>
        <w:tab/>
      </w:r>
      <w:r w:rsidR="0090644A" w:rsidRPr="00B7349D">
        <w:t xml:space="preserve">Tento dodatek se stává platným dnem jeho </w:t>
      </w:r>
      <w:r w:rsidR="00DB577C" w:rsidRPr="00B7349D">
        <w:t>podpisu oběma smluvními stranami</w:t>
      </w:r>
      <w:r w:rsidR="00F663E7" w:rsidRPr="00B7349D">
        <w:rPr>
          <w:b/>
          <w:szCs w:val="24"/>
        </w:rPr>
        <w:t xml:space="preserve"> </w:t>
      </w:r>
      <w:r w:rsidR="001579B7" w:rsidRPr="00B7349D">
        <w:rPr>
          <w:b/>
          <w:szCs w:val="24"/>
        </w:rPr>
        <w:t>a</w:t>
      </w:r>
      <w:r w:rsidR="00F663E7" w:rsidRPr="00B7349D">
        <w:rPr>
          <w:b/>
          <w:szCs w:val="24"/>
        </w:rPr>
        <w:t xml:space="preserve"> účinn</w:t>
      </w:r>
      <w:r w:rsidR="001579B7" w:rsidRPr="00B7349D">
        <w:rPr>
          <w:b/>
          <w:szCs w:val="24"/>
        </w:rPr>
        <w:t>ým</w:t>
      </w:r>
      <w:r w:rsidR="00F663E7" w:rsidRPr="00B7349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7349D">
        <w:rPr>
          <w:b/>
          <w:szCs w:val="24"/>
        </w:rPr>
        <w:t xml:space="preserve">tohoto dodatku </w:t>
      </w:r>
      <w:r w:rsidR="00F663E7" w:rsidRPr="00B7349D">
        <w:rPr>
          <w:b/>
          <w:szCs w:val="24"/>
        </w:rPr>
        <w:t>správci registru smluv Příkazník.</w:t>
      </w:r>
    </w:p>
    <w:p w:rsidR="00922CA7" w:rsidRPr="00B7349D" w:rsidRDefault="00490E69" w:rsidP="00490E6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</w:t>
      </w:r>
      <w:r w:rsidR="00E90F75" w:rsidRPr="00B7349D">
        <w:rPr>
          <w:b/>
        </w:rPr>
        <w:t>6</w:t>
      </w:r>
      <w:r w:rsidR="00922CA7" w:rsidRPr="00B7349D">
        <w:rPr>
          <w:b/>
        </w:rPr>
        <w:t>.</w:t>
      </w:r>
      <w:r w:rsidR="00922CA7" w:rsidRPr="00B7349D">
        <w:tab/>
        <w:t>Dodatek je vyhotoven ve dvou stejnopisech stejné právní síly, po jednom vyhotovení pro každou ze smluvních stran.</w:t>
      </w:r>
    </w:p>
    <w:p w:rsidR="00922CA7" w:rsidRPr="00B7349D" w:rsidRDefault="00490E69" w:rsidP="00490E6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E90F75" w:rsidRPr="00B7349D">
        <w:rPr>
          <w:rFonts w:ascii="Times New Roman" w:hAnsi="Times New Roman"/>
          <w:b/>
          <w:sz w:val="24"/>
        </w:rPr>
        <w:t>7</w:t>
      </w:r>
      <w:r w:rsidR="00922CA7" w:rsidRPr="00B7349D">
        <w:rPr>
          <w:rFonts w:ascii="Times New Roman" w:hAnsi="Times New Roman"/>
          <w:b/>
          <w:sz w:val="24"/>
        </w:rPr>
        <w:t>.</w:t>
      </w:r>
      <w:r w:rsidR="00922CA7" w:rsidRPr="00B7349D">
        <w:rPr>
          <w:rFonts w:ascii="Times New Roman" w:hAnsi="Times New Roman"/>
          <w:b/>
          <w:sz w:val="24"/>
        </w:rPr>
        <w:tab/>
      </w:r>
      <w:r w:rsidR="00922CA7" w:rsidRPr="00B7349D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B7349D" w:rsidRDefault="00EF0FD7" w:rsidP="0073018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Ve Vítkově, dne:</w:t>
      </w:r>
      <w:r w:rsidRPr="00B7349D">
        <w:rPr>
          <w:rFonts w:ascii="Times New Roman" w:hAnsi="Times New Roman"/>
          <w:sz w:val="24"/>
        </w:rPr>
        <w:tab/>
        <w:t xml:space="preserve">V </w:t>
      </w:r>
      <w:r w:rsidR="00093001">
        <w:rPr>
          <w:rFonts w:ascii="Times New Roman" w:hAnsi="Times New Roman"/>
          <w:sz w:val="24"/>
        </w:rPr>
        <w:t>Brně</w:t>
      </w:r>
      <w:r w:rsidRPr="00B7349D">
        <w:rPr>
          <w:rFonts w:ascii="Times New Roman" w:hAnsi="Times New Roman"/>
          <w:sz w:val="24"/>
        </w:rPr>
        <w:t>, dne:</w:t>
      </w:r>
    </w:p>
    <w:p w:rsidR="00EF0FD7" w:rsidRPr="00B7349D" w:rsidRDefault="00EF0FD7" w:rsidP="0009300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……………………………………</w:t>
      </w:r>
      <w:r w:rsidRPr="00B7349D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B7349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 Příkazníka:</w:t>
      </w:r>
      <w:r w:rsidRPr="00B7349D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B7349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Krzoková</w:t>
      </w:r>
      <w:proofErr w:type="spellEnd"/>
      <w:r w:rsidRPr="00B7349D">
        <w:rPr>
          <w:rFonts w:ascii="Times New Roman" w:hAnsi="Times New Roman"/>
          <w:snapToGrid w:val="0"/>
          <w:sz w:val="24"/>
        </w:rPr>
        <w:tab/>
      </w:r>
      <w:r w:rsidR="00093001">
        <w:rPr>
          <w:rFonts w:ascii="Times New Roman" w:hAnsi="Times New Roman"/>
          <w:snapToGrid w:val="0"/>
          <w:sz w:val="24"/>
        </w:rPr>
        <w:t xml:space="preserve">Mgr. </w:t>
      </w:r>
      <w:r w:rsidR="00490E69">
        <w:rPr>
          <w:rFonts w:ascii="Times New Roman" w:hAnsi="Times New Roman"/>
          <w:snapToGrid w:val="0"/>
          <w:sz w:val="24"/>
        </w:rPr>
        <w:t>Aleš Mrázek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manažer specializovaného útvaru</w:t>
      </w:r>
      <w:r w:rsidR="0067068A">
        <w:rPr>
          <w:rFonts w:ascii="Times New Roman" w:hAnsi="Times New Roman"/>
          <w:snapToGrid w:val="0"/>
          <w:sz w:val="24"/>
        </w:rPr>
        <w:tab/>
        <w:t>starosta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7349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7349D">
      <w:rPr>
        <w:sz w:val="16"/>
      </w:rPr>
      <w:t xml:space="preserve">06 – </w:t>
    </w:r>
    <w:r w:rsidR="00030492">
      <w:rPr>
        <w:sz w:val="16"/>
      </w:rPr>
      <w:t>108/2015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927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D1256B"/>
    <w:multiLevelType w:val="multilevel"/>
    <w:tmpl w:val="587E6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2D35A43"/>
    <w:multiLevelType w:val="multilevel"/>
    <w:tmpl w:val="B90C7470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F7C1F"/>
    <w:multiLevelType w:val="multilevel"/>
    <w:tmpl w:val="EA52CE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9" w15:restartNumberingAfterBreak="0">
    <w:nsid w:val="1D661B83"/>
    <w:multiLevelType w:val="multilevel"/>
    <w:tmpl w:val="BF6C28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A66308"/>
    <w:multiLevelType w:val="multilevel"/>
    <w:tmpl w:val="DC08A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1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B692A"/>
    <w:multiLevelType w:val="multilevel"/>
    <w:tmpl w:val="7CA0A9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6666A1"/>
    <w:multiLevelType w:val="multilevel"/>
    <w:tmpl w:val="F8C2B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1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5842303"/>
    <w:multiLevelType w:val="multilevel"/>
    <w:tmpl w:val="CED66F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22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  <w:b w:val="0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9736D"/>
    <w:multiLevelType w:val="hybridMultilevel"/>
    <w:tmpl w:val="262266F2"/>
    <w:lvl w:ilvl="0" w:tplc="6FBAC884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B67D2A"/>
    <w:multiLevelType w:val="multilevel"/>
    <w:tmpl w:val="07A22A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 w:val="0"/>
      </w:rPr>
    </w:lvl>
  </w:abstractNum>
  <w:abstractNum w:abstractNumId="28" w15:restartNumberingAfterBreak="0">
    <w:nsid w:val="5A4549E7"/>
    <w:multiLevelType w:val="hybridMultilevel"/>
    <w:tmpl w:val="03008E46"/>
    <w:lvl w:ilvl="0" w:tplc="67E8CD00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DB07FA9"/>
    <w:multiLevelType w:val="hybridMultilevel"/>
    <w:tmpl w:val="2730CAAC"/>
    <w:lvl w:ilvl="0" w:tplc="CB040A7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27C4383"/>
    <w:multiLevelType w:val="multilevel"/>
    <w:tmpl w:val="8AB0F8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0"/>
  </w:num>
  <w:num w:numId="5">
    <w:abstractNumId w:val="7"/>
  </w:num>
  <w:num w:numId="6">
    <w:abstractNumId w:val="23"/>
  </w:num>
  <w:num w:numId="7">
    <w:abstractNumId w:val="6"/>
  </w:num>
  <w:num w:numId="8">
    <w:abstractNumId w:val="14"/>
  </w:num>
  <w:num w:numId="9">
    <w:abstractNumId w:val="1"/>
  </w:num>
  <w:num w:numId="10">
    <w:abstractNumId w:val="21"/>
  </w:num>
  <w:num w:numId="11">
    <w:abstractNumId w:val="19"/>
  </w:num>
  <w:num w:numId="12">
    <w:abstractNumId w:val="33"/>
  </w:num>
  <w:num w:numId="13">
    <w:abstractNumId w:val="11"/>
  </w:num>
  <w:num w:numId="14">
    <w:abstractNumId w:val="26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4"/>
  </w:num>
  <w:num w:numId="20">
    <w:abstractNumId w:val="16"/>
  </w:num>
  <w:num w:numId="21">
    <w:abstractNumId w:val="31"/>
  </w:num>
  <w:num w:numId="22">
    <w:abstractNumId w:val="9"/>
  </w:num>
  <w:num w:numId="23">
    <w:abstractNumId w:val="5"/>
  </w:num>
  <w:num w:numId="24">
    <w:abstractNumId w:val="15"/>
  </w:num>
  <w:num w:numId="25">
    <w:abstractNumId w:val="30"/>
  </w:num>
  <w:num w:numId="26">
    <w:abstractNumId w:val="29"/>
  </w:num>
  <w:num w:numId="27">
    <w:abstractNumId w:val="28"/>
  </w:num>
  <w:num w:numId="28">
    <w:abstractNumId w:val="17"/>
  </w:num>
  <w:num w:numId="29">
    <w:abstractNumId w:val="25"/>
  </w:num>
  <w:num w:numId="30">
    <w:abstractNumId w:val="8"/>
  </w:num>
  <w:num w:numId="31">
    <w:abstractNumId w:val="10"/>
  </w:num>
  <w:num w:numId="32">
    <w:abstractNumId w:val="22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30492"/>
    <w:rsid w:val="00046BDB"/>
    <w:rsid w:val="00060D27"/>
    <w:rsid w:val="00064258"/>
    <w:rsid w:val="000657C1"/>
    <w:rsid w:val="00065A23"/>
    <w:rsid w:val="0009300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0E69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068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184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E5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1274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27EF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0DDE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49D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42C4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6603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9B924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1048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2019-12-03T12:49:00Z</cp:lastPrinted>
  <dcterms:created xsi:type="dcterms:W3CDTF">2019-12-03T12:21:00Z</dcterms:created>
  <dcterms:modified xsi:type="dcterms:W3CDTF">2019-12-06T11:44:00Z</dcterms:modified>
</cp:coreProperties>
</file>