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E7" w:rsidRPr="00147441" w:rsidRDefault="001E712E" w:rsidP="004F4681">
      <w:pPr>
        <w:pStyle w:val="cpNzevsmlouvy"/>
        <w:spacing w:after="240"/>
        <w:rPr>
          <w:sz w:val="32"/>
          <w:szCs w:val="32"/>
        </w:rPr>
      </w:pPr>
      <w:r w:rsidRPr="00147441">
        <w:rPr>
          <w:sz w:val="32"/>
          <w:szCs w:val="32"/>
        </w:rPr>
        <w:t xml:space="preserve">Dodatek č. </w:t>
      </w:r>
      <w:r w:rsidR="00C14240">
        <w:rPr>
          <w:sz w:val="32"/>
          <w:szCs w:val="32"/>
        </w:rPr>
        <w:t>1</w:t>
      </w:r>
      <w:r w:rsidR="00250021">
        <w:rPr>
          <w:sz w:val="32"/>
          <w:szCs w:val="32"/>
        </w:rPr>
        <w:t xml:space="preserve"> </w:t>
      </w:r>
      <w:r w:rsidRPr="00147441">
        <w:rPr>
          <w:sz w:val="32"/>
          <w:szCs w:val="32"/>
        </w:rPr>
        <w:t>k</w:t>
      </w:r>
      <w:r w:rsidR="00C14240">
        <w:rPr>
          <w:sz w:val="32"/>
          <w:szCs w:val="32"/>
        </w:rPr>
        <w:t xml:space="preserve"> dohodě </w:t>
      </w:r>
      <w:r w:rsidR="005B6624">
        <w:rPr>
          <w:sz w:val="32"/>
          <w:szCs w:val="32"/>
        </w:rPr>
        <w:t xml:space="preserve">o </w:t>
      </w:r>
      <w:r w:rsidR="00C14240">
        <w:rPr>
          <w:sz w:val="32"/>
          <w:szCs w:val="32"/>
        </w:rPr>
        <w:t>bezhotovostní úhradě cen poštovn</w:t>
      </w:r>
      <w:r w:rsidR="0008106A">
        <w:rPr>
          <w:sz w:val="32"/>
          <w:szCs w:val="32"/>
        </w:rPr>
        <w:t>í</w:t>
      </w:r>
      <w:r w:rsidR="00C14240">
        <w:rPr>
          <w:sz w:val="32"/>
          <w:szCs w:val="32"/>
        </w:rPr>
        <w:t>ch služeb</w:t>
      </w:r>
      <w:r w:rsidR="005B6624">
        <w:rPr>
          <w:sz w:val="32"/>
          <w:szCs w:val="32"/>
        </w:rPr>
        <w:t xml:space="preserve"> číslo </w:t>
      </w:r>
      <w:r w:rsidR="00250021">
        <w:rPr>
          <w:sz w:val="32"/>
          <w:szCs w:val="32"/>
        </w:rPr>
        <w:t>201</w:t>
      </w:r>
      <w:r w:rsidR="00C14240">
        <w:rPr>
          <w:sz w:val="32"/>
          <w:szCs w:val="32"/>
        </w:rPr>
        <w:t>0</w:t>
      </w:r>
      <w:r w:rsidR="00250021">
        <w:rPr>
          <w:sz w:val="32"/>
          <w:szCs w:val="32"/>
        </w:rPr>
        <w:t>/1</w:t>
      </w:r>
      <w:r w:rsidR="00C14240">
        <w:rPr>
          <w:sz w:val="32"/>
          <w:szCs w:val="32"/>
        </w:rPr>
        <w:t>148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1C2D26" w:rsidRDefault="00990D34" w:rsidP="00990D34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PhDr. Petr Soldát,</w:t>
            </w:r>
            <w:r w:rsidR="00250021">
              <w:t xml:space="preserve"> </w:t>
            </w:r>
            <w:r w:rsidR="00AA1039">
              <w:t>Key Account Manager</w:t>
            </w:r>
            <w:r w:rsidR="00250021">
              <w:t xml:space="preserve"> odboru VIP </w:t>
            </w:r>
            <w:r w:rsidR="00A91E0B">
              <w:t>obchod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7565/1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410B16" w:rsidRDefault="00410B16" w:rsidP="00410B1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10B16">
              <w:rPr>
                <w:rStyle w:val="P-HEAD-WBULLETSChar"/>
                <w:rFonts w:ascii="Times New Roman" w:hAnsi="Times New Roman"/>
              </w:rPr>
              <w:t>13370084/0300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10B16" w:rsidRPr="0095032E" w:rsidTr="00C609C6">
        <w:tc>
          <w:tcPr>
            <w:tcW w:w="3528" w:type="dxa"/>
          </w:tcPr>
          <w:p w:rsidR="0063521F" w:rsidRPr="0063521F" w:rsidRDefault="00810B23" w:rsidP="00C609C6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410B16" w:rsidRPr="0095032E" w:rsidRDefault="00810B23" w:rsidP="006E3D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410B16" w:rsidRPr="0095032E" w:rsidRDefault="00810B23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410B16" w:rsidRPr="0095032E" w:rsidRDefault="00810B23" w:rsidP="00E7395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B247C7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</w:t>
            </w:r>
            <w:r w:rsidR="00410B16" w:rsidRPr="0095032E">
              <w:t>astoupen</w:t>
            </w:r>
            <w:r>
              <w:t>/jednající</w:t>
            </w:r>
            <w:r w:rsidR="00410B16" w:rsidRPr="0095032E">
              <w:t>:</w:t>
            </w:r>
          </w:p>
        </w:tc>
        <w:tc>
          <w:tcPr>
            <w:tcW w:w="6323" w:type="dxa"/>
          </w:tcPr>
          <w:p w:rsidR="00B247C7" w:rsidRPr="0095032E" w:rsidRDefault="00810B23" w:rsidP="00E10FC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410B16" w:rsidRPr="0095032E" w:rsidRDefault="00810B23" w:rsidP="00E10FC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410B16" w:rsidRPr="0095032E" w:rsidRDefault="00810B23" w:rsidP="00E03D9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  <w:p w:rsidR="00356728" w:rsidRPr="0095032E" w:rsidRDefault="00356728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</w:tcPr>
          <w:p w:rsidR="00410B16" w:rsidRDefault="00810B23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  <w:p w:rsidR="00356728" w:rsidRPr="0095032E" w:rsidRDefault="00810B23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7A0864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 w:rsidR="007A0864">
              <w:t>Objednatel</w:t>
            </w:r>
            <w:r w:rsidRPr="006A1EDF">
              <w:t>“</w:t>
            </w:r>
          </w:p>
        </w:tc>
        <w:tc>
          <w:tcPr>
            <w:tcW w:w="6323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Default="00CE5BC7" w:rsidP="001C2D26">
      <w:pPr>
        <w:spacing w:after="480"/>
      </w:pPr>
      <w:r>
        <w:t xml:space="preserve"> </w:t>
      </w:r>
    </w:p>
    <w:p w:rsidR="0035403B" w:rsidRDefault="0035403B" w:rsidP="00410B16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</w:p>
    <w:p w:rsidR="000163D8" w:rsidRDefault="000163D8" w:rsidP="001C2D26">
      <w:pPr>
        <w:spacing w:after="480"/>
      </w:pPr>
    </w:p>
    <w:p w:rsidR="00810B23" w:rsidRDefault="00810B23" w:rsidP="001C2D26">
      <w:pPr>
        <w:spacing w:after="480"/>
      </w:pPr>
    </w:p>
    <w:p w:rsidR="00810B23" w:rsidRDefault="00810B23" w:rsidP="001C2D26">
      <w:pPr>
        <w:spacing w:after="480"/>
      </w:pPr>
    </w:p>
    <w:p w:rsidR="00810B23" w:rsidRDefault="00810B23" w:rsidP="001C2D26">
      <w:pPr>
        <w:spacing w:after="480"/>
      </w:pPr>
    </w:p>
    <w:p w:rsidR="00810B23" w:rsidRPr="001C2D26" w:rsidRDefault="00810B23" w:rsidP="001C2D26">
      <w:pPr>
        <w:spacing w:after="480"/>
      </w:pPr>
    </w:p>
    <w:p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3768F1" w:rsidRPr="00C41CD7" w:rsidRDefault="005D4D7C" w:rsidP="00C41CD7">
      <w:pPr>
        <w:pStyle w:val="cpTabulkasmluvnistrany"/>
        <w:framePr w:hSpace="0" w:wrap="auto" w:vAnchor="margin" w:hAnchor="text" w:yAlign="inline"/>
        <w:numPr>
          <w:ilvl w:val="0"/>
          <w:numId w:val="45"/>
        </w:numPr>
        <w:jc w:val="center"/>
        <w:rPr>
          <w:b/>
        </w:rPr>
      </w:pPr>
      <w:r>
        <w:rPr>
          <w:b/>
        </w:rPr>
        <w:lastRenderedPageBreak/>
        <w:t>Změny Dohody</w:t>
      </w:r>
    </w:p>
    <w:p w:rsidR="003768F1" w:rsidRDefault="003768F1" w:rsidP="003768F1">
      <w:pPr>
        <w:pStyle w:val="cpTabulkasmluvnistrany"/>
        <w:framePr w:hSpace="0" w:wrap="auto" w:vAnchor="margin" w:hAnchor="text" w:yAlign="inline"/>
      </w:pPr>
      <w:r>
        <w:t>ČP a Objednatel mezi sebou uzavřeli dne 27. 1. 2011 Dohodu o bezhotovostní úhradě cen poštovních služeb Číslo 2010/1148 (dále jen „</w:t>
      </w:r>
      <w:r w:rsidRPr="003768F1">
        <w:rPr>
          <w:b/>
        </w:rPr>
        <w:t>Dohoda</w:t>
      </w:r>
      <w:r>
        <w:t>“). ČP a Objednatel se dohodli, že Dohoda se mění následovně:</w:t>
      </w:r>
    </w:p>
    <w:p w:rsidR="003768F1" w:rsidRDefault="003768F1" w:rsidP="003768F1">
      <w:pPr>
        <w:pStyle w:val="cpTabulkasmluvnistrany"/>
        <w:framePr w:hSpace="0" w:wrap="auto" w:vAnchor="margin" w:hAnchor="text" w:yAlign="inline"/>
        <w:numPr>
          <w:ilvl w:val="0"/>
          <w:numId w:val="36"/>
        </w:numPr>
      </w:pPr>
      <w:r>
        <w:t>Čl. III. Dohody se mění a nově zní takto:</w:t>
      </w:r>
    </w:p>
    <w:p w:rsidR="003768F1" w:rsidRDefault="003768F1" w:rsidP="003768F1">
      <w:pPr>
        <w:pStyle w:val="cpTabulkasmluvnistrany"/>
        <w:framePr w:hSpace="0" w:wrap="auto" w:vAnchor="margin" w:hAnchor="text" w:yAlign="inline"/>
        <w:ind w:left="720"/>
      </w:pPr>
    </w:p>
    <w:p w:rsidR="003768F1" w:rsidRPr="001C2D26" w:rsidRDefault="003768F1" w:rsidP="003768F1">
      <w:pPr>
        <w:pStyle w:val="cpTabulkasmluvnistrany"/>
        <w:framePr w:hSpace="0" w:wrap="auto" w:vAnchor="margin" w:hAnchor="text" w:yAlign="inline"/>
        <w:ind w:left="720"/>
        <w:jc w:val="center"/>
      </w:pPr>
      <w:r>
        <w:t>„</w:t>
      </w:r>
      <w:r w:rsidRPr="003768F1">
        <w:rPr>
          <w:b/>
        </w:rPr>
        <w:t>III. CENA A ZPŮSOB ÚHRADY</w:t>
      </w:r>
    </w:p>
    <w:p w:rsidR="00C14240" w:rsidRDefault="00C14240" w:rsidP="003768F1">
      <w:pPr>
        <w:pStyle w:val="cpodstavecslovan1"/>
        <w:numPr>
          <w:ilvl w:val="0"/>
          <w:numId w:val="37"/>
        </w:numPr>
      </w:pPr>
      <w:r>
        <w:t xml:space="preserve">Pokud není </w:t>
      </w:r>
      <w:r w:rsidR="003768F1">
        <w:t>mezi ČP a Objednatelem výslovně dohodnuto jinak</w:t>
      </w:r>
      <w:r>
        <w:t xml:space="preserve">, je cena za zvolenou poštovní službu účtována dle Ceníku platného v den podání. </w:t>
      </w:r>
      <w:r w:rsidR="0008106A">
        <w:t>Objednatel</w:t>
      </w:r>
      <w:r>
        <w:t xml:space="preserve"> je povinen uhradit cenu s připočítanou DPH v zákonné výši. Ceník je dostupný na všech poštách v ČR a na </w:t>
      </w:r>
      <w:r w:rsidR="003768F1">
        <w:t>i</w:t>
      </w:r>
      <w:r>
        <w:t xml:space="preserve">nternetové adrese </w:t>
      </w:r>
      <w:hyperlink r:id="rId14" w:history="1">
        <w:r w:rsidRPr="00FF3A8C">
          <w:rPr>
            <w:rStyle w:val="Hypertextovodkaz"/>
          </w:rPr>
          <w:t>http://www.ceskaposta.cz/</w:t>
        </w:r>
      </w:hyperlink>
      <w:r>
        <w:t>. ČP si vyhrazuje právo Ceník jednostranně změnit.</w:t>
      </w:r>
    </w:p>
    <w:p w:rsidR="00C14240" w:rsidRDefault="0008106A" w:rsidP="003768F1">
      <w:pPr>
        <w:pStyle w:val="cpodstavecslovan1"/>
        <w:numPr>
          <w:ilvl w:val="0"/>
          <w:numId w:val="0"/>
        </w:numPr>
        <w:ind w:left="984"/>
      </w:pPr>
      <w:r>
        <w:t>Objednatel</w:t>
      </w:r>
      <w:r w:rsidR="00C14240" w:rsidRPr="00257903">
        <w:t xml:space="preserve"> potvrzuje, že se seznámil s obsahem a významem Ceníku, že mu byl text tohoto dokumentu dostatečně vysvětlen a že výslovně s jeho zněním souhlasí. ČP </w:t>
      </w:r>
      <w:r>
        <w:t>Objednatel</w:t>
      </w:r>
      <w:r w:rsidR="00C14240" w:rsidRPr="00257903">
        <w:t xml:space="preserve"> poskytne informace o změně Ceníku, </w:t>
      </w:r>
      <w:r w:rsidR="00C14240" w:rsidRPr="008D4AEA">
        <w:t>v souladu se  zákonem č. 29/2000 Sb., o poštovních službách a o změně některých zákonů, ve znění pozdějších předpisů (dále jen „Zákon o poštovních službách“)</w:t>
      </w:r>
      <w:r w:rsidR="00C14240" w:rsidRPr="00257903">
        <w:t xml:space="preserve">, včetně informace o dni účinnosti změn, nejméně 30 dní před dnem účinnosti změn, a to zpřístupněním této informace na všech poštách v ČR a na výše uvedené internetové adrese. </w:t>
      </w:r>
    </w:p>
    <w:p w:rsidR="00C14240" w:rsidRDefault="00C14240" w:rsidP="003768F1">
      <w:pPr>
        <w:pStyle w:val="cpodstavecslovan1"/>
        <w:numPr>
          <w:ilvl w:val="0"/>
          <w:numId w:val="37"/>
        </w:numPr>
      </w:pPr>
      <w:r>
        <w:t xml:space="preserve">Podkladem pro vyúčtování je s výjimkou níže uvedených případů dekádní výkaz poštovného. Případné zjištěné rozdíly se zúčtují podle platných ustanovení Zákona o DPH formou opravných daňových dokladů. 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84"/>
      </w:pPr>
      <w:r>
        <w:t xml:space="preserve">Podkladem pro vyúčtování zásilek v případě datového podání, podání prostřednictvím aplikace Podání Online, při podání zásilek se Zákaznickou kartou a při podání prostřednictvím svozných jízd je </w:t>
      </w:r>
      <w:r w:rsidR="003768F1">
        <w:t>S</w:t>
      </w:r>
      <w:r>
        <w:t xml:space="preserve">oupis podaných zásilek. </w:t>
      </w:r>
      <w:r w:rsidR="0008106A">
        <w:t>Objednatel</w:t>
      </w:r>
      <w:r>
        <w:t xml:space="preserve"> v těchto případech dekádní výkaz poštovného nepředkládá.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00" w:firstLine="84"/>
      </w:pPr>
      <w:r>
        <w:t>Podkladem pro vyúčtování u služby Firemní psaní je „Soupis zásilek Firemní psaní“.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84"/>
      </w:pPr>
      <w:r>
        <w:t>Podkladem pro vyúčtování u služby Tisková zásilka je "Seznam svazků Tiskových zásilek podaných dne....".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84"/>
      </w:pPr>
      <w:r>
        <w:t>Podkladem pro vyúčtování u služby Obchodní psaní je "Soupis Obchodních psaní podaných dne....".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84"/>
      </w:pPr>
      <w:r>
        <w:t>Podkladem pro vyúčtování u služby Roznáška informačních/propagačních materiálů je Objednatelem odevzdaný Zakázkový list podaných informačních/propagačních materiálů nebo Objednávka RIPM nebo služby Cílený leták.</w:t>
      </w:r>
    </w:p>
    <w:p w:rsidR="00C14240" w:rsidRDefault="00C14240" w:rsidP="005D4D7C">
      <w:pPr>
        <w:pStyle w:val="cpodstavecslovan1"/>
        <w:numPr>
          <w:ilvl w:val="0"/>
          <w:numId w:val="37"/>
        </w:numPr>
      </w:pPr>
      <w:r>
        <w:t xml:space="preserve">Způsob úhrady na základě daňového dokladu vyhotoveného ČP je sjednán převodem z účtu </w:t>
      </w:r>
    </w:p>
    <w:p w:rsidR="00C14240" w:rsidRDefault="00C14240" w:rsidP="005D4D7C">
      <w:pPr>
        <w:pStyle w:val="cpodstavecslovan1"/>
        <w:numPr>
          <w:ilvl w:val="0"/>
          <w:numId w:val="37"/>
        </w:numPr>
      </w:pPr>
      <w:r w:rsidRPr="00A663E3">
        <w:t xml:space="preserve">Fakturu - daňový doklad bude ČP vystavovat měsíčně s lhůtou splatnosti </w:t>
      </w:r>
      <w:r w:rsidR="00810B23">
        <w:t>x</w:t>
      </w:r>
      <w:r w:rsidRPr="00A663E3">
        <w:t xml:space="preserve"> dní ode dne jejího vystavení.</w:t>
      </w:r>
      <w:r>
        <w:t xml:space="preserve"> </w:t>
      </w:r>
    </w:p>
    <w:p w:rsidR="00C14240" w:rsidRDefault="003D3E81" w:rsidP="003D3E81">
      <w:pPr>
        <w:pStyle w:val="cpodstavecslovan1"/>
        <w:numPr>
          <w:ilvl w:val="0"/>
          <w:numId w:val="0"/>
        </w:numPr>
        <w:tabs>
          <w:tab w:val="left" w:pos="993"/>
        </w:tabs>
        <w:ind w:left="624"/>
      </w:pPr>
      <w:r>
        <w:tab/>
      </w:r>
      <w:r w:rsidR="00C14240" w:rsidRPr="00E53522">
        <w:t xml:space="preserve">Faktury </w:t>
      </w:r>
      <w:r w:rsidR="00C14240">
        <w:t xml:space="preserve">– daňové doklady budou zasílány na adresu: </w:t>
      </w:r>
    </w:p>
    <w:p w:rsidR="00C14240" w:rsidRDefault="003D3E81" w:rsidP="005D4D7C">
      <w:pPr>
        <w:pStyle w:val="cpodstavecslovan1"/>
        <w:numPr>
          <w:ilvl w:val="0"/>
          <w:numId w:val="0"/>
        </w:numPr>
        <w:tabs>
          <w:tab w:val="left" w:pos="993"/>
        </w:tabs>
        <w:ind w:left="624" w:hanging="624"/>
      </w:pPr>
      <w:r>
        <w:rPr>
          <w:b/>
        </w:rPr>
        <w:tab/>
      </w:r>
      <w:r>
        <w:rPr>
          <w:b/>
        </w:rPr>
        <w:tab/>
      </w:r>
      <w:r w:rsidR="00810B23">
        <w:rPr>
          <w:b/>
        </w:rPr>
        <w:t>x</w:t>
      </w:r>
    </w:p>
    <w:p w:rsidR="00C14240" w:rsidRDefault="00C14240" w:rsidP="005D4D7C">
      <w:pPr>
        <w:pStyle w:val="cpodstavecslovan1"/>
        <w:numPr>
          <w:ilvl w:val="0"/>
          <w:numId w:val="0"/>
        </w:numPr>
        <w:tabs>
          <w:tab w:val="left" w:pos="708"/>
        </w:tabs>
        <w:ind w:left="624" w:firstLine="369"/>
        <w:rPr>
          <w:lang w:val="en-US"/>
        </w:rPr>
      </w:pPr>
      <w:r>
        <w:t xml:space="preserve">ID CČK složky: </w:t>
      </w:r>
      <w:r w:rsidR="00810B23">
        <w:rPr>
          <w:lang w:val="en-US"/>
        </w:rPr>
        <w:t>x</w:t>
      </w:r>
    </w:p>
    <w:p w:rsidR="00C14240" w:rsidRDefault="00C14240" w:rsidP="005D4D7C">
      <w:pPr>
        <w:pStyle w:val="cpodstavecslovan1"/>
        <w:numPr>
          <w:ilvl w:val="0"/>
          <w:numId w:val="0"/>
        </w:numPr>
        <w:ind w:left="993"/>
      </w:pPr>
      <w:r w:rsidRPr="0010164D">
        <w:t>Vystaven</w:t>
      </w:r>
      <w:r>
        <w:t>é</w:t>
      </w:r>
      <w:r w:rsidRPr="0010164D">
        <w:t xml:space="preserve"> faktur</w:t>
      </w:r>
      <w:r>
        <w:t>y</w:t>
      </w:r>
      <w:r w:rsidRPr="0010164D">
        <w:t xml:space="preserve"> bud</w:t>
      </w:r>
      <w:r>
        <w:t>ou</w:t>
      </w:r>
      <w:r w:rsidRPr="0010164D">
        <w:t xml:space="preserve"> mít náležitosti daňového dokladu dle platných právních předpisů. Nebude-li daňový doklad (vystavená faktura) obsahovat zákonem či touto </w:t>
      </w:r>
      <w:r>
        <w:t>Dohodou</w:t>
      </w:r>
      <w:r w:rsidRPr="0010164D">
        <w:t xml:space="preserve"> stanovené náležitosti, nebo v něm budou uvedeny nesprávné údaje, je </w:t>
      </w:r>
      <w:r w:rsidR="0008106A">
        <w:t>Objednatel</w:t>
      </w:r>
      <w:r w:rsidRPr="0010164D">
        <w:t xml:space="preserve"> oprávněn doklad (fakturu) vrátit zpět </w:t>
      </w:r>
      <w:r>
        <w:t>ČP</w:t>
      </w:r>
      <w:r w:rsidRPr="0010164D">
        <w:t xml:space="preserve"> s uvedením resp. vytčením chybějících náležitostí nebo nesprávných údajů.</w:t>
      </w:r>
      <w:r>
        <w:t xml:space="preserve"> ČP bude povinna následně chybějící</w:t>
      </w:r>
      <w:r w:rsidRPr="0010164D">
        <w:t xml:space="preserve"> náležitostí nebo nesprávn</w:t>
      </w:r>
      <w:r>
        <w:t>é</w:t>
      </w:r>
      <w:r w:rsidRPr="0010164D">
        <w:t xml:space="preserve"> údaj</w:t>
      </w:r>
      <w:r>
        <w:t>e doplnit, či opravit.</w:t>
      </w:r>
      <w:r w:rsidRPr="0010164D">
        <w:t xml:space="preserve"> </w:t>
      </w:r>
      <w:r>
        <w:t>Dnem d</w:t>
      </w:r>
      <w:r w:rsidRPr="0010164D">
        <w:t xml:space="preserve">oručení opraveného daňového dokladu (faktury) </w:t>
      </w:r>
      <w:r>
        <w:t>počne běžet nová lhůta splatnosti</w:t>
      </w:r>
      <w:r w:rsidRPr="0010164D">
        <w:t>.</w:t>
      </w:r>
    </w:p>
    <w:p w:rsidR="00EA15E0" w:rsidRDefault="00EA15E0" w:rsidP="005D4D7C">
      <w:pPr>
        <w:pStyle w:val="cpodstavecslovan1"/>
        <w:numPr>
          <w:ilvl w:val="0"/>
          <w:numId w:val="37"/>
        </w:numPr>
      </w:pPr>
      <w:r>
        <w:lastRenderedPageBreak/>
        <w:t>ČP</w:t>
      </w:r>
      <w:r w:rsidRPr="008A273D">
        <w:t xml:space="preserve"> tímto prohlašuje, že není nespolehlivým plátcem ve smyslu § 106a zákona č. 235/2004 Sb., o dani z přidané hodnoty, ve znění pozdějších předpisů („Zákon o DPH“) ani nespolehlivou osobou ve smyslu § 106aa Zákona o DPH. V případě, že bude správcem daně rozhodnuto o tom, že je </w:t>
      </w:r>
      <w:r>
        <w:t>ČP</w:t>
      </w:r>
      <w:r w:rsidRPr="008A273D">
        <w:t xml:space="preserve"> nespolehlivým plátcem nebo nespolehlivou osobou ve smyslu Zákona o DPH, zavazuje se </w:t>
      </w:r>
      <w:r>
        <w:t>ČP</w:t>
      </w:r>
      <w:r w:rsidRPr="008A273D">
        <w:t xml:space="preserve"> tuto skutečnost bez zbytečného odkladu oznámit </w:t>
      </w:r>
      <w:r w:rsidR="0008106A">
        <w:t>Objednateli</w:t>
      </w:r>
      <w:r w:rsidRPr="008A273D">
        <w:t xml:space="preserve">. </w:t>
      </w:r>
      <w:r>
        <w:t>ČP</w:t>
      </w:r>
      <w:r w:rsidRPr="008A273D">
        <w:t xml:space="preserve"> tímto dále prohlašuje, že z </w:t>
      </w:r>
      <w:r>
        <w:t>její</w:t>
      </w:r>
      <w:r w:rsidRPr="008A273D">
        <w:t xml:space="preserve"> strany nedošlo k porušení jakékoliv povinnosti stanovené Zákonem o DPH, která by mohla vést k ručení </w:t>
      </w:r>
      <w:r w:rsidR="0008106A">
        <w:t>Objednatele</w:t>
      </w:r>
      <w:r>
        <w:t xml:space="preserve"> </w:t>
      </w:r>
      <w:r w:rsidRPr="008A273D">
        <w:t xml:space="preserve">za nezaplacenou daň podle ustanovení § 109 Zákona o DPH. </w:t>
      </w:r>
      <w:r>
        <w:t>ČP</w:t>
      </w:r>
      <w:r w:rsidRPr="008A273D">
        <w:t xml:space="preserve"> se zavazuje, že pokud bude hrozit nebo dokonce dojde k porušení jakékoliv povinnosti </w:t>
      </w:r>
      <w:r>
        <w:t>ČP</w:t>
      </w:r>
      <w:r w:rsidRPr="008A273D">
        <w:t xml:space="preserve">, která by mohla vést k ručení </w:t>
      </w:r>
      <w:r w:rsidR="0008106A">
        <w:t>Objednatele</w:t>
      </w:r>
      <w:r>
        <w:t xml:space="preserve"> </w:t>
      </w:r>
      <w:r w:rsidRPr="008A273D">
        <w:t xml:space="preserve">za nezaplacenou daň podle Zákona o DPH, oznámí tuto skutečnost bez zbytečného odkladu </w:t>
      </w:r>
      <w:r w:rsidR="0008106A">
        <w:t>Objednateli</w:t>
      </w:r>
      <w:r w:rsidRPr="008A273D">
        <w:t>.</w:t>
      </w:r>
    </w:p>
    <w:p w:rsidR="00EA15E0" w:rsidRPr="00DD11D2" w:rsidRDefault="00EA15E0" w:rsidP="005D4D7C">
      <w:pPr>
        <w:pStyle w:val="cpodstavecslovan1"/>
        <w:numPr>
          <w:ilvl w:val="0"/>
          <w:numId w:val="0"/>
        </w:numPr>
        <w:ind w:left="984"/>
      </w:pPr>
      <w:r w:rsidRPr="008A273D">
        <w:t xml:space="preserve">Veškeré platby uskutečněné podle této </w:t>
      </w:r>
      <w:r w:rsidR="003D3E81">
        <w:t>Dohody</w:t>
      </w:r>
      <w:r w:rsidR="003D3E81" w:rsidRPr="008A273D">
        <w:t xml:space="preserve"> </w:t>
      </w:r>
      <w:r w:rsidR="0008106A">
        <w:t>Objednatel</w:t>
      </w:r>
      <w:r w:rsidR="003D3E81">
        <w:t>e</w:t>
      </w:r>
      <w:r w:rsidR="0008106A">
        <w:t>m</w:t>
      </w:r>
      <w:r>
        <w:t xml:space="preserve"> </w:t>
      </w:r>
      <w:r w:rsidRPr="008A273D">
        <w:t xml:space="preserve">ve prospěch </w:t>
      </w:r>
      <w:r>
        <w:t>ČP</w:t>
      </w:r>
      <w:r w:rsidRPr="008A273D">
        <w:t xml:space="preserve"> budou provedeny na účet </w:t>
      </w:r>
      <w:r>
        <w:t>ČP</w:t>
      </w:r>
      <w:r w:rsidRPr="008A273D">
        <w:t xml:space="preserve"> uvedený v záhlaví této </w:t>
      </w:r>
      <w:r w:rsidR="003D3E81">
        <w:t>Dohody</w:t>
      </w:r>
      <w:r w:rsidRPr="008A273D">
        <w:t xml:space="preserve">, který je registrován správcem daně a o němž </w:t>
      </w:r>
      <w:r>
        <w:t>ČP</w:t>
      </w:r>
      <w:r w:rsidRPr="008A273D">
        <w:t xml:space="preserve"> prohlašuje, že nejde o účet ve smyslu § 109 odst. 2 písm. b) nebo c</w:t>
      </w:r>
      <w:r w:rsidR="00D45CD1">
        <w:t>) Zákona o DPH</w:t>
      </w:r>
      <w:r w:rsidR="003D3E81">
        <w:t>.“</w:t>
      </w:r>
    </w:p>
    <w:p w:rsidR="00A81DFE" w:rsidRDefault="00C14240" w:rsidP="00FA5EC2">
      <w:pPr>
        <w:pStyle w:val="cpodstavecslovan1"/>
        <w:numPr>
          <w:ilvl w:val="0"/>
          <w:numId w:val="0"/>
        </w:numPr>
      </w:pPr>
      <w:r w:rsidRPr="00E9338A" w:rsidDel="00C14240">
        <w:t xml:space="preserve"> </w:t>
      </w:r>
    </w:p>
    <w:p w:rsidR="00A81DFE" w:rsidRDefault="003D3E81" w:rsidP="005D4D7C">
      <w:pPr>
        <w:pStyle w:val="cpTabulkasmluvnistrany"/>
        <w:framePr w:hSpace="0" w:wrap="auto" w:vAnchor="margin" w:hAnchor="text" w:yAlign="inline"/>
        <w:numPr>
          <w:ilvl w:val="0"/>
          <w:numId w:val="36"/>
        </w:numPr>
      </w:pPr>
      <w:r>
        <w:t>Čl. IV. Dohody se mění a nově zní takto:</w:t>
      </w:r>
    </w:p>
    <w:p w:rsidR="003D3E81" w:rsidRPr="001C2D26" w:rsidRDefault="003D3E81" w:rsidP="003D3E81">
      <w:pPr>
        <w:pStyle w:val="cpTabulkasmluvnistrany"/>
        <w:framePr w:hSpace="0" w:wrap="auto" w:vAnchor="margin" w:hAnchor="text" w:yAlign="inline"/>
        <w:ind w:left="720"/>
        <w:jc w:val="center"/>
      </w:pPr>
      <w:r>
        <w:t>„</w:t>
      </w:r>
      <w:r w:rsidRPr="003768F1">
        <w:rPr>
          <w:b/>
        </w:rPr>
        <w:t>I</w:t>
      </w:r>
      <w:r>
        <w:rPr>
          <w:b/>
        </w:rPr>
        <w:t>V</w:t>
      </w:r>
      <w:r w:rsidRPr="003768F1">
        <w:rPr>
          <w:b/>
        </w:rPr>
        <w:t xml:space="preserve">. </w:t>
      </w:r>
      <w:r>
        <w:rPr>
          <w:b/>
        </w:rPr>
        <w:t>OSTATNÍ UJEDNÁNÍ</w:t>
      </w:r>
    </w:p>
    <w:p w:rsidR="005935B8" w:rsidRDefault="0008106A" w:rsidP="005D4D7C">
      <w:pPr>
        <w:pStyle w:val="cpodstavecslovan1"/>
        <w:numPr>
          <w:ilvl w:val="0"/>
          <w:numId w:val="44"/>
        </w:numPr>
        <w:ind w:left="1134" w:hanging="425"/>
      </w:pPr>
      <w:r>
        <w:t>Objednatel</w:t>
      </w:r>
      <w:r w:rsidR="005935B8">
        <w:t xml:space="preserve"> i ČP jsou povinni včas písemně oznámit druhé Straně Dohody veškeré změny týkající se účtu u peněžního ústavu, názvu, označení, sídla nebo organizačních změn, které mají vztah k úhradě z účtu, jakož i další okolnosti, které mohou mít vliv na plnění této Dohody.</w:t>
      </w:r>
    </w:p>
    <w:p w:rsidR="005935B8" w:rsidRDefault="005935B8" w:rsidP="005D4D7C">
      <w:pPr>
        <w:pStyle w:val="cpodstavecslovan1"/>
        <w:numPr>
          <w:ilvl w:val="0"/>
          <w:numId w:val="44"/>
        </w:numPr>
        <w:ind w:left="1134" w:hanging="425"/>
      </w:pPr>
      <w:r>
        <w:t xml:space="preserve">Kontaktními osobami za </w:t>
      </w:r>
      <w:r w:rsidR="0008106A">
        <w:t>Objednatel</w:t>
      </w:r>
      <w:r w:rsidR="003D3E81">
        <w:t>e</w:t>
      </w:r>
      <w:r>
        <w:t xml:space="preserve"> jsou (jméno, tel., e-mail, popř. fax):</w:t>
      </w:r>
    </w:p>
    <w:p w:rsidR="005935B8" w:rsidRDefault="00810B23" w:rsidP="003D3E81">
      <w:pPr>
        <w:pStyle w:val="cpodstavecslovan1"/>
        <w:numPr>
          <w:ilvl w:val="0"/>
          <w:numId w:val="35"/>
        </w:numPr>
        <w:ind w:hanging="210"/>
      </w:pPr>
      <w:r>
        <w:t>x</w:t>
      </w:r>
    </w:p>
    <w:p w:rsidR="005935B8" w:rsidRDefault="005D4D7C" w:rsidP="005935B8">
      <w:pPr>
        <w:pStyle w:val="cpodstavecslovan1"/>
        <w:numPr>
          <w:ilvl w:val="0"/>
          <w:numId w:val="35"/>
        </w:numPr>
        <w:ind w:left="1418" w:hanging="284"/>
      </w:pPr>
      <w:r>
        <w:t xml:space="preserve">Jak uvedeno v </w:t>
      </w:r>
      <w:r w:rsidR="005935B8">
        <w:t>Přílo</w:t>
      </w:r>
      <w:r>
        <w:t>ze</w:t>
      </w:r>
      <w:r w:rsidR="005935B8">
        <w:t xml:space="preserve"> č. 2 Seznam pracovišť a kontakty </w:t>
      </w:r>
      <w:r w:rsidR="0008106A">
        <w:t>Objednatele</w:t>
      </w:r>
      <w:r w:rsidR="005935B8">
        <w:t xml:space="preserve"> a podacích míst České pošty,s.p.</w:t>
      </w:r>
    </w:p>
    <w:p w:rsidR="003D3E81" w:rsidRDefault="003D3E81" w:rsidP="005935B8">
      <w:pPr>
        <w:pStyle w:val="cpodstavecslovan1"/>
        <w:numPr>
          <w:ilvl w:val="0"/>
          <w:numId w:val="0"/>
        </w:numPr>
        <w:ind w:left="624"/>
      </w:pPr>
    </w:p>
    <w:p w:rsidR="005935B8" w:rsidRDefault="005935B8" w:rsidP="005D4D7C">
      <w:pPr>
        <w:pStyle w:val="cpodstavecslovan1"/>
        <w:numPr>
          <w:ilvl w:val="0"/>
          <w:numId w:val="0"/>
        </w:numPr>
        <w:ind w:left="1050" w:firstLine="84"/>
      </w:pPr>
      <w:r w:rsidRPr="00EC1BFE">
        <w:t>Kontaktními osobami za ČP jsou (jméno, pozice, tel., e-mail, popř. fax):</w:t>
      </w:r>
    </w:p>
    <w:p w:rsidR="005935B8" w:rsidRDefault="005935B8" w:rsidP="005935B8">
      <w:pPr>
        <w:pStyle w:val="cpodstavecslovan1"/>
        <w:numPr>
          <w:ilvl w:val="0"/>
          <w:numId w:val="20"/>
        </w:numPr>
        <w:ind w:left="1418" w:hanging="284"/>
      </w:pPr>
      <w:r>
        <w:t>PhDr. Petr Soldát, Key Account Manager, tel</w:t>
      </w:r>
      <w:r w:rsidRPr="00A6748C">
        <w:t xml:space="preserve">: </w:t>
      </w:r>
      <w:r w:rsidRPr="00687A72">
        <w:t>605 225</w:t>
      </w:r>
      <w:r>
        <w:t> </w:t>
      </w:r>
      <w:r w:rsidRPr="00687A72">
        <w:t>234</w:t>
      </w:r>
      <w:r>
        <w:t xml:space="preserve"> </w:t>
      </w:r>
    </w:p>
    <w:p w:rsidR="005935B8" w:rsidRDefault="005D4D7C" w:rsidP="005935B8">
      <w:pPr>
        <w:pStyle w:val="cpodstavecslovan1"/>
        <w:numPr>
          <w:ilvl w:val="0"/>
          <w:numId w:val="20"/>
        </w:numPr>
        <w:ind w:left="1418" w:hanging="284"/>
      </w:pPr>
      <w:r>
        <w:t xml:space="preserve">Jak uvedeno v Příloze </w:t>
      </w:r>
      <w:r w:rsidR="005935B8">
        <w:t xml:space="preserve">č. 2 Seznam pracovišť a kontakty </w:t>
      </w:r>
      <w:r w:rsidR="0008106A">
        <w:t>Objednatele</w:t>
      </w:r>
      <w:r w:rsidR="005935B8">
        <w:t xml:space="preserve"> a podacích míst České pošty,s.p.</w:t>
      </w:r>
    </w:p>
    <w:p w:rsidR="005935B8" w:rsidRDefault="005935B8" w:rsidP="00C41CD7">
      <w:pPr>
        <w:pStyle w:val="cpodstavecslovan1"/>
        <w:numPr>
          <w:ilvl w:val="0"/>
          <w:numId w:val="44"/>
        </w:numPr>
      </w:pPr>
      <w:r w:rsidRPr="004761F6">
        <w:t>O všech změnách kontaktních osob a spojení, kte</w:t>
      </w:r>
      <w:r>
        <w:t xml:space="preserve">ré jsou uvedeny </w:t>
      </w:r>
      <w:r w:rsidR="00D45CD1">
        <w:t>v</w:t>
      </w:r>
      <w:r w:rsidR="005D4D7C">
        <w:t> článku II: odst. 4 a čl. IV, odst. 2</w:t>
      </w:r>
      <w:r w:rsidRPr="004761F6">
        <w:t xml:space="preserve"> se budou strany Dohody neprodleně písemně informov</w:t>
      </w:r>
      <w:r>
        <w:t>at. Tyto změny nejsou důvodem k </w:t>
      </w:r>
      <w:r w:rsidRPr="004761F6">
        <w:t>sepsání Dodatku.</w:t>
      </w:r>
    </w:p>
    <w:p w:rsidR="005935B8" w:rsidRDefault="005935B8" w:rsidP="00C41CD7">
      <w:pPr>
        <w:pStyle w:val="cpodstavecslovan1"/>
        <w:numPr>
          <w:ilvl w:val="0"/>
          <w:numId w:val="44"/>
        </w:numPr>
      </w:pPr>
      <w:r w:rsidRPr="00215724">
        <w:t>Ochrana osobních údajů</w:t>
      </w:r>
    </w:p>
    <w:p w:rsidR="005935B8" w:rsidRDefault="005935B8" w:rsidP="005D4D7C">
      <w:pPr>
        <w:pStyle w:val="cpodstavecslovan1"/>
        <w:numPr>
          <w:ilvl w:val="0"/>
          <w:numId w:val="0"/>
        </w:numPr>
        <w:ind w:left="709"/>
      </w:pPr>
      <w:r w:rsidRPr="00856A3B">
        <w:t xml:space="preserve">ČP jako správce zpracovává osobní údaje </w:t>
      </w:r>
      <w:r w:rsidR="0008106A">
        <w:t>Objednatele</w:t>
      </w:r>
      <w:r w:rsidRPr="00856A3B">
        <w:t xml:space="preserve">, je-li </w:t>
      </w:r>
      <w:r w:rsidR="0008106A">
        <w:t>Objednatel</w:t>
      </w:r>
      <w:r w:rsidR="005D4D7C">
        <w:t>e</w:t>
      </w:r>
      <w:r w:rsidR="0008106A">
        <w:t>m</w:t>
      </w:r>
      <w:r w:rsidRPr="00856A3B">
        <w:t xml:space="preserve"> fyzická osoba, a osobní údaje jeho kontaktních osob poskytnuté v této Dohodě,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 </w:t>
      </w:r>
      <w:r w:rsidR="0008106A">
        <w:t>Objednatel</w:t>
      </w:r>
      <w:r w:rsidRPr="00856A3B">
        <w:t xml:space="preserve"> je povinen informovat obdobně fyzické osoby, jejichž osobní údaje pro účely související s plněním této Dohody ČP předává.</w:t>
      </w:r>
      <w:r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15" w:history="1">
        <w:r w:rsidR="00D45CD1" w:rsidRPr="00BD0736">
          <w:rPr>
            <w:rStyle w:val="Hypertextovodkaz"/>
          </w:rPr>
          <w:t>www.ceskaposta.cz</w:t>
        </w:r>
      </w:hyperlink>
      <w:r>
        <w:t>.</w:t>
      </w:r>
      <w:r w:rsidR="005D4D7C">
        <w:t>“</w:t>
      </w:r>
    </w:p>
    <w:p w:rsidR="00D45CD1" w:rsidRPr="00C41CD7" w:rsidRDefault="005D4D7C" w:rsidP="00C41CD7">
      <w:pPr>
        <w:pStyle w:val="cplnekslovan"/>
        <w:numPr>
          <w:ilvl w:val="0"/>
          <w:numId w:val="36"/>
        </w:numPr>
        <w:jc w:val="both"/>
        <w:rPr>
          <w:b w:val="0"/>
        </w:rPr>
      </w:pPr>
      <w:r>
        <w:rPr>
          <w:b w:val="0"/>
        </w:rPr>
        <w:lastRenderedPageBreak/>
        <w:t xml:space="preserve">Příloha č. 2 Dohody se mění. Nové znění </w:t>
      </w:r>
      <w:r w:rsidR="00D45CD1" w:rsidRPr="00C41CD7">
        <w:rPr>
          <w:b w:val="0"/>
        </w:rPr>
        <w:t>Přílohy č.</w:t>
      </w:r>
      <w:r w:rsidRPr="00C41CD7">
        <w:rPr>
          <w:b w:val="0"/>
        </w:rPr>
        <w:t xml:space="preserve"> </w:t>
      </w:r>
      <w:r w:rsidR="00C110C4" w:rsidRPr="00C41CD7">
        <w:rPr>
          <w:b w:val="0"/>
        </w:rPr>
        <w:t>2</w:t>
      </w:r>
      <w:r w:rsidR="00D45CD1" w:rsidRPr="00C41CD7">
        <w:rPr>
          <w:b w:val="0"/>
        </w:rPr>
        <w:t xml:space="preserve"> </w:t>
      </w:r>
      <w:r w:rsidR="0008106A" w:rsidRPr="00C41CD7">
        <w:rPr>
          <w:b w:val="0"/>
        </w:rPr>
        <w:t>je přílohou tohoto dodatku.</w:t>
      </w:r>
    </w:p>
    <w:p w:rsidR="005935B8" w:rsidRPr="00B27BC8" w:rsidRDefault="005935B8" w:rsidP="00FA5EC2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9E63B7" w:rsidP="00C41CD7">
      <w:pPr>
        <w:pStyle w:val="cplnekslovan"/>
        <w:numPr>
          <w:ilvl w:val="0"/>
          <w:numId w:val="45"/>
        </w:numPr>
      </w:pPr>
      <w:r>
        <w:t>Z</w:t>
      </w:r>
      <w:r w:rsidR="001C2D26" w:rsidRPr="00A05A24">
        <w:t>ávěrečná ustanovení</w:t>
      </w:r>
    </w:p>
    <w:p w:rsidR="001E712E" w:rsidRDefault="001E712E" w:rsidP="00C41CD7">
      <w:pPr>
        <w:pStyle w:val="cpodstavecslovan1"/>
        <w:numPr>
          <w:ilvl w:val="1"/>
          <w:numId w:val="44"/>
        </w:numPr>
        <w:ind w:hanging="1298"/>
      </w:pPr>
      <w:r w:rsidRPr="00B27BC8">
        <w:t xml:space="preserve">Ostatní ujednání </w:t>
      </w:r>
      <w:r w:rsidR="005D4D7C">
        <w:t>Dohody</w:t>
      </w:r>
      <w:r w:rsidR="005D4D7C" w:rsidRPr="00B27BC8">
        <w:t xml:space="preserve"> </w:t>
      </w:r>
      <w:r w:rsidRPr="00B27BC8">
        <w:t xml:space="preserve">se nemění a zůstávají nadále v </w:t>
      </w:r>
      <w:r w:rsidR="00E9338A">
        <w:t>účinnosti</w:t>
      </w:r>
      <w:r w:rsidRPr="00B27BC8">
        <w:t>.</w:t>
      </w:r>
    </w:p>
    <w:p w:rsidR="001E712E" w:rsidRDefault="005D4D7C" w:rsidP="00C41CD7">
      <w:pPr>
        <w:pStyle w:val="cpodstavecslovan1"/>
        <w:numPr>
          <w:ilvl w:val="0"/>
          <w:numId w:val="0"/>
        </w:numPr>
        <w:ind w:firstLine="142"/>
        <w:rPr>
          <w:rStyle w:val="P-HEAD-WBULLETSChar"/>
          <w:rFonts w:ascii="Times New Roman" w:hAnsi="Times New Roman"/>
        </w:rPr>
      </w:pPr>
      <w:r>
        <w:t>2.</w:t>
      </w:r>
      <w:r>
        <w:tab/>
      </w:r>
      <w:r w:rsidR="00264D43">
        <w:t>Dodatek č.</w:t>
      </w:r>
      <w:r w:rsidR="009A0231">
        <w:t xml:space="preserve"> </w:t>
      </w:r>
      <w:r w:rsidR="005935B8">
        <w:t>1</w:t>
      </w:r>
      <w:r w:rsidR="001E712E" w:rsidRPr="00B27BC8">
        <w:t xml:space="preserve"> nabývá platnosti dnem podpisu</w:t>
      </w:r>
      <w:r w:rsidR="009E63B7">
        <w:t xml:space="preserve"> oběma smluvními stranami</w:t>
      </w:r>
      <w:r w:rsidR="001C2D26" w:rsidRPr="00B27BC8">
        <w:t xml:space="preserve"> </w:t>
      </w:r>
      <w:r>
        <w:t>Dohody</w:t>
      </w:r>
      <w:r w:rsidRPr="00B27BC8">
        <w:t xml:space="preserve"> </w:t>
      </w:r>
      <w:r w:rsidR="001C2D26" w:rsidRPr="00B27BC8">
        <w:t>a </w:t>
      </w:r>
      <w:r w:rsidR="001E712E" w:rsidRPr="00B27BC8">
        <w:t>účinnosti dnem</w:t>
      </w:r>
      <w:r>
        <w:t xml:space="preserve"> </w:t>
      </w:r>
      <w:r>
        <w:tab/>
      </w:r>
      <w:r w:rsidR="007A1190" w:rsidRPr="00264D43">
        <w:t>1</w:t>
      </w:r>
      <w:r w:rsidR="00315DE5" w:rsidRPr="00C41CD7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 xml:space="preserve"> </w:t>
      </w:r>
      <w:r w:rsidR="007A1190" w:rsidRPr="00C41CD7">
        <w:rPr>
          <w:rStyle w:val="P-HEAD-WBULLETSChar"/>
          <w:rFonts w:ascii="Times New Roman" w:hAnsi="Times New Roman"/>
        </w:rPr>
        <w:t>1</w:t>
      </w:r>
      <w:r w:rsidR="002C0523" w:rsidRPr="00C41CD7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 xml:space="preserve"> </w:t>
      </w:r>
      <w:r w:rsidR="007A1190" w:rsidRPr="00C41CD7">
        <w:rPr>
          <w:rStyle w:val="P-HEAD-WBULLETSChar"/>
          <w:rFonts w:ascii="Times New Roman" w:hAnsi="Times New Roman"/>
        </w:rPr>
        <w:t>201</w:t>
      </w:r>
      <w:r w:rsidR="00990D34" w:rsidRPr="00C41CD7">
        <w:rPr>
          <w:rStyle w:val="P-HEAD-WBULLETSChar"/>
          <w:rFonts w:ascii="Times New Roman" w:hAnsi="Times New Roman"/>
        </w:rPr>
        <w:t>9</w:t>
      </w:r>
      <w:r w:rsidR="004E4591" w:rsidRPr="00C41CD7">
        <w:rPr>
          <w:rStyle w:val="P-HEAD-WBULLETSChar"/>
          <w:rFonts w:ascii="Times New Roman" w:hAnsi="Times New Roman"/>
        </w:rPr>
        <w:t>.</w:t>
      </w:r>
    </w:p>
    <w:p w:rsidR="001E712E" w:rsidRDefault="009E63B7" w:rsidP="00C41CD7">
      <w:pPr>
        <w:pStyle w:val="cpodstavecslovan1"/>
        <w:numPr>
          <w:ilvl w:val="0"/>
          <w:numId w:val="47"/>
        </w:numPr>
        <w:ind w:left="709" w:hanging="567"/>
      </w:pPr>
      <w:r>
        <w:t>Dodatek</w:t>
      </w:r>
      <w:r w:rsidR="001E712E" w:rsidRPr="00B27BC8">
        <w:t xml:space="preserve"> </w:t>
      </w:r>
      <w:r w:rsidR="004E4591" w:rsidRPr="00B27BC8">
        <w:t>je sepsán</w:t>
      </w:r>
      <w:r w:rsidR="001E712E" w:rsidRPr="00B27BC8">
        <w:t xml:space="preserve"> ve </w:t>
      </w:r>
      <w:r>
        <w:t>dvou</w:t>
      </w:r>
      <w:r w:rsidR="001E712E" w:rsidRPr="00B27BC8">
        <w:t xml:space="preserve"> vyhotoveních s platností originálu, z nichž každá ze stran obdrží po </w:t>
      </w:r>
      <w:r w:rsidR="002C0523">
        <w:t>jednom</w:t>
      </w:r>
      <w:r w:rsidR="001E712E" w:rsidRPr="00B27BC8">
        <w:t xml:space="preserve"> výti</w:t>
      </w:r>
      <w:r w:rsidR="002C0523">
        <w:t>sku.</w:t>
      </w:r>
    </w:p>
    <w:p w:rsidR="005D4D7C" w:rsidRPr="00C41CD7" w:rsidRDefault="005D4D7C" w:rsidP="00C41CD7">
      <w:pPr>
        <w:pStyle w:val="cpodstavecslovan1"/>
        <w:numPr>
          <w:ilvl w:val="0"/>
          <w:numId w:val="47"/>
        </w:numPr>
        <w:ind w:left="709" w:hanging="567"/>
      </w:pPr>
      <w:r>
        <w:t>Tento dodatek a</w:t>
      </w:r>
      <w:r w:rsidRPr="00C41CD7">
        <w:t xml:space="preserve"> Dohoda bud</w:t>
      </w:r>
      <w:r>
        <w:t>ou</w:t>
      </w:r>
      <w:r w:rsidRPr="00C41CD7">
        <w:t xml:space="preserve"> uveřejněn</w:t>
      </w:r>
      <w:r>
        <w:t>y</w:t>
      </w:r>
      <w:r w:rsidRPr="00C41CD7">
        <w:t xml:space="preserve"> v registru smluv dle zákona č. 340/2015 Sb., o zvláštních podmínkách účinnosti některých smluv, uveřejňování těchto smluv a o registru smluv (zákon o registru smluv). Dle dohody stran tohoto dodatku zajistí odeslání </w:t>
      </w:r>
      <w:r>
        <w:t>tohoto dodatku a</w:t>
      </w:r>
      <w:r w:rsidRPr="00C41CD7">
        <w:t xml:space="preserve"> Dohody správci registru smluv ČP. ČP je oprávněna před odesláním </w:t>
      </w:r>
      <w:r>
        <w:t>tohoto dodatku a</w:t>
      </w:r>
      <w:r w:rsidRPr="00A862B2">
        <w:t xml:space="preserve"> </w:t>
      </w:r>
      <w:r w:rsidRPr="00C41CD7">
        <w:t>Dohody správci registru smluv v</w:t>
      </w:r>
      <w:r>
        <w:t xml:space="preserve"> tomto dodatku a </w:t>
      </w:r>
      <w:r w:rsidRPr="00C41CD7">
        <w:t>Dohodě znečitelnit informace, na něž se nevztahuje uveřejňovací povinnost podle zákona o registru smluv.</w:t>
      </w:r>
    </w:p>
    <w:p w:rsidR="005D4D7C" w:rsidRDefault="005D4D7C" w:rsidP="00C41CD7">
      <w:pPr>
        <w:pStyle w:val="cpodstavecslovan1"/>
        <w:numPr>
          <w:ilvl w:val="0"/>
          <w:numId w:val="0"/>
        </w:numPr>
        <w:ind w:left="709"/>
      </w:pPr>
    </w:p>
    <w:p w:rsidR="00003FAF" w:rsidRPr="00B27BC8" w:rsidRDefault="00003FAF" w:rsidP="00003FAF">
      <w:pPr>
        <w:pStyle w:val="cpodstavecslovan1"/>
        <w:numPr>
          <w:ilvl w:val="0"/>
          <w:numId w:val="0"/>
        </w:numPr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6"/>
        <w:gridCol w:w="4822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7A11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9E63B7">
              <w:t>Praze</w:t>
            </w:r>
            <w:r>
              <w:t xml:space="preserve"> dne</w:t>
            </w:r>
          </w:p>
        </w:tc>
        <w:tc>
          <w:tcPr>
            <w:tcW w:w="4889" w:type="dxa"/>
          </w:tcPr>
          <w:p w:rsidR="001C2D26" w:rsidRDefault="001C2D26" w:rsidP="007A11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4E4591">
              <w:t>Praze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D912B3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D912B3">
              <w:t>Objednatele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11207" w:rsidRDefault="00990D34" w:rsidP="0051120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PhDr. Petr Soldát</w:t>
            </w:r>
          </w:p>
          <w:p w:rsidR="001C2D26" w:rsidRDefault="00AA1039" w:rsidP="00AA1039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Key Account Manager </w:t>
            </w:r>
            <w:r w:rsidR="00D912B3">
              <w:t xml:space="preserve">odboru VIP </w:t>
            </w:r>
            <w:r w:rsidR="00A91E0B">
              <w:t>obchod</w:t>
            </w: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11207" w:rsidRDefault="00810B23" w:rsidP="001C2D26">
            <w:pPr>
              <w:pStyle w:val="cpodstavecslovan1"/>
              <w:numPr>
                <w:ilvl w:val="0"/>
                <w:numId w:val="0"/>
              </w:numPr>
            </w:pPr>
            <w:r>
              <w:t>x</w:t>
            </w:r>
            <w:bookmarkStart w:id="0" w:name="_GoBack"/>
            <w:bookmarkEnd w:id="0"/>
          </w:p>
          <w:p w:rsidR="00511207" w:rsidRDefault="00511207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511207" w:rsidRPr="002E4508" w:rsidTr="001C2D26">
        <w:tc>
          <w:tcPr>
            <w:tcW w:w="4889" w:type="dxa"/>
          </w:tcPr>
          <w:p w:rsidR="00511207" w:rsidRDefault="00511207" w:rsidP="00EE6E6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511207" w:rsidRDefault="00511207" w:rsidP="00F4409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511207" w:rsidRPr="002E4508" w:rsidTr="001C2D26">
        <w:tc>
          <w:tcPr>
            <w:tcW w:w="4889" w:type="dxa"/>
          </w:tcPr>
          <w:p w:rsidR="00511207" w:rsidRDefault="00511207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511207" w:rsidRDefault="00511207" w:rsidP="007421F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Pr="001C2D26" w:rsidRDefault="00A91E0B" w:rsidP="001C2D26">
      <w:pPr>
        <w:pStyle w:val="P-NORMAL-TEXT"/>
        <w:jc w:val="both"/>
        <w:rPr>
          <w:rFonts w:ascii="Times New Roman" w:hAnsi="Times New Roman"/>
        </w:rPr>
      </w:pPr>
    </w:p>
    <w:sectPr w:rsidR="00A91E0B" w:rsidRPr="001C2D26" w:rsidSect="003C5B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056" w:rsidRDefault="008A1056" w:rsidP="00BB2C84">
      <w:pPr>
        <w:spacing w:after="0" w:line="240" w:lineRule="auto"/>
      </w:pPr>
      <w:r>
        <w:separator/>
      </w:r>
    </w:p>
  </w:endnote>
  <w:endnote w:type="continuationSeparator" w:id="0">
    <w:p w:rsidR="008A1056" w:rsidRDefault="008A105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C2" w:rsidRDefault="00FA5E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742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742D9" w:rsidRPr="00160A6D">
      <w:rPr>
        <w:sz w:val="18"/>
        <w:szCs w:val="18"/>
      </w:rPr>
      <w:fldChar w:fldCharType="separate"/>
    </w:r>
    <w:r w:rsidR="00810B23">
      <w:rPr>
        <w:noProof/>
        <w:sz w:val="18"/>
        <w:szCs w:val="18"/>
      </w:rPr>
      <w:t>2</w:t>
    </w:r>
    <w:r w:rsidR="000742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742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742D9" w:rsidRPr="00160A6D">
      <w:rPr>
        <w:sz w:val="18"/>
        <w:szCs w:val="18"/>
      </w:rPr>
      <w:fldChar w:fldCharType="separate"/>
    </w:r>
    <w:r w:rsidR="00810B23">
      <w:rPr>
        <w:noProof/>
        <w:sz w:val="18"/>
        <w:szCs w:val="18"/>
      </w:rPr>
      <w:t>4</w:t>
    </w:r>
    <w:r w:rsidR="000742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C2" w:rsidRDefault="00FA5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056" w:rsidRDefault="008A1056" w:rsidP="00BB2C84">
      <w:pPr>
        <w:spacing w:after="0" w:line="240" w:lineRule="auto"/>
      </w:pPr>
      <w:r>
        <w:separator/>
      </w:r>
    </w:p>
  </w:footnote>
  <w:footnote w:type="continuationSeparator" w:id="0">
    <w:p w:rsidR="008A1056" w:rsidRDefault="008A105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C2" w:rsidRDefault="00FA5E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C41CD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0742D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C02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FD4926" w:rsidP="00171D6F">
    <w:pPr>
      <w:pStyle w:val="cpNzevsmlouvy"/>
      <w:spacing w:after="240"/>
    </w:pPr>
    <w:r>
      <w:rPr>
        <w:b w:val="0"/>
        <w:noProof/>
        <w:sz w:val="22"/>
        <w:szCs w:val="22"/>
        <w:lang w:eastAsia="cs-CZ"/>
      </w:rPr>
      <w:t xml:space="preserve">     </w:t>
    </w:r>
    <w:r w:rsidR="00147441">
      <w:rPr>
        <w:b w:val="0"/>
        <w:noProof/>
        <w:sz w:val="22"/>
        <w:szCs w:val="22"/>
        <w:lang w:eastAsia="cs-CZ"/>
      </w:rPr>
      <w:t xml:space="preserve">             </w:t>
    </w:r>
    <w:r w:rsidR="00BE468F">
      <w:rPr>
        <w:b w:val="0"/>
        <w:noProof/>
        <w:sz w:val="22"/>
        <w:szCs w:val="22"/>
        <w:lang w:eastAsia="cs-CZ"/>
      </w:rPr>
      <w:t xml:space="preserve">    </w:t>
    </w:r>
    <w:r w:rsidR="001C2D26" w:rsidRPr="00147441">
      <w:rPr>
        <w:b w:val="0"/>
        <w:noProof/>
        <w:sz w:val="20"/>
        <w:szCs w:val="20"/>
        <w:lang w:eastAsia="cs-CZ"/>
      </w:rPr>
      <w:t>Dodatek č.</w:t>
    </w:r>
    <w:r w:rsidR="00410B16" w:rsidRPr="00147441">
      <w:rPr>
        <w:b w:val="0"/>
        <w:noProof/>
        <w:sz w:val="20"/>
        <w:szCs w:val="20"/>
        <w:lang w:eastAsia="cs-CZ"/>
      </w:rPr>
      <w:t xml:space="preserve"> </w:t>
    </w:r>
    <w:r w:rsidR="0008106A">
      <w:rPr>
        <w:b w:val="0"/>
        <w:noProof/>
        <w:sz w:val="20"/>
        <w:szCs w:val="20"/>
        <w:lang w:eastAsia="cs-CZ"/>
      </w:rPr>
      <w:t>1</w:t>
    </w:r>
    <w:r w:rsidR="00457552" w:rsidRPr="00147441">
      <w:rPr>
        <w:b w:val="0"/>
        <w:noProof/>
        <w:sz w:val="20"/>
        <w:szCs w:val="20"/>
        <w:lang w:eastAsia="cs-CZ"/>
      </w:rPr>
      <w:t xml:space="preserve"> k</w:t>
    </w:r>
    <w:r w:rsidR="00171D6F">
      <w:rPr>
        <w:b w:val="0"/>
        <w:noProof/>
        <w:sz w:val="20"/>
        <w:szCs w:val="20"/>
        <w:lang w:eastAsia="cs-CZ"/>
      </w:rPr>
      <w:t xml:space="preserve"> </w:t>
    </w:r>
    <w:r w:rsidR="0008106A">
      <w:rPr>
        <w:b w:val="0"/>
        <w:noProof/>
        <w:sz w:val="20"/>
        <w:szCs w:val="20"/>
        <w:lang w:eastAsia="cs-CZ"/>
      </w:rPr>
      <w:t>Dohodě o bezhotovostní úhradě</w:t>
    </w:r>
    <w:r w:rsidR="00FA5EC2">
      <w:rPr>
        <w:b w:val="0"/>
        <w:noProof/>
        <w:sz w:val="20"/>
        <w:szCs w:val="20"/>
        <w:lang w:eastAsia="cs-CZ"/>
      </w:rPr>
      <w:t xml:space="preserve"> </w:t>
    </w:r>
    <w:r w:rsidR="0008106A">
      <w:rPr>
        <w:b w:val="0"/>
        <w:noProof/>
        <w:sz w:val="20"/>
        <w:szCs w:val="20"/>
        <w:lang w:eastAsia="cs-CZ"/>
      </w:rPr>
      <w:t>cen poštovních služeb č</w:t>
    </w:r>
    <w:r w:rsidR="00171D6F">
      <w:rPr>
        <w:b w:val="0"/>
        <w:noProof/>
        <w:sz w:val="20"/>
        <w:szCs w:val="20"/>
        <w:lang w:eastAsia="cs-CZ"/>
      </w:rPr>
      <w:t>íslo 201</w:t>
    </w:r>
    <w:r w:rsidR="00FA5EC2">
      <w:rPr>
        <w:b w:val="0"/>
        <w:noProof/>
        <w:sz w:val="20"/>
        <w:szCs w:val="20"/>
        <w:lang w:eastAsia="cs-CZ"/>
      </w:rPr>
      <w:t>0</w:t>
    </w:r>
    <w:r w:rsidR="00171D6F">
      <w:rPr>
        <w:b w:val="0"/>
        <w:noProof/>
        <w:sz w:val="20"/>
        <w:szCs w:val="20"/>
        <w:lang w:eastAsia="cs-CZ"/>
      </w:rPr>
      <w:t>/</w:t>
    </w:r>
    <w:r w:rsidR="00C41CD7"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F0C">
      <w:rPr>
        <w:b w:val="0"/>
        <w:noProof/>
        <w:sz w:val="20"/>
        <w:szCs w:val="20"/>
        <w:lang w:eastAsia="cs-CZ"/>
      </w:rPr>
      <w:t>1</w:t>
    </w:r>
    <w:r w:rsidR="00FA5EC2">
      <w:rPr>
        <w:b w:val="0"/>
        <w:noProof/>
        <w:sz w:val="20"/>
        <w:szCs w:val="20"/>
        <w:lang w:eastAsia="cs-CZ"/>
      </w:rPr>
      <w:t>148</w:t>
    </w:r>
  </w:p>
  <w:p w:rsidR="001C2D26" w:rsidRPr="00BB2C84" w:rsidRDefault="00C41CD7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EC2" w:rsidRDefault="00FA5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802"/>
    <w:multiLevelType w:val="hybridMultilevel"/>
    <w:tmpl w:val="A558A12A"/>
    <w:lvl w:ilvl="0" w:tplc="3F3C2EF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33A8034D"/>
    <w:multiLevelType w:val="hybridMultilevel"/>
    <w:tmpl w:val="193C6618"/>
    <w:lvl w:ilvl="0" w:tplc="5A607D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37863C22"/>
    <w:multiLevelType w:val="hybridMultilevel"/>
    <w:tmpl w:val="7C509AD0"/>
    <w:lvl w:ilvl="0" w:tplc="0F30F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B55D2"/>
    <w:multiLevelType w:val="hybridMultilevel"/>
    <w:tmpl w:val="99D03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2ACF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C7196"/>
    <w:multiLevelType w:val="hybridMultilevel"/>
    <w:tmpl w:val="58B0BFE6"/>
    <w:lvl w:ilvl="0" w:tplc="A82AEC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5500D"/>
    <w:multiLevelType w:val="hybridMultilevel"/>
    <w:tmpl w:val="57142666"/>
    <w:lvl w:ilvl="0" w:tplc="0FC0AF72">
      <w:start w:val="1"/>
      <w:numFmt w:val="decimal"/>
      <w:lvlText w:val="%1."/>
      <w:lvlJc w:val="left"/>
      <w:pPr>
        <w:ind w:left="1416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 w15:restartNumberingAfterBreak="0">
    <w:nsid w:val="72FE4A52"/>
    <w:multiLevelType w:val="hybridMultilevel"/>
    <w:tmpl w:val="2838649C"/>
    <w:lvl w:ilvl="0" w:tplc="575AAB1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A9778E"/>
    <w:multiLevelType w:val="multilevel"/>
    <w:tmpl w:val="D1BC93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2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0"/>
  </w:num>
  <w:num w:numId="20">
    <w:abstractNumId w:val="14"/>
  </w:num>
  <w:num w:numId="21">
    <w:abstractNumId w:val="6"/>
  </w:num>
  <w:num w:numId="22">
    <w:abstractNumId w:val="13"/>
  </w:num>
  <w:num w:numId="23">
    <w:abstractNumId w:val="4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0"/>
  </w:num>
  <w:num w:numId="34">
    <w:abstractNumId w:val="13"/>
  </w:num>
  <w:num w:numId="35">
    <w:abstractNumId w:val="9"/>
  </w:num>
  <w:num w:numId="36">
    <w:abstractNumId w:val="7"/>
  </w:num>
  <w:num w:numId="37">
    <w:abstractNumId w:val="1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8"/>
  </w:num>
  <w:num w:numId="44">
    <w:abstractNumId w:val="3"/>
  </w:num>
  <w:num w:numId="45">
    <w:abstractNumId w:val="2"/>
  </w:num>
  <w:num w:numId="46">
    <w:abstractNumId w:val="13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03FAF"/>
    <w:rsid w:val="00012164"/>
    <w:rsid w:val="000163D8"/>
    <w:rsid w:val="00052E38"/>
    <w:rsid w:val="00054997"/>
    <w:rsid w:val="000742D9"/>
    <w:rsid w:val="0008106A"/>
    <w:rsid w:val="00093F59"/>
    <w:rsid w:val="000C0B03"/>
    <w:rsid w:val="000C6A07"/>
    <w:rsid w:val="000E0FB5"/>
    <w:rsid w:val="000E2816"/>
    <w:rsid w:val="001041A3"/>
    <w:rsid w:val="00142229"/>
    <w:rsid w:val="00145806"/>
    <w:rsid w:val="00147441"/>
    <w:rsid w:val="00160A6D"/>
    <w:rsid w:val="00160BAE"/>
    <w:rsid w:val="00171D6F"/>
    <w:rsid w:val="001913DD"/>
    <w:rsid w:val="001B4C99"/>
    <w:rsid w:val="001C2D26"/>
    <w:rsid w:val="001D2A7A"/>
    <w:rsid w:val="001E712E"/>
    <w:rsid w:val="001F45CA"/>
    <w:rsid w:val="001F46E3"/>
    <w:rsid w:val="001F4BA8"/>
    <w:rsid w:val="002010C1"/>
    <w:rsid w:val="00203C45"/>
    <w:rsid w:val="002235CC"/>
    <w:rsid w:val="00232CBE"/>
    <w:rsid w:val="00250021"/>
    <w:rsid w:val="002541CB"/>
    <w:rsid w:val="00264D43"/>
    <w:rsid w:val="00273D19"/>
    <w:rsid w:val="00277CAE"/>
    <w:rsid w:val="002A5F6B"/>
    <w:rsid w:val="002B1168"/>
    <w:rsid w:val="002B7742"/>
    <w:rsid w:val="002C0523"/>
    <w:rsid w:val="002C335E"/>
    <w:rsid w:val="002C5E82"/>
    <w:rsid w:val="002E440F"/>
    <w:rsid w:val="002F4621"/>
    <w:rsid w:val="00306E33"/>
    <w:rsid w:val="00315DE5"/>
    <w:rsid w:val="00316808"/>
    <w:rsid w:val="003317F4"/>
    <w:rsid w:val="0035403B"/>
    <w:rsid w:val="00355FFC"/>
    <w:rsid w:val="00356728"/>
    <w:rsid w:val="00367F2B"/>
    <w:rsid w:val="003768F1"/>
    <w:rsid w:val="00391186"/>
    <w:rsid w:val="00395BA6"/>
    <w:rsid w:val="003B5445"/>
    <w:rsid w:val="003B71ED"/>
    <w:rsid w:val="003C5BF8"/>
    <w:rsid w:val="003D3E09"/>
    <w:rsid w:val="003D3E81"/>
    <w:rsid w:val="003E0E92"/>
    <w:rsid w:val="003E1F0C"/>
    <w:rsid w:val="003E2C93"/>
    <w:rsid w:val="003E78DD"/>
    <w:rsid w:val="003F732B"/>
    <w:rsid w:val="00407DEC"/>
    <w:rsid w:val="00410B16"/>
    <w:rsid w:val="00416DB0"/>
    <w:rsid w:val="004369F2"/>
    <w:rsid w:val="004433EA"/>
    <w:rsid w:val="00457552"/>
    <w:rsid w:val="00460E56"/>
    <w:rsid w:val="004949F9"/>
    <w:rsid w:val="004A5077"/>
    <w:rsid w:val="004A766F"/>
    <w:rsid w:val="004B7636"/>
    <w:rsid w:val="004D1488"/>
    <w:rsid w:val="004E4591"/>
    <w:rsid w:val="004F4681"/>
    <w:rsid w:val="00511207"/>
    <w:rsid w:val="00517290"/>
    <w:rsid w:val="00520510"/>
    <w:rsid w:val="005746B6"/>
    <w:rsid w:val="00583355"/>
    <w:rsid w:val="005935B8"/>
    <w:rsid w:val="00596717"/>
    <w:rsid w:val="005A41F7"/>
    <w:rsid w:val="005A5625"/>
    <w:rsid w:val="005B3CE4"/>
    <w:rsid w:val="005B6624"/>
    <w:rsid w:val="005C276E"/>
    <w:rsid w:val="005D05B1"/>
    <w:rsid w:val="005D325A"/>
    <w:rsid w:val="005D4BE7"/>
    <w:rsid w:val="005D4D7C"/>
    <w:rsid w:val="005E09A4"/>
    <w:rsid w:val="005F73E1"/>
    <w:rsid w:val="00602989"/>
    <w:rsid w:val="00605406"/>
    <w:rsid w:val="00606314"/>
    <w:rsid w:val="00612237"/>
    <w:rsid w:val="00614D57"/>
    <w:rsid w:val="00625FF2"/>
    <w:rsid w:val="0063521F"/>
    <w:rsid w:val="006414F0"/>
    <w:rsid w:val="00657EB2"/>
    <w:rsid w:val="00675251"/>
    <w:rsid w:val="006A1EDF"/>
    <w:rsid w:val="006A42D7"/>
    <w:rsid w:val="006B13BF"/>
    <w:rsid w:val="006B33A3"/>
    <w:rsid w:val="006C2565"/>
    <w:rsid w:val="006C2ADC"/>
    <w:rsid w:val="006E328F"/>
    <w:rsid w:val="006E3D0C"/>
    <w:rsid w:val="006E7F15"/>
    <w:rsid w:val="006F1235"/>
    <w:rsid w:val="006F5E06"/>
    <w:rsid w:val="00702508"/>
    <w:rsid w:val="00705DEA"/>
    <w:rsid w:val="00705F10"/>
    <w:rsid w:val="00724EC4"/>
    <w:rsid w:val="00731911"/>
    <w:rsid w:val="0073595F"/>
    <w:rsid w:val="00741D12"/>
    <w:rsid w:val="00741E30"/>
    <w:rsid w:val="007421FD"/>
    <w:rsid w:val="00745F67"/>
    <w:rsid w:val="00783934"/>
    <w:rsid w:val="00786E3F"/>
    <w:rsid w:val="007A0864"/>
    <w:rsid w:val="007A1190"/>
    <w:rsid w:val="007A7EBC"/>
    <w:rsid w:val="007C378A"/>
    <w:rsid w:val="007D2C36"/>
    <w:rsid w:val="007D5574"/>
    <w:rsid w:val="007E36E6"/>
    <w:rsid w:val="007F1F39"/>
    <w:rsid w:val="00810B23"/>
    <w:rsid w:val="008148BC"/>
    <w:rsid w:val="008211EE"/>
    <w:rsid w:val="00834B01"/>
    <w:rsid w:val="008411B2"/>
    <w:rsid w:val="00846035"/>
    <w:rsid w:val="00857561"/>
    <w:rsid w:val="00857729"/>
    <w:rsid w:val="008602B5"/>
    <w:rsid w:val="008610AA"/>
    <w:rsid w:val="008A07A1"/>
    <w:rsid w:val="008A08ED"/>
    <w:rsid w:val="008A1056"/>
    <w:rsid w:val="008A4ACF"/>
    <w:rsid w:val="008B04ED"/>
    <w:rsid w:val="008B1F85"/>
    <w:rsid w:val="008E0147"/>
    <w:rsid w:val="008E0357"/>
    <w:rsid w:val="008F40FB"/>
    <w:rsid w:val="009052A1"/>
    <w:rsid w:val="009309C8"/>
    <w:rsid w:val="00936D61"/>
    <w:rsid w:val="0095032E"/>
    <w:rsid w:val="00970928"/>
    <w:rsid w:val="00990D34"/>
    <w:rsid w:val="0099328D"/>
    <w:rsid w:val="00993718"/>
    <w:rsid w:val="009A0231"/>
    <w:rsid w:val="009D2E04"/>
    <w:rsid w:val="009E3EF0"/>
    <w:rsid w:val="009E63B7"/>
    <w:rsid w:val="00A05A24"/>
    <w:rsid w:val="00A20075"/>
    <w:rsid w:val="00A30438"/>
    <w:rsid w:val="00A3091F"/>
    <w:rsid w:val="00A40F40"/>
    <w:rsid w:val="00A47954"/>
    <w:rsid w:val="00A50C0B"/>
    <w:rsid w:val="00A56E01"/>
    <w:rsid w:val="00A773CA"/>
    <w:rsid w:val="00A77E95"/>
    <w:rsid w:val="00A81DFE"/>
    <w:rsid w:val="00A91E0B"/>
    <w:rsid w:val="00A96A52"/>
    <w:rsid w:val="00AA0618"/>
    <w:rsid w:val="00AA1039"/>
    <w:rsid w:val="00AB284E"/>
    <w:rsid w:val="00AC07A7"/>
    <w:rsid w:val="00AC66F5"/>
    <w:rsid w:val="00AC7641"/>
    <w:rsid w:val="00AE6374"/>
    <w:rsid w:val="00AE693B"/>
    <w:rsid w:val="00B0168C"/>
    <w:rsid w:val="00B247C7"/>
    <w:rsid w:val="00B27BC8"/>
    <w:rsid w:val="00B313CF"/>
    <w:rsid w:val="00B555D4"/>
    <w:rsid w:val="00B63216"/>
    <w:rsid w:val="00B65A13"/>
    <w:rsid w:val="00B663BA"/>
    <w:rsid w:val="00B66D64"/>
    <w:rsid w:val="00B808D1"/>
    <w:rsid w:val="00B87EA6"/>
    <w:rsid w:val="00BA6DF6"/>
    <w:rsid w:val="00BB2C84"/>
    <w:rsid w:val="00BD1752"/>
    <w:rsid w:val="00BD613B"/>
    <w:rsid w:val="00BD661E"/>
    <w:rsid w:val="00BE468F"/>
    <w:rsid w:val="00C110C4"/>
    <w:rsid w:val="00C1192F"/>
    <w:rsid w:val="00C14240"/>
    <w:rsid w:val="00C342D1"/>
    <w:rsid w:val="00C357EA"/>
    <w:rsid w:val="00C41149"/>
    <w:rsid w:val="00C41CD7"/>
    <w:rsid w:val="00C527C8"/>
    <w:rsid w:val="00C609C6"/>
    <w:rsid w:val="00C632A8"/>
    <w:rsid w:val="00C70DCA"/>
    <w:rsid w:val="00C7709F"/>
    <w:rsid w:val="00C86954"/>
    <w:rsid w:val="00CB1E2D"/>
    <w:rsid w:val="00CB2D35"/>
    <w:rsid w:val="00CC416D"/>
    <w:rsid w:val="00CE3998"/>
    <w:rsid w:val="00CE5BC7"/>
    <w:rsid w:val="00CF2B44"/>
    <w:rsid w:val="00D11957"/>
    <w:rsid w:val="00D33AD6"/>
    <w:rsid w:val="00D37F53"/>
    <w:rsid w:val="00D45CD1"/>
    <w:rsid w:val="00D837F0"/>
    <w:rsid w:val="00D840EA"/>
    <w:rsid w:val="00D856C6"/>
    <w:rsid w:val="00D912B3"/>
    <w:rsid w:val="00DA2C01"/>
    <w:rsid w:val="00DC5403"/>
    <w:rsid w:val="00E02AFD"/>
    <w:rsid w:val="00E03D9C"/>
    <w:rsid w:val="00E109A3"/>
    <w:rsid w:val="00E10FC1"/>
    <w:rsid w:val="00E13657"/>
    <w:rsid w:val="00E17391"/>
    <w:rsid w:val="00E17B6F"/>
    <w:rsid w:val="00E25713"/>
    <w:rsid w:val="00E5459E"/>
    <w:rsid w:val="00E6080F"/>
    <w:rsid w:val="00E608B8"/>
    <w:rsid w:val="00E7395C"/>
    <w:rsid w:val="00E75510"/>
    <w:rsid w:val="00E845AD"/>
    <w:rsid w:val="00E911EC"/>
    <w:rsid w:val="00E9338A"/>
    <w:rsid w:val="00EA15E0"/>
    <w:rsid w:val="00EC1BFE"/>
    <w:rsid w:val="00EE542C"/>
    <w:rsid w:val="00EE6E6D"/>
    <w:rsid w:val="00EE6FD2"/>
    <w:rsid w:val="00EF676A"/>
    <w:rsid w:val="00F04FE0"/>
    <w:rsid w:val="00F15FA1"/>
    <w:rsid w:val="00F4409D"/>
    <w:rsid w:val="00F44F2F"/>
    <w:rsid w:val="00F47DFA"/>
    <w:rsid w:val="00F5065B"/>
    <w:rsid w:val="00F61D1B"/>
    <w:rsid w:val="00F8458D"/>
    <w:rsid w:val="00FA5EC2"/>
    <w:rsid w:val="00FC283F"/>
    <w:rsid w:val="00FC4DEA"/>
    <w:rsid w:val="00FC6791"/>
    <w:rsid w:val="00FD4926"/>
    <w:rsid w:val="00FD668D"/>
    <w:rsid w:val="00FE06C3"/>
    <w:rsid w:val="00FE4133"/>
    <w:rsid w:val="00FF723E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3CC24"/>
  <w15:chartTrackingRefBased/>
  <w15:docId w15:val="{13649E1B-F968-4A53-A095-3BA45F2B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rPr>
      <w:lang w:val="cs-CZ" w:eastAsia="cs-CZ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  <w:lang w:val="cs-CZ" w:eastAsia="cs-CZ"/>
    </w:rPr>
  </w:style>
  <w:style w:type="character" w:customStyle="1" w:styleId="P-HEAD-WBULLETSChar">
    <w:name w:val="ČP-HEAD-WBULLETS Char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410B16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 w:cs="Tahoma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C14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eskaposta.cz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ceskaposta.cz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USERNAME%">ss07596</XMLData>
</file>

<file path=customXml/item2.xml><?xml version="1.0" encoding="utf-8"?>
<XMLData TextToDisplay="%CLASSIFICATIONDATETIME%">14:50 08/10/2018</XMLData>
</file>

<file path=customXml/item3.xml><?xml version="1.0" encoding="utf-8"?>
<XMLData TextToDisplay="%EMAILADDRESS%">ss07596@imceu.eu.ssmb.com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%HOSTNAME%">H48LAFI12PS0079.eur.nsroot.net</XMLData>
</file>

<file path=customXml/item6.xml><?xml version="1.0" encoding="utf-8"?>
<XMLData TextToDisplay="RightsWATCHMark">8|CITI-No PII-Internal|{00000000-0000-0000-0000-000000000000}</XML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DCDA-8758-4404-90B5-DDFCDAAAE739}">
  <ds:schemaRefs/>
</ds:datastoreItem>
</file>

<file path=customXml/itemProps2.xml><?xml version="1.0" encoding="utf-8"?>
<ds:datastoreItem xmlns:ds="http://schemas.openxmlformats.org/officeDocument/2006/customXml" ds:itemID="{69646148-DD8E-4C36-8E0F-9E4E41F5888F}">
  <ds:schemaRefs/>
</ds:datastoreItem>
</file>

<file path=customXml/itemProps3.xml><?xml version="1.0" encoding="utf-8"?>
<ds:datastoreItem xmlns:ds="http://schemas.openxmlformats.org/officeDocument/2006/customXml" ds:itemID="{9D2BCA56-2C26-4352-B31A-A7DA23066348}">
  <ds:schemaRefs/>
</ds:datastoreItem>
</file>

<file path=customXml/itemProps4.xml><?xml version="1.0" encoding="utf-8"?>
<ds:datastoreItem xmlns:ds="http://schemas.openxmlformats.org/officeDocument/2006/customXml" ds:itemID="{3BAE6A97-06AE-4D57-8EDA-03CF828F1B49}">
  <ds:schemaRefs/>
</ds:datastoreItem>
</file>

<file path=customXml/itemProps5.xml><?xml version="1.0" encoding="utf-8"?>
<ds:datastoreItem xmlns:ds="http://schemas.openxmlformats.org/officeDocument/2006/customXml" ds:itemID="{1FF10B9F-832A-40EA-B7B3-B72908F4C505}">
  <ds:schemaRefs/>
</ds:datastoreItem>
</file>

<file path=customXml/itemProps6.xml><?xml version="1.0" encoding="utf-8"?>
<ds:datastoreItem xmlns:ds="http://schemas.openxmlformats.org/officeDocument/2006/customXml" ds:itemID="{13F5D4C4-B921-4B8A-8E27-43FD0832A0FD}">
  <ds:schemaRefs/>
</ds:datastoreItem>
</file>

<file path=customXml/itemProps7.xml><?xml version="1.0" encoding="utf-8"?>
<ds:datastoreItem xmlns:ds="http://schemas.openxmlformats.org/officeDocument/2006/customXml" ds:itemID="{E60E3823-479C-4E8A-9583-6C6A257F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4</Pages>
  <Words>1114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Název Dohody</vt:lpstr>
      <vt:lpstr>Název Dohody</vt:lpstr>
    </vt:vector>
  </TitlesOfParts>
  <Company>Česká pošta, s.p.</Company>
  <LinksUpToDate>false</LinksUpToDate>
  <CharactersWithSpaces>7672</CharactersWithSpaces>
  <SharedDoc>false</SharedDoc>
  <HLinks>
    <vt:vector size="18" baseType="variant">
      <vt:variant>
        <vt:i4>1376351</vt:i4>
      </vt:variant>
      <vt:variant>
        <vt:i4>6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8585312</vt:i4>
      </vt:variant>
      <vt:variant>
        <vt:i4>3</vt:i4>
      </vt:variant>
      <vt:variant>
        <vt:i4>0</vt:i4>
      </vt:variant>
      <vt:variant>
        <vt:i4>5</vt:i4>
      </vt:variant>
      <vt:variant>
        <vt:lpwstr>mailto:jana.kotrbatá@citi.com</vt:lpwstr>
      </vt:variant>
      <vt:variant>
        <vt:lpwstr/>
      </vt:variant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cp:lastModifiedBy>Kadeřábková Dagmar Bc.</cp:lastModifiedBy>
  <cp:revision>2</cp:revision>
  <cp:lastPrinted>2015-11-18T08:44:00Z</cp:lastPrinted>
  <dcterms:created xsi:type="dcterms:W3CDTF">2019-12-06T12:56:00Z</dcterms:created>
  <dcterms:modified xsi:type="dcterms:W3CDTF">2019-12-06T12:56:00Z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8|CITI-No PII-Internal|{00000000-0000-0000-0000-000000000000}</vt:lpwstr>
  </property>
</Properties>
</file>