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D" w:rsidRDefault="0074148D" w:rsidP="007414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Smlouva o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pro</w:t>
      </w:r>
      <w:r w:rsidRPr="00FC3DF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nájmu věcí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movitých Ples VUT 201</w:t>
      </w:r>
      <w:r w:rsidR="004334C0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9</w:t>
      </w:r>
    </w:p>
    <w:p w:rsidR="000323E4" w:rsidRPr="000323E4" w:rsidRDefault="000323E4" w:rsidP="007414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0323E4">
        <w:rPr>
          <w:rFonts w:ascii="Arial" w:eastAsia="Times New Roman" w:hAnsi="Arial" w:cs="Arial"/>
          <w:b/>
          <w:sz w:val="24"/>
          <w:szCs w:val="20"/>
          <w:lang w:eastAsia="cs-CZ"/>
        </w:rPr>
        <w:t>č. 027872/2019</w:t>
      </w:r>
    </w:p>
    <w:p w:rsidR="0074148D" w:rsidRPr="00FC3DF8" w:rsidRDefault="0074148D" w:rsidP="007414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1.</w:t>
      </w:r>
    </w:p>
    <w:p w:rsidR="0074148D" w:rsidRPr="00FC3DF8" w:rsidRDefault="0074148D" w:rsidP="007414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Účastníci smlouvy</w:t>
      </w:r>
    </w:p>
    <w:p w:rsidR="0074148D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 Smluvní strany této smlouvy, kterými </w:t>
      </w:r>
      <w:proofErr w:type="gramStart"/>
      <w:r w:rsidRPr="00FC3DF8">
        <w:rPr>
          <w:rFonts w:ascii="Arial" w:eastAsia="Times New Roman" w:hAnsi="Arial" w:cs="Arial"/>
          <w:sz w:val="20"/>
          <w:szCs w:val="20"/>
          <w:lang w:eastAsia="cs-CZ"/>
        </w:rPr>
        <w:t>jsou 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179"/>
        <w:gridCol w:w="2755"/>
        <w:gridCol w:w="1781"/>
      </w:tblGrid>
      <w:tr w:rsidR="0074148D" w:rsidRPr="00C942E3" w:rsidTr="001F092C">
        <w:tc>
          <w:tcPr>
            <w:tcW w:w="3032" w:type="dxa"/>
            <w:tcBorders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Pronajímatel</w:t>
            </w:r>
          </w:p>
        </w:tc>
        <w:tc>
          <w:tcPr>
            <w:tcW w:w="2179" w:type="dxa"/>
            <w:tcBorders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Nájemce</w:t>
            </w:r>
          </w:p>
        </w:tc>
        <w:tc>
          <w:tcPr>
            <w:tcW w:w="1781" w:type="dxa"/>
            <w:tcBorders>
              <w:left w:val="nil"/>
              <w:bottom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F092C"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  <w:r w:rsidRPr="001F0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2C">
              <w:rPr>
                <w:rFonts w:ascii="Arial" w:hAnsi="Arial" w:cs="Arial"/>
                <w:sz w:val="20"/>
                <w:szCs w:val="20"/>
              </w:rPr>
              <w:t>Lighting</w:t>
            </w:r>
            <w:proofErr w:type="spellEnd"/>
            <w:r w:rsidRPr="001F092C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05635357</w:t>
            </w:r>
          </w:p>
        </w:tc>
        <w:tc>
          <w:tcPr>
            <w:tcW w:w="2755" w:type="dxa"/>
            <w:tcBorders>
              <w:top w:val="nil"/>
              <w:bottom w:val="nil"/>
              <w:right w:val="nil"/>
            </w:tcBorders>
          </w:tcPr>
          <w:p w:rsidR="0074148D" w:rsidRPr="001F092C" w:rsidRDefault="0074148D" w:rsidP="001F09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Vysoké učení technické v Brně (VUT)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00216305</w:t>
            </w: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092C">
              <w:rPr>
                <w:rFonts w:ascii="Arial" w:hAnsi="Arial" w:cs="Arial"/>
                <w:sz w:val="20"/>
                <w:szCs w:val="20"/>
              </w:rPr>
              <w:t>Výstaviště 405/1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CZ05635357</w:t>
            </w:r>
          </w:p>
        </w:tc>
        <w:tc>
          <w:tcPr>
            <w:tcW w:w="2755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Antonínská 548/1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CZ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00216305</w:t>
            </w: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092C">
              <w:rPr>
                <w:rFonts w:ascii="Arial" w:hAnsi="Arial" w:cs="Arial"/>
                <w:sz w:val="20"/>
                <w:szCs w:val="20"/>
              </w:rPr>
              <w:t>603 00 Brno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 601 90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bottom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Zast.:Filip</w:t>
            </w:r>
            <w:proofErr w:type="gramEnd"/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Svoboda, jednatel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</w:t>
            </w:r>
            <w:proofErr w:type="spellEnd"/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 doc. Ing. Ladislav Janíček, Ph.D., MBA, LL.M., kvestor</w:t>
            </w:r>
          </w:p>
        </w:tc>
      </w:tr>
      <w:tr w:rsidR="0074148D" w:rsidRPr="00C942E3" w:rsidTr="001F092C">
        <w:tc>
          <w:tcPr>
            <w:tcW w:w="3032" w:type="dxa"/>
            <w:tcBorders>
              <w:top w:val="nil"/>
              <w:right w:val="nil"/>
            </w:tcBorders>
          </w:tcPr>
          <w:p w:rsidR="0074148D" w:rsidRPr="003A2BE5" w:rsidRDefault="003E6F61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" w:history="1">
              <w:r w:rsidR="00BE1FC0" w:rsidRPr="009D77E0">
                <w:rPr>
                  <w:rStyle w:val="Hypertextovodkaz"/>
                </w:rPr>
                <w:t>www.svetlozvuk.cz</w:t>
              </w:r>
            </w:hyperlink>
          </w:p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www.cyberlights.cz</w:t>
            </w:r>
          </w:p>
        </w:tc>
        <w:tc>
          <w:tcPr>
            <w:tcW w:w="2179" w:type="dxa"/>
            <w:tcBorders>
              <w:top w:val="nil"/>
              <w:lef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cyberlights@email.cz</w:t>
            </w:r>
          </w:p>
        </w:tc>
        <w:tc>
          <w:tcPr>
            <w:tcW w:w="2755" w:type="dxa"/>
            <w:tcBorders>
              <w:top w:val="nil"/>
              <w:right w:val="nil"/>
            </w:tcBorders>
          </w:tcPr>
          <w:p w:rsidR="0074148D" w:rsidRPr="003A2BE5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74148D" w:rsidRPr="00C942E3" w:rsidRDefault="0074148D" w:rsidP="001F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4148D" w:rsidRDefault="0074148D" w:rsidP="007414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Default="0074148D" w:rsidP="007414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dohodly, že spolu uzavřou tuto smlouvu o </w:t>
      </w:r>
      <w:r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Pr="00FC3DF8">
        <w:rPr>
          <w:rFonts w:ascii="Arial" w:eastAsia="Times New Roman" w:hAnsi="Arial" w:cs="Arial"/>
          <w:sz w:val="20"/>
          <w:szCs w:val="20"/>
          <w:lang w:eastAsia="cs-CZ"/>
        </w:rPr>
        <w:t>nájmu a projevily vůli řídit se všemi jejími ustanoveními. Otázky touto smlouvou neupravené se řídí právním řádem České republiky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4148D" w:rsidRPr="00FC3DF8" w:rsidRDefault="0074148D" w:rsidP="007414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Pr="00FC3DF8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2.</w:t>
      </w:r>
    </w:p>
    <w:p w:rsidR="0074148D" w:rsidRPr="00FC3DF8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Předmět smlouvy</w:t>
      </w:r>
    </w:p>
    <w:p w:rsidR="0074148D" w:rsidRDefault="0074148D" w:rsidP="007414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Předmětem této smlouvy je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pronájem audiovizuální techniky, jejíž úplný seznam tvoří přílohu č.1 této smlouvy včetně souvisejících služeb. </w:t>
      </w:r>
    </w:p>
    <w:p w:rsidR="0074148D" w:rsidRDefault="0074148D" w:rsidP="007414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Default="0074148D" w:rsidP="007414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místo plnění se sjednává: </w:t>
      </w:r>
      <w:r w:rsidR="004334C0">
        <w:rPr>
          <w:rFonts w:ascii="Arial" w:eastAsia="Times New Roman" w:hAnsi="Arial" w:cs="Arial"/>
          <w:sz w:val="20"/>
          <w:szCs w:val="20"/>
          <w:lang w:eastAsia="cs-CZ"/>
        </w:rPr>
        <w:t xml:space="preserve">pavilon P,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Výstaviště 405/1, 603 00 Brno – střed, </w:t>
      </w:r>
    </w:p>
    <w:p w:rsidR="0074148D" w:rsidRPr="00FC3DF8" w:rsidRDefault="0074148D" w:rsidP="007414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Pr="00FC3DF8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3.</w:t>
      </w:r>
    </w:p>
    <w:p w:rsidR="0074148D" w:rsidRPr="00FC3DF8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Doba pronájmu a cena pronájmu</w:t>
      </w:r>
    </w:p>
    <w:p w:rsidR="0074148D" w:rsidRDefault="0074148D" w:rsidP="007414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Technik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8579BC">
        <w:rPr>
          <w:rFonts w:ascii="Arial" w:eastAsia="Times New Roman" w:hAnsi="Arial" w:cs="Arial"/>
          <w:sz w:val="20"/>
          <w:szCs w:val="20"/>
          <w:lang w:eastAsia="cs-CZ"/>
        </w:rPr>
        <w:t xml:space="preserve">, která je předmětem podle této smlouvy pronajímá pronajímatel nájemci na </w:t>
      </w:r>
      <w:proofErr w:type="gramStart"/>
      <w:r w:rsidRPr="008579BC">
        <w:rPr>
          <w:rFonts w:ascii="Arial" w:eastAsia="Times New Roman" w:hAnsi="Arial" w:cs="Arial"/>
          <w:sz w:val="20"/>
          <w:szCs w:val="20"/>
          <w:lang w:eastAsia="cs-CZ"/>
        </w:rPr>
        <w:t>dobu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URČITOU</w:t>
      </w:r>
      <w:proofErr w:type="gramEnd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981"/>
        <w:gridCol w:w="2010"/>
        <w:gridCol w:w="1981"/>
      </w:tblGrid>
      <w:tr w:rsidR="0074148D" w:rsidRPr="00C942E3" w:rsidTr="001F092C">
        <w:tc>
          <w:tcPr>
            <w:tcW w:w="2303" w:type="dxa"/>
          </w:tcPr>
          <w:p w:rsidR="0074148D" w:rsidRPr="00C942E3" w:rsidRDefault="0074148D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OD:</w:t>
            </w:r>
          </w:p>
        </w:tc>
        <w:tc>
          <w:tcPr>
            <w:tcW w:w="2303" w:type="dxa"/>
          </w:tcPr>
          <w:p w:rsidR="0074148D" w:rsidRPr="00C942E3" w:rsidRDefault="0074148D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DO:</w:t>
            </w:r>
          </w:p>
        </w:tc>
        <w:tc>
          <w:tcPr>
            <w:tcW w:w="2303" w:type="dxa"/>
          </w:tcPr>
          <w:p w:rsidR="0074148D" w:rsidRPr="00C942E3" w:rsidRDefault="0074148D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Předání</w:t>
            </w:r>
          </w:p>
        </w:tc>
        <w:tc>
          <w:tcPr>
            <w:tcW w:w="2303" w:type="dxa"/>
          </w:tcPr>
          <w:p w:rsidR="0074148D" w:rsidRPr="00C942E3" w:rsidRDefault="0074148D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Vrácení</w:t>
            </w:r>
          </w:p>
        </w:tc>
      </w:tr>
      <w:tr w:rsidR="0074148D" w:rsidRPr="00C942E3" w:rsidTr="001F092C">
        <w:tc>
          <w:tcPr>
            <w:tcW w:w="2303" w:type="dxa"/>
          </w:tcPr>
          <w:p w:rsidR="0074148D" w:rsidRPr="00232F00" w:rsidRDefault="004334C0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03" w:type="dxa"/>
          </w:tcPr>
          <w:p w:rsidR="0074148D" w:rsidRPr="00232F00" w:rsidRDefault="004334C0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03" w:type="dxa"/>
          </w:tcPr>
          <w:p w:rsidR="0074148D" w:rsidRPr="00232F00" w:rsidRDefault="004334C0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12.00h</w:t>
            </w:r>
          </w:p>
        </w:tc>
        <w:tc>
          <w:tcPr>
            <w:tcW w:w="2303" w:type="dxa"/>
          </w:tcPr>
          <w:p w:rsidR="0074148D" w:rsidRPr="00232F00" w:rsidRDefault="004334C0" w:rsidP="001F092C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74148D" w:rsidRPr="00232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5:00</w:t>
            </w:r>
          </w:p>
        </w:tc>
      </w:tr>
    </w:tbl>
    <w:p w:rsidR="0074148D" w:rsidRPr="008579BC" w:rsidRDefault="0074148D" w:rsidP="0074148D">
      <w:pPr>
        <w:pStyle w:val="Odstavecseseznamem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Pronajímatel předá techniku nájemci ve stavu vhodném k řádnému užívání. Nájemce se se stavem pronajímané techniky seznámil a v tomto stavu ji přebírá.</w:t>
      </w:r>
    </w:p>
    <w:p w:rsidR="0074148D" w:rsidRPr="003648EC" w:rsidRDefault="0074148D" w:rsidP="007414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Nájemce se zavazuje zaplatit za pronájem částku </w:t>
      </w:r>
      <w:r w:rsidR="004334C0" w:rsidRPr="004334C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239 044</w:t>
      </w:r>
      <w:r w:rsidR="004334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F092C">
        <w:rPr>
          <w:rFonts w:ascii="Arial" w:eastAsia="Times New Roman" w:hAnsi="Arial" w:cs="Arial"/>
          <w:b/>
          <w:sz w:val="20"/>
          <w:szCs w:val="20"/>
          <w:lang w:eastAsia="cs-CZ"/>
        </w:rPr>
        <w:t>Kč bez DPH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>, která je položkově rozepsaná v příloze č.1 této smlouvy, na základě pronajímatelem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řádně vystaveného </w:t>
      </w:r>
      <w:r w:rsidRPr="00F942BD">
        <w:rPr>
          <w:rFonts w:ascii="Arial" w:eastAsia="Times New Roman" w:hAnsi="Arial" w:cs="Arial"/>
          <w:sz w:val="20"/>
          <w:szCs w:val="20"/>
          <w:lang w:eastAsia="cs-CZ"/>
        </w:rPr>
        <w:t xml:space="preserve">daňového dokladu, </w:t>
      </w:r>
      <w:r>
        <w:rPr>
          <w:rFonts w:ascii="Arial" w:eastAsia="Times New Roman" w:hAnsi="Arial" w:cs="Arial"/>
          <w:sz w:val="20"/>
          <w:szCs w:val="20"/>
          <w:lang w:eastAsia="cs-CZ"/>
        </w:rPr>
        <w:t>tj. daňového dokladu, který nebude v</w:t>
      </w:r>
      <w:r w:rsidRPr="00F942BD">
        <w:rPr>
          <w:rFonts w:ascii="Arial" w:eastAsia="Times New Roman" w:hAnsi="Arial" w:cs="Arial"/>
          <w:sz w:val="20"/>
          <w:szCs w:val="20"/>
          <w:lang w:eastAsia="cs-CZ"/>
        </w:rPr>
        <w:t>ykaz</w:t>
      </w:r>
      <w:r>
        <w:rPr>
          <w:rFonts w:ascii="Arial" w:eastAsia="Times New Roman" w:hAnsi="Arial" w:cs="Arial"/>
          <w:sz w:val="20"/>
          <w:szCs w:val="20"/>
          <w:lang w:eastAsia="cs-CZ"/>
        </w:rPr>
        <w:t>ovat</w:t>
      </w:r>
      <w:r w:rsidRPr="00F942BD">
        <w:rPr>
          <w:rFonts w:ascii="Arial" w:eastAsia="Times New Roman" w:hAnsi="Arial" w:cs="Arial"/>
          <w:sz w:val="20"/>
          <w:szCs w:val="20"/>
          <w:lang w:eastAsia="cs-CZ"/>
        </w:rPr>
        <w:t xml:space="preserve"> věcné, formální ani jiné chyby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Smluvní strany sjednávají </w:t>
      </w:r>
      <w:r w:rsidRPr="00F942BD">
        <w:rPr>
          <w:rFonts w:ascii="Arial" w:eastAsia="Times New Roman" w:hAnsi="Arial" w:cs="Arial"/>
          <w:sz w:val="20"/>
          <w:szCs w:val="20"/>
          <w:lang w:eastAsia="cs-CZ"/>
        </w:rPr>
        <w:t>splatnost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daňového dokladu dle předchozí věty na</w:t>
      </w:r>
      <w:r w:rsidRPr="00F942BD">
        <w:rPr>
          <w:rFonts w:ascii="Arial" w:eastAsia="Times New Roman" w:hAnsi="Arial" w:cs="Arial"/>
          <w:sz w:val="20"/>
          <w:szCs w:val="20"/>
          <w:lang w:eastAsia="cs-CZ"/>
        </w:rPr>
        <w:t xml:space="preserve"> 14 dní od</w:t>
      </w:r>
      <w:r>
        <w:rPr>
          <w:rFonts w:ascii="Arial" w:eastAsia="Times New Roman" w:hAnsi="Arial" w:cs="Arial"/>
          <w:sz w:val="20"/>
          <w:szCs w:val="20"/>
          <w:lang w:eastAsia="cs-CZ"/>
        </w:rPr>
        <w:t>e dne jeho doručení nájemci.</w:t>
      </w:r>
    </w:p>
    <w:p w:rsidR="0074148D" w:rsidRPr="00773618" w:rsidRDefault="0074148D" w:rsidP="0074148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71264">
        <w:rPr>
          <w:rFonts w:ascii="Arial" w:eastAsia="Times New Roman" w:hAnsi="Arial" w:cs="Arial"/>
          <w:sz w:val="20"/>
          <w:szCs w:val="20"/>
          <w:lang w:eastAsia="cs-CZ"/>
        </w:rPr>
        <w:t>V případě změny předmětu nájmu, zejména pak zapůjčení další techniky, nespecifikované v čl.2, je nutné učinit písemnou objednávku, která bude činit přílohu této smlouvy a adekvátně se tímto navýší smluvní cena za pronájem.</w:t>
      </w:r>
    </w:p>
    <w:p w:rsidR="0074148D" w:rsidRPr="00571AB8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1AB8">
        <w:rPr>
          <w:rFonts w:ascii="Arial" w:eastAsia="Times New Roman" w:hAnsi="Arial" w:cs="Arial"/>
          <w:b/>
          <w:sz w:val="20"/>
          <w:szCs w:val="20"/>
          <w:lang w:eastAsia="cs-CZ"/>
        </w:rPr>
        <w:t>4.</w:t>
      </w:r>
    </w:p>
    <w:p w:rsidR="0074148D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Práva a povinnosti pronajímatele</w:t>
      </w:r>
    </w:p>
    <w:p w:rsidR="0074148D" w:rsidRPr="00571AB8" w:rsidRDefault="0074148D" w:rsidP="007414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 xml:space="preserve">Pronajímatel se zavazuje při technické poruše techniky, závadu neprodleně začít řešit. Závady bude nájemce hlásit elektronicky na emailovou adresu: </w:t>
      </w:r>
      <w:r w:rsidRPr="009E1F25">
        <w:rPr>
          <w:rFonts w:ascii="Arial" w:eastAsia="Times New Roman" w:hAnsi="Arial" w:cs="Arial"/>
          <w:sz w:val="20"/>
          <w:szCs w:val="20"/>
          <w:lang w:eastAsia="cs-CZ"/>
        </w:rPr>
        <w:t>cyberlights@email.cz</w:t>
      </w:r>
      <w:r>
        <w:t xml:space="preserve"> </w:t>
      </w:r>
      <w:r w:rsidRPr="00780BFC">
        <w:rPr>
          <w:rFonts w:ascii="Arial" w:hAnsi="Arial" w:cs="Arial"/>
          <w:sz w:val="20"/>
          <w:szCs w:val="20"/>
        </w:rPr>
        <w:t xml:space="preserve">nebo telefonicky na telefon: </w:t>
      </w:r>
      <w:r>
        <w:rPr>
          <w:rFonts w:ascii="Arial" w:hAnsi="Arial" w:cs="Arial"/>
          <w:sz w:val="20"/>
          <w:szCs w:val="20"/>
        </w:rPr>
        <w:t xml:space="preserve">+420 777 845 802 nebo </w:t>
      </w:r>
      <w:r w:rsidRPr="00780BFC">
        <w:rPr>
          <w:rFonts w:ascii="Arial" w:hAnsi="Arial" w:cs="Arial"/>
          <w:sz w:val="20"/>
          <w:szCs w:val="20"/>
        </w:rPr>
        <w:t>+420 607 147</w:t>
      </w:r>
      <w:r>
        <w:rPr>
          <w:rFonts w:ascii="Arial" w:hAnsi="Arial" w:cs="Arial"/>
          <w:sz w:val="20"/>
          <w:szCs w:val="20"/>
        </w:rPr>
        <w:t> </w:t>
      </w:r>
      <w:r w:rsidRPr="00780BFC">
        <w:rPr>
          <w:rFonts w:ascii="Arial" w:hAnsi="Arial" w:cs="Arial"/>
          <w:sz w:val="20"/>
          <w:szCs w:val="20"/>
        </w:rPr>
        <w:t>717</w:t>
      </w:r>
    </w:p>
    <w:p w:rsidR="0074148D" w:rsidRDefault="0074148D" w:rsidP="007414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Povinností pronajímatele je řádně proškolit nájemce o obsluze pronajatého zařízení. Vyjma 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>případů,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kdy je technika dodávána spolu s obsluhou.</w:t>
      </w:r>
    </w:p>
    <w:p w:rsidR="0074148D" w:rsidRDefault="0074148D" w:rsidP="007414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Pronajímatel se nezbavuje práva na uplatnění náhrad za skryté poškození zařízení.</w:t>
      </w:r>
    </w:p>
    <w:p w:rsidR="0074148D" w:rsidRDefault="0074148D" w:rsidP="007414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Při vzniklé škodě na předmětu nájmu nebo jeho části má pronajímatel právo na účtování denního nájmu do dne odstranění škody.</w:t>
      </w:r>
    </w:p>
    <w:p w:rsidR="0074148D" w:rsidRDefault="0074148D" w:rsidP="007414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Pronajímatel garantuje dobu předání sjednanou v čl.3</w:t>
      </w:r>
    </w:p>
    <w:p w:rsidR="0074148D" w:rsidRDefault="0074148D" w:rsidP="0074148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Pronajímatel negarantuje dobu předání sjednanou v čl. 3 v případě, že vznikla/y překážka/y v plnění ze strany nájemce.</w:t>
      </w:r>
    </w:p>
    <w:p w:rsidR="0074148D" w:rsidRPr="00571AB8" w:rsidRDefault="0074148D" w:rsidP="0074148D">
      <w:pPr>
        <w:pStyle w:val="Odstavecseseznamem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1AB8">
        <w:rPr>
          <w:rFonts w:ascii="Arial" w:eastAsia="Times New Roman" w:hAnsi="Arial" w:cs="Arial"/>
          <w:b/>
          <w:sz w:val="20"/>
          <w:szCs w:val="20"/>
          <w:lang w:eastAsia="cs-CZ"/>
        </w:rPr>
        <w:t>5.</w:t>
      </w:r>
    </w:p>
    <w:p w:rsidR="0074148D" w:rsidRDefault="0074148D" w:rsidP="007414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Práva a p</w:t>
      </w:r>
      <w:r w:rsidRPr="00571AB8">
        <w:rPr>
          <w:rFonts w:ascii="Arial" w:eastAsia="Times New Roman" w:hAnsi="Arial" w:cs="Arial"/>
          <w:sz w:val="20"/>
          <w:szCs w:val="20"/>
          <w:lang w:eastAsia="cs-CZ"/>
        </w:rPr>
        <w:t>ovinnosti nájemce</w:t>
      </w:r>
    </w:p>
    <w:p w:rsidR="0074148D" w:rsidRDefault="0074148D" w:rsidP="0074148D">
      <w:pPr>
        <w:pStyle w:val="Odstavecseseznamem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 xml:space="preserve">Nájemce </w:t>
      </w:r>
      <w:r>
        <w:rPr>
          <w:rFonts w:ascii="Arial" w:eastAsia="Times New Roman" w:hAnsi="Arial" w:cs="Arial"/>
          <w:sz w:val="20"/>
          <w:szCs w:val="20"/>
          <w:lang w:eastAsia="cs-CZ"/>
        </w:rPr>
        <w:t>prohlašuje, že byl seznámen s požadavky pro montáž dané techniky.</w:t>
      </w:r>
    </w:p>
    <w:p w:rsidR="0074148D" w:rsidRDefault="0074148D" w:rsidP="0074148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povinen pečovat o zařízení tak aby na něm nevznikla žádná škoda.</w:t>
      </w:r>
    </w:p>
    <w:p w:rsidR="0074148D" w:rsidRDefault="0074148D" w:rsidP="0074148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Nájemce v době zapůjčení zodpovídá v plném rozsahu za škody vzniklé na technice. Vyjma 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>případů,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kdy je prokazatelné, že obsluha mohla nebo měla zabránit vzniku škody.</w:t>
      </w:r>
    </w:p>
    <w:p w:rsidR="0074148D" w:rsidRDefault="0074148D" w:rsidP="0074148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povinen vrátit zařízení v den a hodinu dle domluvy.</w:t>
      </w:r>
    </w:p>
    <w:p w:rsidR="0074148D" w:rsidRDefault="0074148D" w:rsidP="0074148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oprávněn požadovat zápis o stavu zařízení při předání předmětu nájmu.</w:t>
      </w:r>
    </w:p>
    <w:p w:rsidR="0074148D" w:rsidRPr="00773618" w:rsidRDefault="0074148D" w:rsidP="0074148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Nájemci je zakázáno poskytnout předmět nájmu třetí osobě, pokud to pronajímatel výslovně v jeho případě nepovolil.</w:t>
      </w:r>
    </w:p>
    <w:p w:rsidR="0074148D" w:rsidRPr="00FC3DF8" w:rsidRDefault="0074148D" w:rsidP="0074148D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74148D" w:rsidRPr="00FC3DF8" w:rsidRDefault="0074148D" w:rsidP="0074148D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Sankce a pokuty</w:t>
      </w:r>
    </w:p>
    <w:p w:rsidR="0074148D" w:rsidRDefault="0074148D" w:rsidP="0074148D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nedodržení data splatnosti, tzn. Neuhrazení faktury ve splatnosti, může pronajímatel vystavit dodatečnou fakturu za penále ve výši 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>0,1 %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denně z dlužné částky po splatnosti. Toto penále bude spočteno ke dni uhrazení dané faktury.</w:t>
      </w:r>
    </w:p>
    <w:p w:rsidR="0074148D" w:rsidRPr="0022287B" w:rsidRDefault="0074148D" w:rsidP="0074148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V případě nedodržení bodu 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>V. v čl.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sz w:val="20"/>
          <w:szCs w:val="20"/>
          <w:lang w:eastAsia="cs-CZ"/>
        </w:rPr>
        <w:t>, tedy nevrácení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zařízení v termínu dle dohody je nájemce povinen platit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za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každý další den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nájemné a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přirážku </w:t>
      </w:r>
      <w:r w:rsidR="00BE1FC0" w:rsidRPr="0022287B">
        <w:rPr>
          <w:rFonts w:ascii="Arial" w:eastAsia="Times New Roman" w:hAnsi="Arial" w:cs="Arial"/>
          <w:sz w:val="20"/>
          <w:szCs w:val="20"/>
          <w:lang w:eastAsia="cs-CZ"/>
        </w:rPr>
        <w:t>20 %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z ceny denního pronájmu předmětu nájmu.</w:t>
      </w:r>
    </w:p>
    <w:p w:rsidR="0074148D" w:rsidRDefault="0074148D" w:rsidP="0074148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 zrušení objednávky (i částečného), uplatňuje pronajímatel storno poplatky následovně: 14 dní před začátkem akce 20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 xml:space="preserve"> %;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10 dní před začátkem akce 40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%; 7 dní před začátkem akce 70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%; 4 dny před začátkem akce 100</w:t>
      </w:r>
      <w:r w:rsidR="00BE1F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%.</w:t>
      </w:r>
    </w:p>
    <w:p w:rsidR="0074148D" w:rsidRPr="00FC3DF8" w:rsidRDefault="0074148D" w:rsidP="0074148D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74148D" w:rsidRPr="00FC3DF8" w:rsidRDefault="0074148D" w:rsidP="0074148D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Závěrečná ustanovení</w:t>
      </w:r>
    </w:p>
    <w:p w:rsidR="0074148D" w:rsidRDefault="0074148D" w:rsidP="0074148D">
      <w:pPr>
        <w:pStyle w:val="Odstavecseseznamem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Účinky této smlouvy nastanou okamžikem podpisu.</w:t>
      </w:r>
    </w:p>
    <w:p w:rsidR="0074148D" w:rsidRDefault="0074148D" w:rsidP="0074148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Smlouva je závazná a strany jsou povinny dostát svým povinnostem ze smlouvy vyplývajícím. </w:t>
      </w:r>
    </w:p>
    <w:p w:rsidR="0074148D" w:rsidRDefault="0074148D" w:rsidP="0074148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3AD2">
        <w:rPr>
          <w:rFonts w:ascii="Arial" w:eastAsia="Times New Roman" w:hAnsi="Arial" w:cs="Arial"/>
          <w:sz w:val="20"/>
          <w:szCs w:val="20"/>
          <w:lang w:eastAsia="cs-CZ"/>
        </w:rPr>
        <w:t>Smluvní strany podpisem na této smlouvě potvrzují, že jsou si vědomy skutečnosti, že nájemce je povinným subjektem dle zákona č. 340/2015 Sb. o registru smluv, v platném znění. V případě, že se na tuto smlouvu vztahuje povinnost jejího uveřejnění, nájemce zajistí uveřejnění smlouvy bez zbytečného odkladu, nejpozději do 30 dnů ode dne uzavření smlouvy.</w:t>
      </w:r>
    </w:p>
    <w:p w:rsidR="0074148D" w:rsidRDefault="0074148D" w:rsidP="0074148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02D6">
        <w:rPr>
          <w:rFonts w:ascii="Arial" w:eastAsia="Times New Roman" w:hAnsi="Arial" w:cs="Arial"/>
          <w:sz w:val="20"/>
          <w:szCs w:val="20"/>
          <w:lang w:eastAsia="cs-CZ"/>
        </w:rPr>
        <w:t>Tato smlouva je vyhotovena ve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vyhotoveních a z</w:t>
      </w:r>
      <w:r w:rsidRPr="00D602D6">
        <w:rPr>
          <w:rFonts w:ascii="Arial" w:eastAsia="Times New Roman" w:hAnsi="Arial" w:cs="Arial"/>
          <w:sz w:val="20"/>
          <w:szCs w:val="20"/>
          <w:lang w:eastAsia="cs-CZ"/>
        </w:rPr>
        <w:t> nich každá smluvní strana obdrží po jednom.</w:t>
      </w:r>
    </w:p>
    <w:p w:rsidR="0074148D" w:rsidRPr="00DB63AA" w:rsidRDefault="0074148D" w:rsidP="0074148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B63AA">
        <w:rPr>
          <w:rFonts w:ascii="Arial" w:eastAsia="Times New Roman" w:hAnsi="Arial" w:cs="Arial"/>
          <w:sz w:val="20"/>
          <w:szCs w:val="20"/>
          <w:lang w:eastAsia="cs-CZ"/>
        </w:rPr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74148D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148D" w:rsidRPr="00FC3DF8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 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Brně dne </w:t>
      </w:r>
      <w:r w:rsidR="004334C0">
        <w:rPr>
          <w:rFonts w:ascii="Arial" w:eastAsia="Times New Roman" w:hAnsi="Arial" w:cs="Arial"/>
          <w:sz w:val="20"/>
          <w:szCs w:val="20"/>
          <w:lang w:eastAsia="cs-CZ"/>
        </w:rPr>
        <w:t>02.12.2019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</w:t>
      </w:r>
    </w:p>
    <w:p w:rsidR="0074148D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20"/>
          <w:lang w:eastAsia="cs-CZ"/>
        </w:rPr>
      </w:pPr>
    </w:p>
    <w:p w:rsidR="0074148D" w:rsidRPr="00DB63AA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20"/>
          <w:lang w:eastAsia="cs-CZ"/>
        </w:rPr>
      </w:pPr>
    </w:p>
    <w:p w:rsidR="0074148D" w:rsidRDefault="0074148D" w:rsidP="007414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C3DF8">
        <w:rPr>
          <w:rFonts w:ascii="Arial" w:eastAsia="Times New Roman" w:hAnsi="Arial" w:cs="Arial"/>
          <w:sz w:val="20"/>
          <w:szCs w:val="20"/>
          <w:lang w:eastAsia="cs-CZ"/>
        </w:rPr>
        <w:t>Pronajímatel :</w:t>
      </w:r>
      <w:proofErr w:type="gramEnd"/>
      <w:r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            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Nájemce: 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C3DF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4148D" w:rsidRDefault="0074148D" w:rsidP="007414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Filip Svoboda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21654">
        <w:rPr>
          <w:rFonts w:ascii="Arial" w:eastAsia="Times New Roman" w:hAnsi="Arial" w:cs="Arial"/>
          <w:sz w:val="20"/>
          <w:szCs w:val="20"/>
          <w:lang w:eastAsia="cs-CZ"/>
        </w:rPr>
        <w:t>doc. Ing. Ladis</w:t>
      </w:r>
      <w:r>
        <w:rPr>
          <w:rFonts w:ascii="Arial" w:eastAsia="Times New Roman" w:hAnsi="Arial" w:cs="Arial"/>
          <w:sz w:val="20"/>
          <w:szCs w:val="20"/>
          <w:lang w:eastAsia="cs-CZ"/>
        </w:rPr>
        <w:t>lav Janíček, Ph.D., MBA, LL.M.</w:t>
      </w:r>
    </w:p>
    <w:p w:rsidR="00065F73" w:rsidRPr="000323E4" w:rsidRDefault="0074148D" w:rsidP="00032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jednatel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Cyber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Lighting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s. r. o.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21654">
        <w:rPr>
          <w:rFonts w:ascii="Arial" w:eastAsia="Times New Roman" w:hAnsi="Arial" w:cs="Arial"/>
          <w:sz w:val="20"/>
          <w:szCs w:val="20"/>
          <w:lang w:eastAsia="cs-CZ"/>
        </w:rPr>
        <w:t>kvestor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VUT</w:t>
      </w:r>
      <w:bookmarkStart w:id="0" w:name="_GoBack"/>
      <w:bookmarkEnd w:id="0"/>
    </w:p>
    <w:p w:rsidR="00065F73" w:rsidRDefault="00065F73">
      <w:r w:rsidRPr="00065F7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208630</wp:posOffset>
            </wp:positionV>
            <wp:extent cx="5544820" cy="8619775"/>
            <wp:effectExtent l="0" t="0" r="0" b="0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86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Příloha č. 1</w:t>
      </w:r>
    </w:p>
    <w:sectPr w:rsidR="00065F73" w:rsidSect="00DB63A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61" w:rsidRDefault="003E6F61">
      <w:pPr>
        <w:spacing w:after="0" w:line="240" w:lineRule="auto"/>
      </w:pPr>
      <w:r>
        <w:separator/>
      </w:r>
    </w:p>
  </w:endnote>
  <w:endnote w:type="continuationSeparator" w:id="0">
    <w:p w:rsidR="003E6F61" w:rsidRDefault="003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7B" w:rsidRDefault="0074148D">
    <w:pPr>
      <w:pStyle w:val="Zpat"/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65F73">
      <w:t>3</w:t>
    </w:r>
  </w:p>
  <w:p w:rsidR="0022287B" w:rsidRPr="00EC4570" w:rsidRDefault="0074148D" w:rsidP="00FC3DF8">
    <w:pPr>
      <w:pStyle w:val="Zpat"/>
      <w:jc w:val="center"/>
      <w:rPr>
        <w:i/>
        <w:sz w:val="20"/>
        <w:szCs w:val="20"/>
      </w:rPr>
    </w:pPr>
    <w:r w:rsidRPr="001F092C">
      <w:t>www.svetlozvuk.cz</w:t>
    </w:r>
    <w:r>
      <w:rPr>
        <w:i/>
        <w:sz w:val="20"/>
        <w:szCs w:val="20"/>
      </w:rPr>
      <w:t xml:space="preserve"> </w:t>
    </w:r>
    <w:proofErr w:type="gramStart"/>
    <w:r>
      <w:rPr>
        <w:i/>
        <w:sz w:val="20"/>
        <w:szCs w:val="20"/>
      </w:rPr>
      <w:t>www.cyberlights.cz</w:t>
    </w:r>
    <w:r w:rsidRPr="00EC4570">
      <w:rPr>
        <w:i/>
        <w:sz w:val="20"/>
        <w:szCs w:val="20"/>
      </w:rPr>
      <w:t xml:space="preserve">  +</w:t>
    </w:r>
    <w:proofErr w:type="gramEnd"/>
    <w:r w:rsidRPr="00EC4570">
      <w:rPr>
        <w:i/>
        <w:sz w:val="20"/>
        <w:szCs w:val="20"/>
      </w:rPr>
      <w:t>420 </w:t>
    </w:r>
    <w:r w:rsidRPr="009E1F25">
      <w:rPr>
        <w:i/>
        <w:sz w:val="20"/>
        <w:szCs w:val="20"/>
      </w:rPr>
      <w:t>777 845</w:t>
    </w:r>
    <w:r>
      <w:rPr>
        <w:i/>
        <w:sz w:val="20"/>
        <w:szCs w:val="20"/>
      </w:rPr>
      <w:t> </w:t>
    </w:r>
    <w:r w:rsidRPr="009E1F25">
      <w:rPr>
        <w:i/>
        <w:sz w:val="20"/>
        <w:szCs w:val="20"/>
      </w:rPr>
      <w:t>802</w:t>
    </w:r>
    <w:r>
      <w:rPr>
        <w:i/>
        <w:sz w:val="20"/>
        <w:szCs w:val="20"/>
      </w:rPr>
      <w:t xml:space="preserve"> </w:t>
    </w:r>
    <w:r w:rsidRPr="009E1F25">
      <w:rPr>
        <w:i/>
        <w:sz w:val="20"/>
        <w:szCs w:val="20"/>
      </w:rPr>
      <w:t>cyberlights@email.cz</w:t>
    </w:r>
  </w:p>
  <w:p w:rsidR="0022287B" w:rsidRDefault="003E6F61" w:rsidP="00FC3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61" w:rsidRDefault="003E6F61">
      <w:pPr>
        <w:spacing w:after="0" w:line="240" w:lineRule="auto"/>
      </w:pPr>
      <w:r>
        <w:separator/>
      </w:r>
    </w:p>
  </w:footnote>
  <w:footnote w:type="continuationSeparator" w:id="0">
    <w:p w:rsidR="003E6F61" w:rsidRDefault="003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7B" w:rsidRDefault="003E6F61" w:rsidP="00FC3D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224"/>
    <w:multiLevelType w:val="hybridMultilevel"/>
    <w:tmpl w:val="8C787466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7D8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7190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DEC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5A74"/>
    <w:multiLevelType w:val="hybridMultilevel"/>
    <w:tmpl w:val="D28CCA5C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8D"/>
    <w:rsid w:val="000323E4"/>
    <w:rsid w:val="00065F73"/>
    <w:rsid w:val="001070DE"/>
    <w:rsid w:val="00302752"/>
    <w:rsid w:val="003E6F61"/>
    <w:rsid w:val="004320B9"/>
    <w:rsid w:val="004334C0"/>
    <w:rsid w:val="0074148D"/>
    <w:rsid w:val="009314EC"/>
    <w:rsid w:val="00AA2C17"/>
    <w:rsid w:val="00B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0FB"/>
  <w15:docId w15:val="{E41710AA-0FFD-4C9B-B6D7-5D9CB7B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4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4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48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74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4148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E1FC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vetlozvu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4368</Characters>
  <Application>Microsoft Office Word</Application>
  <DocSecurity>0</DocSecurity>
  <Lines>128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Kruljacová Anna</dc:creator>
  <cp:lastModifiedBy>Urbanová Petra (177793)</cp:lastModifiedBy>
  <cp:revision>3</cp:revision>
  <cp:lastPrinted>2019-12-03T10:58:00Z</cp:lastPrinted>
  <dcterms:created xsi:type="dcterms:W3CDTF">2019-12-02T13:09:00Z</dcterms:created>
  <dcterms:modified xsi:type="dcterms:W3CDTF">2019-12-03T10:58:00Z</dcterms:modified>
</cp:coreProperties>
</file>