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6DC" w14:textId="77777777"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14:paraId="6FE94186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283A478" w14:textId="77777777"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6F4973EC" w14:textId="77777777"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FF106E3" w14:textId="7E47530A"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005CF">
        <w:rPr>
          <w:rFonts w:asciiTheme="minorHAnsi" w:hAnsiTheme="minorHAnsi" w:cstheme="minorHAnsi"/>
          <w:sz w:val="22"/>
        </w:rPr>
        <w:tab/>
      </w:r>
    </w:p>
    <w:p w14:paraId="0CA230DF" w14:textId="1149B11A"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5399EF9" w14:textId="531BFFB2"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831526" w:rsidRPr="0022661E">
        <w:rPr>
          <w:rFonts w:asciiTheme="minorHAnsi" w:hAnsiTheme="minorHAnsi" w:cstheme="minorHAnsi"/>
          <w:sz w:val="22"/>
        </w:rPr>
        <w:tab/>
      </w:r>
    </w:p>
    <w:p w14:paraId="4E9486A1" w14:textId="742D33EA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32FDB5F7" w14:textId="77777777"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9D6F54" w:rsidRPr="0022661E">
        <w:rPr>
          <w:rFonts w:asciiTheme="minorHAnsi" w:hAnsiTheme="minorHAnsi" w:cstheme="minorHAnsi"/>
          <w:sz w:val="22"/>
        </w:rPr>
        <w:t>C123101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</w:p>
    <w:p w14:paraId="4A3A98A6" w14:textId="052D9990"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</w:p>
    <w:p w14:paraId="44FF02ED" w14:textId="77777777"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14:paraId="06202A26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1AFDA470" w14:textId="77777777"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14:paraId="79306128" w14:textId="77777777" w:rsidR="00081C85" w:rsidRDefault="00081C85" w:rsidP="00153771">
      <w:pPr>
        <w:spacing w:after="0" w:line="240" w:lineRule="auto"/>
        <w:ind w:left="232" w:right="1610" w:firstLine="6"/>
        <w:jc w:val="left"/>
      </w:pPr>
    </w:p>
    <w:p w14:paraId="63E37C5E" w14:textId="77777777" w:rsidR="00612DDA" w:rsidRPr="0036122E" w:rsidRDefault="00612DDA" w:rsidP="00612DDA">
      <w:pPr>
        <w:rPr>
          <w:rFonts w:asciiTheme="minorHAnsi" w:hAnsiTheme="minorHAnsi" w:cstheme="minorHAnsi"/>
          <w:b/>
          <w:sz w:val="22"/>
        </w:rPr>
      </w:pPr>
      <w:r w:rsidRPr="0036122E">
        <w:rPr>
          <w:rFonts w:asciiTheme="minorHAnsi" w:hAnsiTheme="minorHAnsi" w:cstheme="minorHAnsi"/>
          <w:b/>
          <w:sz w:val="22"/>
        </w:rPr>
        <w:t xml:space="preserve">Krajská nemocnice </w:t>
      </w:r>
      <w:proofErr w:type="spellStart"/>
      <w:proofErr w:type="gramStart"/>
      <w:r w:rsidRPr="0036122E">
        <w:rPr>
          <w:rFonts w:asciiTheme="minorHAnsi" w:hAnsiTheme="minorHAnsi" w:cstheme="minorHAnsi"/>
          <w:b/>
          <w:sz w:val="22"/>
        </w:rPr>
        <w:t>T.Bati</w:t>
      </w:r>
      <w:proofErr w:type="spellEnd"/>
      <w:proofErr w:type="gramEnd"/>
      <w:r w:rsidRPr="0036122E">
        <w:rPr>
          <w:rFonts w:asciiTheme="minorHAnsi" w:hAnsiTheme="minorHAnsi" w:cstheme="minorHAnsi"/>
          <w:b/>
          <w:sz w:val="22"/>
        </w:rPr>
        <w:t>, a.s.</w:t>
      </w:r>
    </w:p>
    <w:p w14:paraId="2927152A" w14:textId="4168DF09" w:rsidR="00612DDA" w:rsidRPr="00DD59FA" w:rsidRDefault="00612DDA" w:rsidP="00612DDA">
      <w:pPr>
        <w:shd w:val="clear" w:color="auto" w:fill="FFFFFF"/>
        <w:spacing w:after="0" w:line="240" w:lineRule="auto"/>
        <w:ind w:left="212" w:right="1129"/>
        <w:rPr>
          <w:rFonts w:asciiTheme="minorHAnsi" w:hAnsiTheme="minorHAnsi" w:cstheme="minorHAnsi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s</w:t>
      </w:r>
      <w:r w:rsidRPr="00DD59FA">
        <w:rPr>
          <w:rFonts w:asciiTheme="minorHAnsi" w:hAnsiTheme="minorHAnsi" w:cstheme="minorHAnsi"/>
          <w:sz w:val="22"/>
        </w:rPr>
        <w:t xml:space="preserve">ídlo: </w:t>
      </w:r>
      <w:r w:rsidRPr="00DD59FA">
        <w:rPr>
          <w:rFonts w:asciiTheme="minorHAnsi" w:hAnsiTheme="minorHAnsi" w:cstheme="minorHAnsi"/>
          <w:sz w:val="22"/>
        </w:rPr>
        <w:tab/>
      </w:r>
    </w:p>
    <w:p w14:paraId="5B63BF21" w14:textId="6F413F2C" w:rsidR="00612DDA" w:rsidRDefault="00612DDA" w:rsidP="00612DD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DD59FA">
        <w:rPr>
          <w:rFonts w:asciiTheme="minorHAnsi" w:hAnsiTheme="minorHAnsi" w:cstheme="minorHAnsi"/>
          <w:sz w:val="22"/>
        </w:rPr>
        <w:t xml:space="preserve">IČ: </w:t>
      </w:r>
      <w:r w:rsidRPr="00DD59FA">
        <w:rPr>
          <w:rFonts w:asciiTheme="minorHAnsi" w:hAnsiTheme="minorHAnsi" w:cstheme="minorHAnsi"/>
          <w:sz w:val="22"/>
        </w:rPr>
        <w:tab/>
      </w:r>
      <w:r w:rsidRPr="00DD59FA">
        <w:rPr>
          <w:rFonts w:asciiTheme="minorHAnsi" w:hAnsiTheme="minorHAnsi" w:cstheme="minorHAnsi"/>
          <w:sz w:val="22"/>
        </w:rPr>
        <w:tab/>
      </w:r>
    </w:p>
    <w:p w14:paraId="1CA82AC9" w14:textId="35217232" w:rsidR="00612DDA" w:rsidRDefault="00612DDA" w:rsidP="00612DD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DIČ: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7A7E13AB" w14:textId="5F26C1B4" w:rsidR="00612DDA" w:rsidRDefault="00612DDA" w:rsidP="00612DDA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účtu: </w:t>
      </w:r>
      <w:r>
        <w:rPr>
          <w:rFonts w:asciiTheme="minorHAnsi" w:hAnsiTheme="minorHAnsi" w:cstheme="minorHAnsi"/>
          <w:sz w:val="22"/>
        </w:rPr>
        <w:tab/>
      </w:r>
    </w:p>
    <w:p w14:paraId="51C57F3B" w14:textId="6CE1F28D" w:rsidR="00612DDA" w:rsidRPr="003A0288" w:rsidRDefault="00612DDA" w:rsidP="00612DDA">
      <w:pPr>
        <w:spacing w:after="0" w:line="240" w:lineRule="auto"/>
        <w:ind w:left="212" w:right="1129" w:hanging="6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Zastoupená: </w:t>
      </w:r>
    </w:p>
    <w:p w14:paraId="0F9BA5A5" w14:textId="4F80A753" w:rsidR="00081C85" w:rsidRPr="0022661E" w:rsidRDefault="00081C85" w:rsidP="00081C8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0F9A0BBF" w14:textId="425923A2" w:rsidR="00DD59FA" w:rsidRPr="00C20CF1" w:rsidRDefault="00081C85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18263190" wp14:editId="2F289140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68C4" w14:textId="77777777"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2D970923" w14:textId="77777777"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096A5142" w14:textId="77777777"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14:paraId="164646B4" w14:textId="77777777"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14:paraId="211329B4" w14:textId="77777777"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7733AEB6" w14:textId="77777777"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14:paraId="5FDB3D72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14C27188" w14:textId="3E698048"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C482966" wp14:editId="4768D77D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14:paraId="028A3A2A" w14:textId="77777777"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0BE602E0" w14:textId="77777777"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14:paraId="120905E6" w14:textId="77777777"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14:paraId="78D12D74" w14:textId="77777777"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7F340DB3" w14:textId="030DCF84"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</w:t>
      </w:r>
      <w:proofErr w:type="gramStart"/>
      <w:r w:rsidRPr="0022661E">
        <w:rPr>
          <w:rFonts w:asciiTheme="minorHAnsi" w:hAnsiTheme="minorHAnsi" w:cstheme="minorHAnsi"/>
          <w:sz w:val="22"/>
        </w:rPr>
        <w:t>dosáhne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minimálně obratu uvedeného v 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</w:t>
      </w:r>
      <w:proofErr w:type="gramStart"/>
      <w:r w:rsidR="00780B09" w:rsidRPr="0022661E">
        <w:rPr>
          <w:rFonts w:asciiTheme="minorHAnsi" w:hAnsiTheme="minorHAnsi" w:cstheme="minorHAnsi"/>
          <w:sz w:val="22"/>
        </w:rPr>
        <w:t>přesáhne</w:t>
      </w:r>
      <w:proofErr w:type="gramEnd"/>
      <w:r w:rsidRPr="0022661E">
        <w:rPr>
          <w:rFonts w:asciiTheme="minorHAnsi" w:hAnsiTheme="minorHAnsi" w:cstheme="minorHAnsi"/>
          <w:sz w:val="22"/>
        </w:rPr>
        <w:t>.</w:t>
      </w:r>
    </w:p>
    <w:p w14:paraId="0AFE9616" w14:textId="77777777"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63D08436" w14:textId="135E0F58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14:paraId="516CEAA0" w14:textId="77777777"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5A71E240" w14:textId="77777777"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14:paraId="5E01A131" w14:textId="77777777"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F91BCDF" w14:textId="77777777"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</w:t>
      </w:r>
      <w:proofErr w:type="spellStart"/>
      <w:r w:rsidRPr="0022661E">
        <w:rPr>
          <w:rFonts w:asciiTheme="minorHAnsi" w:hAnsiTheme="minorHAnsi" w:cstheme="minorHAnsi"/>
          <w:sz w:val="22"/>
        </w:rPr>
        <w:t>li</w:t>
      </w:r>
      <w:proofErr w:type="spellEnd"/>
      <w:r w:rsidRPr="0022661E">
        <w:rPr>
          <w:rFonts w:asciiTheme="minorHAnsi" w:hAnsiTheme="minorHAnsi" w:cstheme="minorHAnsi"/>
          <w:sz w:val="22"/>
        </w:rPr>
        <w:t xml:space="preserve">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14:paraId="1507C2AE" w14:textId="77777777"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5C456DD" w14:textId="1A7F5373"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</w:t>
      </w:r>
      <w:proofErr w:type="gramStart"/>
      <w:r w:rsidR="005C7DAC">
        <w:rPr>
          <w:rFonts w:asciiTheme="minorHAnsi" w:hAnsiTheme="minorHAnsi" w:cstheme="minorHAnsi"/>
          <w:sz w:val="22"/>
        </w:rPr>
        <w:t>následující</w:t>
      </w:r>
      <w:proofErr w:type="gramEnd"/>
      <w:r w:rsidR="005C7DAC">
        <w:rPr>
          <w:rFonts w:asciiTheme="minorHAnsi" w:hAnsiTheme="minorHAnsi" w:cstheme="minorHAnsi"/>
          <w:sz w:val="22"/>
        </w:rPr>
        <w:t xml:space="preserve">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 a to 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proofErr w:type="gramStart"/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>-ti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</w:t>
      </w:r>
      <w:proofErr w:type="gramStart"/>
      <w:r w:rsidR="00811EDB" w:rsidRPr="00632661">
        <w:rPr>
          <w:rFonts w:asciiTheme="minorHAnsi" w:hAnsiTheme="minorHAnsi" w:cstheme="minorHAnsi"/>
          <w:sz w:val="22"/>
        </w:rPr>
        <w:t>15ti</w:t>
      </w:r>
      <w:proofErr w:type="gramEnd"/>
      <w:r w:rsidR="00811EDB" w:rsidRPr="00632661">
        <w:rPr>
          <w:rFonts w:asciiTheme="minorHAnsi" w:hAnsiTheme="minorHAnsi" w:cstheme="minorHAnsi"/>
          <w:sz w:val="22"/>
        </w:rPr>
        <w:t xml:space="preserve">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632661">
        <w:rPr>
          <w:rFonts w:asciiTheme="minorHAnsi" w:hAnsiTheme="minorHAnsi" w:cstheme="minorHAnsi"/>
          <w:sz w:val="22"/>
        </w:rPr>
        <w:t>30</w:t>
      </w:r>
      <w:r w:rsidR="008B071E" w:rsidRPr="00632661">
        <w:rPr>
          <w:rFonts w:asciiTheme="minorHAnsi" w:hAnsiTheme="minorHAnsi" w:cstheme="minorHAnsi"/>
          <w:sz w:val="22"/>
        </w:rPr>
        <w:t>-ti</w:t>
      </w:r>
      <w:proofErr w:type="gramEnd"/>
      <w:r w:rsidRPr="00632661">
        <w:rPr>
          <w:rFonts w:asciiTheme="minorHAnsi" w:hAnsiTheme="minorHAnsi" w:cstheme="minorHAnsi"/>
          <w:sz w:val="22"/>
        </w:rPr>
        <w:t xml:space="preserve">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14:paraId="38454B54" w14:textId="77777777"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5567B6B2" w14:textId="77777777"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14:paraId="06D8BB0F" w14:textId="77777777"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438CF39C" w14:textId="77777777"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14:paraId="116A7440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14:paraId="4EBC0547" w14:textId="77777777"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3BFA8727" w14:textId="77777777"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14:paraId="151FBD16" w14:textId="77777777"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7DA5A744" w14:textId="77777777"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14:paraId="570ED755" w14:textId="77777777"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6F67CCFD" w14:textId="77777777"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14:paraId="7C300270" w14:textId="77777777"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14:paraId="58DA7EB1" w14:textId="77777777"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14:paraId="1E234664" w14:textId="77777777"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513B3DD1" w14:textId="77777777"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68BF5BE1" w14:textId="77777777"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1034C898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54001A60" w14:textId="77777777"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2300C6B1" w14:textId="77777777"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6FD34AC4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14:paraId="17E83293" w14:textId="77777777"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41E8DE22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1D9EA90D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6AC8245F" w14:textId="77777777"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B2849C0" w14:textId="77777777"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73A1FA54" w14:textId="77777777"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14:paraId="280D4F78" w14:textId="77777777"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21AE7840" w14:textId="670FA8F9"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</w:p>
    <w:p w14:paraId="3D47F7EE" w14:textId="77777777"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14:paraId="0CFF46A5" w14:textId="77777777"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14:paraId="3845F1F9" w14:textId="77777777"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14:paraId="6E60A29D" w14:textId="77777777"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14:paraId="0C4B53FB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4A503CC0" w14:textId="77777777"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40E169DF" w14:textId="77777777"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14:paraId="22A777DD" w14:textId="77777777"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0DAE29B0" w14:textId="29F61047"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AE4590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AE4590">
        <w:rPr>
          <w:rFonts w:asciiTheme="minorHAnsi" w:hAnsiTheme="minorHAnsi" w:cstheme="minorHAnsi"/>
          <w:sz w:val="22"/>
          <w:szCs w:val="22"/>
        </w:rPr>
        <w:t>1. 1</w:t>
      </w:r>
      <w:r w:rsidR="005C6B57" w:rsidRPr="00AE4590">
        <w:rPr>
          <w:rFonts w:asciiTheme="minorHAnsi" w:hAnsiTheme="minorHAnsi" w:cstheme="minorHAnsi"/>
          <w:sz w:val="22"/>
          <w:szCs w:val="22"/>
        </w:rPr>
        <w:t>.2020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tran, která nabyla účinnosti dnem </w:t>
      </w:r>
      <w:proofErr w:type="gramStart"/>
      <w:r w:rsidR="00081C85">
        <w:rPr>
          <w:rFonts w:asciiTheme="minorHAnsi" w:hAnsiTheme="minorHAnsi" w:cstheme="minorHAnsi"/>
          <w:sz w:val="22"/>
          <w:szCs w:val="22"/>
        </w:rPr>
        <w:t>1.1.2020</w:t>
      </w:r>
      <w:proofErr w:type="gramEnd"/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14:paraId="6D81F497" w14:textId="77777777"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2D9132C7" w14:textId="77777777"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14:paraId="3655C1C1" w14:textId="77777777"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2F6CB34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14:paraId="20DE4550" w14:textId="77777777"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0A15C31E" w14:textId="77777777"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14:paraId="7FEAFA16" w14:textId="77777777"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14:paraId="748913ED" w14:textId="77777777"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prohlašují, že si smlouvu před jejím podepsáním přečetly a že její </w:t>
      </w:r>
      <w:proofErr w:type="gramStart"/>
      <w:r w:rsidRPr="0022661E">
        <w:rPr>
          <w:rFonts w:asciiTheme="minorHAnsi" w:hAnsiTheme="minorHAnsi" w:cstheme="minorHAnsi"/>
          <w:sz w:val="22"/>
        </w:rPr>
        <w:t>obsah               odpovídá</w:t>
      </w:r>
      <w:proofErr w:type="gramEnd"/>
      <w:r w:rsidRPr="0022661E">
        <w:rPr>
          <w:rFonts w:asciiTheme="minorHAnsi" w:hAnsiTheme="minorHAnsi" w:cstheme="minorHAnsi"/>
          <w:sz w:val="22"/>
        </w:rPr>
        <w:t xml:space="preserve"> jejich pravé, vážné a svobodné vůli, což stvrzují svými níže připojenými podpisy.</w:t>
      </w:r>
    </w:p>
    <w:p w14:paraId="49CE67B4" w14:textId="77777777"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0E6D40EE" w14:textId="77777777"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14:paraId="1060AA74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14:paraId="6777DC43" w14:textId="77777777"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14:paraId="7C49D20C" w14:textId="77777777"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14:paraId="0BC9C2B0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15CDA5E3" w14:textId="77777777"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3322F519" w14:textId="77777777" w:rsidR="008E05D7" w:rsidRPr="00081C85" w:rsidRDefault="008E05D7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67AD4E55" w14:textId="77777777" w:rsidR="00B2661E" w:rsidRP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14:paraId="7EA2F16F" w14:textId="77777777"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lastRenderedPageBreak/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14:paraId="4C15385E" w14:textId="0F4A9983"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 </w:t>
      </w:r>
      <w:r w:rsidR="00081C85">
        <w:rPr>
          <w:rFonts w:asciiTheme="minorHAnsi" w:eastAsia="Times New Roman" w:hAnsiTheme="minorHAnsi" w:cstheme="minorHAnsi"/>
          <w:sz w:val="22"/>
        </w:rPr>
        <w:tab/>
      </w:r>
      <w:r w:rsidR="00081C85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  </w:t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612DDA">
        <w:rPr>
          <w:rFonts w:asciiTheme="minorHAnsi" w:eastAsia="Times New Roman" w:hAnsiTheme="minorHAnsi" w:cstheme="minorHAnsi"/>
          <w:sz w:val="22"/>
        </w:rPr>
        <w:t>e Zlíně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</w:p>
    <w:p w14:paraId="65205087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129C6DD6" w14:textId="77777777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21B12A43" w14:textId="162E6A36"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14:paraId="0D61A63F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A3C73B7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C301903" w14:textId="77777777"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371030E" w14:textId="57757FF7"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="00612DDA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>______________________________</w:t>
      </w:r>
    </w:p>
    <w:p w14:paraId="318F02A8" w14:textId="5AAAC838" w:rsidR="00DD59FA" w:rsidRPr="003A0288" w:rsidRDefault="00E233B7" w:rsidP="002806B0">
      <w:pPr>
        <w:shd w:val="clear" w:color="auto" w:fill="FFFFFF"/>
        <w:spacing w:after="0" w:line="240" w:lineRule="auto"/>
        <w:ind w:left="0" w:right="1129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612DDA">
        <w:rPr>
          <w:rFonts w:asciiTheme="minorHAnsi" w:hAnsiTheme="minorHAnsi" w:cstheme="minorHAnsi"/>
          <w:b/>
          <w:sz w:val="22"/>
        </w:rPr>
        <w:t>Krajská nemocnice T. Bati, a.s.</w:t>
      </w:r>
    </w:p>
    <w:p w14:paraId="5665C750" w14:textId="77777777" w:rsidR="00232004" w:rsidRPr="00057F80" w:rsidRDefault="00232004" w:rsidP="00B84D96">
      <w:pPr>
        <w:pStyle w:val="Zkladntext2"/>
        <w:rPr>
          <w:rFonts w:asciiTheme="minorHAnsi" w:hAnsiTheme="minorHAnsi" w:cstheme="minorHAnsi"/>
          <w:b/>
          <w:sz w:val="4"/>
        </w:rPr>
      </w:pPr>
    </w:p>
    <w:p w14:paraId="3E8D8609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565BDEA3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D78E51D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1FA5177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3B142A75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FAD9762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11954C04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791FEE2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26EBFE3E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468557B5" w14:textId="77777777" w:rsidR="00612DDA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</w:p>
    <w:p w14:paraId="005F99B7" w14:textId="77777777" w:rsidR="00612DDA" w:rsidRPr="0022661E" w:rsidRDefault="00612DDA" w:rsidP="00612DDA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0"/>
        </w:rPr>
        <w:t>______________________________</w:t>
      </w:r>
    </w:p>
    <w:p w14:paraId="048283AA" w14:textId="2BD5CB3F" w:rsidR="00612DDA" w:rsidRDefault="00612DDA" w:rsidP="00313A70">
      <w:pPr>
        <w:pStyle w:val="Zkladntext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Krajská nemocnice T. Bati, a.s.</w:t>
      </w:r>
    </w:p>
    <w:p w14:paraId="17FAE2ED" w14:textId="79B7B419" w:rsidR="00612DDA" w:rsidRPr="003A0288" w:rsidRDefault="00612DDA" w:rsidP="00612DDA">
      <w:pPr>
        <w:spacing w:after="0" w:line="240" w:lineRule="auto"/>
        <w:ind w:left="212" w:right="1129" w:hanging="6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bookmarkStart w:id="0" w:name="_GoBack"/>
      <w:bookmarkEnd w:id="0"/>
    </w:p>
    <w:p w14:paraId="3AB1FD42" w14:textId="4E8C673D" w:rsidR="00612DDA" w:rsidRPr="00C20CF1" w:rsidRDefault="00612DDA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sectPr w:rsidR="00612DDA" w:rsidRPr="00C20CF1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D9A72" w16cid:durableId="20ED8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30D7"/>
    <w:rsid w:val="004C48A3"/>
    <w:rsid w:val="004C5AD4"/>
    <w:rsid w:val="004D4249"/>
    <w:rsid w:val="004E18A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2DDA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84E03"/>
    <w:rsid w:val="00795D04"/>
    <w:rsid w:val="007A1AE0"/>
    <w:rsid w:val="007A6A44"/>
    <w:rsid w:val="007B577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67D4C"/>
    <w:rsid w:val="00870E83"/>
    <w:rsid w:val="0087289F"/>
    <w:rsid w:val="00875657"/>
    <w:rsid w:val="00897D87"/>
    <w:rsid w:val="008A0A11"/>
    <w:rsid w:val="008A2612"/>
    <w:rsid w:val="008A6684"/>
    <w:rsid w:val="008B071E"/>
    <w:rsid w:val="008B2F77"/>
    <w:rsid w:val="008B53EE"/>
    <w:rsid w:val="008D7EFD"/>
    <w:rsid w:val="008E05D7"/>
    <w:rsid w:val="008E29A4"/>
    <w:rsid w:val="008E2DD5"/>
    <w:rsid w:val="008E6EF4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4253"/>
    <w:rsid w:val="00DB5106"/>
    <w:rsid w:val="00DC1EEE"/>
    <w:rsid w:val="00DC2CB6"/>
    <w:rsid w:val="00DD59FA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5F1FD"/>
  <w15:docId w15:val="{7B28E38B-C990-4505-BEB9-0431009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3250-9686-4642-9518-D957BBB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Zuzana Safarcikova</cp:lastModifiedBy>
  <cp:revision>2</cp:revision>
  <cp:lastPrinted>2018-01-10T07:27:00Z</cp:lastPrinted>
  <dcterms:created xsi:type="dcterms:W3CDTF">2019-11-14T06:55:00Z</dcterms:created>
  <dcterms:modified xsi:type="dcterms:W3CDTF">2019-11-14T06:55:00Z</dcterms:modified>
</cp:coreProperties>
</file>