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99" w:rsidRDefault="00CE3399" w:rsidP="00CE339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CE3399" w:rsidRDefault="00807A44" w:rsidP="00CE339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CE3399">
        <w:rPr>
          <w:rFonts w:ascii="Arial" w:hAnsi="Arial" w:cs="Arial"/>
          <w:b/>
          <w:sz w:val="36"/>
        </w:rPr>
        <w:t>íslo 982407-0904</w:t>
      </w:r>
      <w:r>
        <w:rPr>
          <w:rFonts w:ascii="Arial" w:hAnsi="Arial" w:cs="Arial"/>
          <w:b/>
          <w:sz w:val="36"/>
        </w:rPr>
        <w:t xml:space="preserve"> </w:t>
      </w:r>
      <w:r w:rsidR="00CE3399">
        <w:rPr>
          <w:rFonts w:ascii="Arial" w:hAnsi="Arial" w:cs="Arial"/>
          <w:b/>
          <w:sz w:val="36"/>
        </w:rPr>
        <w:t>/</w:t>
      </w:r>
      <w:r>
        <w:rPr>
          <w:rFonts w:ascii="Arial" w:hAnsi="Arial" w:cs="Arial"/>
          <w:b/>
          <w:sz w:val="36"/>
        </w:rPr>
        <w:t xml:space="preserve"> </w:t>
      </w:r>
      <w:r w:rsidR="00CE3399">
        <w:rPr>
          <w:rFonts w:ascii="Arial" w:hAnsi="Arial" w:cs="Arial"/>
          <w:b/>
          <w:sz w:val="36"/>
        </w:rPr>
        <w:t>2013</w:t>
      </w:r>
    </w:p>
    <w:p w:rsidR="00CE3399" w:rsidRDefault="00CE3399" w:rsidP="00CE339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 Severní Čechy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Berní 2119/2, 401 01 Ústí nad Labem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</w:p>
    <w:p w:rsidR="00CE3399" w:rsidRDefault="00CE3399" w:rsidP="00CE339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E3399" w:rsidRDefault="00CE3399" w:rsidP="00CE3399">
      <w:pPr>
        <w:numPr>
          <w:ilvl w:val="0"/>
          <w:numId w:val="0"/>
        </w:numPr>
        <w:spacing w:after="0" w:line="240" w:lineRule="auto"/>
        <w:ind w:left="142"/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F22322" w:rsidRPr="00DC73FF" w:rsidTr="0050043F">
        <w:tc>
          <w:tcPr>
            <w:tcW w:w="9851" w:type="dxa"/>
            <w:gridSpan w:val="2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xxx</w:t>
            </w:r>
          </w:p>
        </w:tc>
      </w:tr>
      <w:tr w:rsidR="00F22322" w:rsidRPr="00DC73FF" w:rsidTr="00F22322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se sídlem</w:t>
            </w:r>
          </w:p>
        </w:tc>
        <w:tc>
          <w:tcPr>
            <w:tcW w:w="6323" w:type="dxa"/>
            <w:shd w:val="clear" w:color="auto" w:fill="auto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2322" w:rsidRPr="00DC73FF" w:rsidTr="0050043F">
        <w:trPr>
          <w:trHeight w:val="283"/>
        </w:trPr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:rsidR="00F22322" w:rsidRPr="00DC73FF" w:rsidRDefault="00F22322" w:rsidP="00F22322">
            <w:pPr>
              <w:pStyle w:val="Textkomente"/>
              <w:numPr>
                <w:ilvl w:val="0"/>
                <w:numId w:val="0"/>
              </w:numPr>
              <w:spacing w:after="120"/>
              <w:ind w:left="983" w:hanging="983"/>
              <w:rPr>
                <w:bCs/>
                <w:szCs w:val="22"/>
              </w:rPr>
            </w:pPr>
            <w:r>
              <w:rPr>
                <w:szCs w:val="22"/>
              </w:rP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Pr="00DC73FF"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Pr="00DC73FF">
              <w:instrText xml:space="preserve"> FORMTEXT </w:instrText>
            </w:r>
            <w:r>
              <w:fldChar w:fldCharType="separate"/>
            </w:r>
            <w:r w:rsidRPr="00DC73FF">
              <w:fldChar w:fldCharType="end"/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2322" w:rsidRPr="00DC73FF" w:rsidTr="0050043F">
        <w:tc>
          <w:tcPr>
            <w:tcW w:w="3528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DC73FF">
              <w:rPr>
                <w:lang w:eastAsia="cs-CZ"/>
              </w:rPr>
              <w:t>přidělené technologické číslo:</w:t>
            </w:r>
          </w:p>
        </w:tc>
        <w:tc>
          <w:tcPr>
            <w:tcW w:w="6323" w:type="dxa"/>
          </w:tcPr>
          <w:p w:rsidR="00F22322" w:rsidRPr="00DC73FF" w:rsidRDefault="00F22322" w:rsidP="005004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</w:tbl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</w:p>
    <w:p w:rsidR="00CE3399" w:rsidRDefault="00CE3399" w:rsidP="00CE3399">
      <w:pPr>
        <w:numPr>
          <w:ilvl w:val="0"/>
          <w:numId w:val="0"/>
        </w:numPr>
        <w:spacing w:before="50" w:after="70" w:line="240" w:lineRule="auto"/>
        <w:ind w:left="142"/>
      </w:pPr>
    </w:p>
    <w:p w:rsidR="00CE3399" w:rsidRDefault="00CE3399" w:rsidP="00807A44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CE3399" w:rsidRPr="00CE3399" w:rsidRDefault="00CE3399" w:rsidP="00CE33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Účel a předmět Smlouvy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1.1 Účelem této Smlouvy o svozu a rozvozu poštovních zásilek (dále jen "Smlouva") je zajištění svozu/rozvozu poštovních zásilek (dále jen "zásilka") podávaných Objednatelem nebo adresovaných Objednateli.</w:t>
      </w:r>
    </w:p>
    <w:p w:rsidR="00CE3399" w:rsidRPr="00CE3399" w:rsidRDefault="00CE3399" w:rsidP="00CE33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Realizace služby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 xml:space="preserve">V čase dle volné kapacity ČP </w:t>
      </w:r>
      <w:r>
        <w:sym w:font="Wingdings" w:char="F078"/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Ne </w:t>
      </w:r>
      <w:r>
        <w:sym w:font="Wingdings" w:char="F078"/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a rozvozu zásilek jsou přijímány pracovištěm ČP uvedeném v příloze č. 2</w:t>
      </w:r>
    </w:p>
    <w:p w:rsidR="00CE3399" w:rsidRPr="00CE3399" w:rsidRDefault="00CE3399" w:rsidP="00CE3399">
      <w:pPr>
        <w:numPr>
          <w:ilvl w:val="2"/>
          <w:numId w:val="50"/>
        </w:numPr>
        <w:spacing w:after="120"/>
        <w:ind w:left="624" w:hanging="624"/>
        <w:jc w:val="both"/>
      </w:pPr>
    </w:p>
    <w:p w:rsidR="00CE3399" w:rsidRPr="00CE3399" w:rsidRDefault="00CE3399" w:rsidP="00CE3399">
      <w:pPr>
        <w:numPr>
          <w:ilvl w:val="2"/>
          <w:numId w:val="50"/>
        </w:numPr>
        <w:spacing w:after="120"/>
        <w:ind w:left="624" w:hanging="624"/>
        <w:jc w:val="both"/>
      </w:pPr>
      <w:r>
        <w:t>*Požadovaný čas je uveden v Příloze č.</w:t>
      </w:r>
      <w:r w:rsidR="00807A44">
        <w:t xml:space="preserve"> </w:t>
      </w:r>
      <w:r>
        <w:t>2</w:t>
      </w:r>
    </w:p>
    <w:p w:rsidR="00CE3399" w:rsidRPr="00CE3399" w:rsidRDefault="00CE3399" w:rsidP="00CE33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V souladu s Podmínkami svozu a rozvozu poštovních zásilek bude realizován svoz / rozvoz v rozsahu:</w:t>
      </w:r>
    </w:p>
    <w:tbl>
      <w:tblPr>
        <w:tblStyle w:val="Jednoduchtabulka2"/>
        <w:tblW w:w="0" w:type="auto"/>
        <w:tblInd w:w="567" w:type="dxa"/>
        <w:tblLook w:val="0600" w:firstRow="0" w:lastRow="0" w:firstColumn="0" w:lastColumn="0" w:noHBand="1" w:noVBand="1"/>
      </w:tblPr>
      <w:tblGrid>
        <w:gridCol w:w="2494"/>
        <w:gridCol w:w="2041"/>
        <w:gridCol w:w="2834"/>
        <w:gridCol w:w="1700"/>
      </w:tblGrid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Listovní zásilky: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Balíkové zásilky: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</w:tr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Obyčejné psaní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6 ks/obal</w:t>
            </w: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Do ruky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Doporučené psaní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2 ks/obal</w:t>
            </w: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Na poštu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Cenné psaní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Expres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Obchodní psaní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ks/obal</w:t>
            </w: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Cenný balík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0 ks</w:t>
            </w:r>
          </w:p>
        </w:tc>
      </w:tr>
      <w:tr w:rsidR="00CE3399" w:rsidTr="00CE3399">
        <w:tc>
          <w:tcPr>
            <w:tcW w:w="249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Jiné</w:t>
            </w:r>
          </w:p>
        </w:tc>
        <w:tc>
          <w:tcPr>
            <w:tcW w:w="2041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2 ks/příp. obal</w:t>
            </w:r>
          </w:p>
        </w:tc>
        <w:tc>
          <w:tcPr>
            <w:tcW w:w="2834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Jiné</w:t>
            </w:r>
          </w:p>
        </w:tc>
        <w:tc>
          <w:tcPr>
            <w:tcW w:w="1700" w:type="dxa"/>
          </w:tcPr>
          <w:p w:rsidR="00CE3399" w:rsidRDefault="00CE3399" w:rsidP="00CE3399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>1 ks</w:t>
            </w:r>
          </w:p>
        </w:tc>
      </w:tr>
    </w:tbl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CE3399" w:rsidRPr="00CE3399" w:rsidRDefault="00CE3399" w:rsidP="00CE3399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Listovní zásilky v počtu </w:t>
      </w:r>
      <w:r w:rsidR="00F22322">
        <w:t>xx</w:t>
      </w:r>
      <w:r>
        <w:t xml:space="preserve"> ks/obal a průměrné hmotnosti </w:t>
      </w:r>
      <w:r w:rsidR="00F22322">
        <w:t>xx</w:t>
      </w:r>
      <w:r>
        <w:t xml:space="preserve"> g.</w:t>
      </w:r>
    </w:p>
    <w:p w:rsidR="00CE3399" w:rsidRPr="00CE3399" w:rsidRDefault="00CE3399" w:rsidP="00CE3399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Balíkové zásilky v počtu </w:t>
      </w:r>
      <w:r w:rsidR="00F22322">
        <w:t>xx</w:t>
      </w:r>
      <w:r>
        <w:t xml:space="preserve"> ks a průměrné hmotnosti </w:t>
      </w:r>
      <w:r w:rsidR="00F22322">
        <w:t>xx</w:t>
      </w:r>
      <w:r>
        <w:t xml:space="preserve"> kg.</w:t>
      </w:r>
    </w:p>
    <w:p w:rsidR="00CE3399" w:rsidRPr="00CE3399" w:rsidRDefault="00CE3399" w:rsidP="00CE33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Objednatel se zavazuje za poskytnuté služby zaplatit řádně a včas stanovenou cenu, a to ve výši uvedené v podmínkách České pošty, s.p. - Ceník základních poštovních služeb a ostatních služeb (dále jen "Ceník") platných ke dni poskytnutí služby. Aktuální znění Ceníku je k dispozici na všech poštách v ČR a na internetové adrese </w:t>
      </w:r>
      <w:hyperlink r:id="rId8" w:history="1">
        <w:r w:rsidR="00807A44" w:rsidRPr="00893D35">
          <w:rPr>
            <w:rStyle w:val="Hypertextovodkaz"/>
          </w:rPr>
          <w:t>http://www.ceskaposta.cz</w:t>
        </w:r>
      </w:hyperlink>
      <w:r>
        <w:t>.</w:t>
      </w:r>
      <w:r w:rsidR="00807A44">
        <w:t xml:space="preserve"> </w:t>
      </w:r>
    </w:p>
    <w:p w:rsidR="00CE3399" w:rsidRPr="00807A44" w:rsidRDefault="00CE3399" w:rsidP="00CE3399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Způsob úhrady ceny na základě faktury - daňového dokladu vyhotoveného ČP:</w:t>
      </w:r>
    </w:p>
    <w:p w:rsidR="00CE3399" w:rsidRPr="00807A44" w:rsidRDefault="00CE3399" w:rsidP="00CE339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sym w:font="Wingdings" w:char="F078"/>
      </w:r>
      <w:r w:rsidRPr="00807A44">
        <w:rPr>
          <w:b/>
        </w:rPr>
        <w:t xml:space="preserve"> převodem z účtu</w:t>
      </w:r>
    </w:p>
    <w:p w:rsidR="00CE3399" w:rsidRPr="00807A44" w:rsidRDefault="00CE3399" w:rsidP="00CE3399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Faktury - daňové doklady budou zasílány na adresu:</w:t>
      </w:r>
    </w:p>
    <w:p w:rsidR="00CE3399" w:rsidRPr="00807A44" w:rsidRDefault="00CE3399" w:rsidP="00CE339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Název Objednatele</w:t>
      </w:r>
      <w:r w:rsidRPr="00807A44">
        <w:rPr>
          <w:b/>
        </w:rPr>
        <w:tab/>
      </w:r>
      <w:r w:rsidRPr="00807A44">
        <w:rPr>
          <w:b/>
        </w:rPr>
        <w:tab/>
      </w:r>
      <w:r w:rsidR="00F22322">
        <w:rPr>
          <w:b/>
        </w:rPr>
        <w:t>xxx</w:t>
      </w:r>
    </w:p>
    <w:p w:rsidR="00CE3399" w:rsidRPr="00807A44" w:rsidRDefault="00CE3399" w:rsidP="00CE339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Ulice a číslo popisné</w:t>
      </w:r>
      <w:r w:rsidRPr="00807A44">
        <w:rPr>
          <w:b/>
        </w:rPr>
        <w:tab/>
      </w:r>
      <w:r w:rsidR="00807A44">
        <w:rPr>
          <w:b/>
        </w:rPr>
        <w:tab/>
      </w:r>
      <w:r w:rsidR="00F22322">
        <w:rPr>
          <w:b/>
        </w:rPr>
        <w:t>xxx</w:t>
      </w:r>
    </w:p>
    <w:p w:rsidR="00CE3399" w:rsidRPr="00807A44" w:rsidRDefault="00CE3399" w:rsidP="00CE339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PSČ a Město</w:t>
      </w:r>
      <w:r w:rsidRPr="00807A44">
        <w:rPr>
          <w:b/>
        </w:rPr>
        <w:tab/>
      </w:r>
      <w:r w:rsidRPr="00807A44">
        <w:rPr>
          <w:b/>
        </w:rPr>
        <w:tab/>
      </w:r>
      <w:r w:rsidRPr="00807A44">
        <w:rPr>
          <w:b/>
        </w:rPr>
        <w:tab/>
      </w:r>
      <w:r w:rsidR="00807A44">
        <w:rPr>
          <w:b/>
        </w:rPr>
        <w:tab/>
      </w:r>
      <w:r w:rsidR="00F22322">
        <w:rPr>
          <w:b/>
        </w:rPr>
        <w:t>xxx</w:t>
      </w:r>
    </w:p>
    <w:p w:rsidR="00CE3399" w:rsidRPr="00807A44" w:rsidRDefault="00CE3399" w:rsidP="00CE3399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807A44">
        <w:rPr>
          <w:b/>
        </w:rPr>
        <w:t>ID složky CČK</w:t>
      </w:r>
      <w:r w:rsidRPr="00807A44">
        <w:rPr>
          <w:b/>
        </w:rPr>
        <w:tab/>
      </w:r>
      <w:r w:rsidRPr="00807A44">
        <w:rPr>
          <w:b/>
        </w:rPr>
        <w:tab/>
      </w:r>
      <w:r w:rsidRPr="00807A44">
        <w:rPr>
          <w:b/>
        </w:rPr>
        <w:tab/>
      </w:r>
      <w:r w:rsidR="00F22322">
        <w:rPr>
          <w:b/>
        </w:rPr>
        <w:t>xxx</w:t>
      </w:r>
    </w:p>
    <w:p w:rsidR="00CE3399" w:rsidRPr="00CE3399" w:rsidRDefault="00CE3399" w:rsidP="00CE33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</w:t>
      </w:r>
      <w:r w:rsidR="00F22322">
        <w:t>xxx</w:t>
      </w:r>
      <w:r>
        <w:t xml:space="preserve">. Každá ze stran může Smlouvu vypovědět i bez udání důvodů s tím, že výpovědní lhůta 15 dnů začne běžet dnem následujícím po doručení výpovědi druhé smluvní </w:t>
      </w:r>
      <w:r>
        <w:lastRenderedPageBreak/>
        <w:t>straně. Výpověď musí být učiněna písemně. Po skončení účinnosti Smlouvy vrátí Objednatel ČP nepoužité adresní štítky.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této Smlouvy jsou Podmínky svozu a rozvozu poštovních zásilek, které tvoří přílohu č. 1 této Smlouvy.</w:t>
      </w:r>
    </w:p>
    <w:p w:rsidR="00CE3399" w:rsidRPr="00CE3399" w:rsidRDefault="00CE3399" w:rsidP="00CE3399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CE3399" w:rsidRPr="00CE3399" w:rsidRDefault="00F22322" w:rsidP="00CE3399">
      <w:pPr>
        <w:numPr>
          <w:ilvl w:val="3"/>
          <w:numId w:val="50"/>
        </w:numPr>
        <w:spacing w:after="120"/>
        <w:jc w:val="both"/>
      </w:pPr>
      <w:r>
        <w:t>xxx</w:t>
      </w: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CE3399" w:rsidRDefault="00CE3399" w:rsidP="00CE3399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CE3399" w:rsidRDefault="00CE3399" w:rsidP="00CE3399">
      <w:pPr>
        <w:numPr>
          <w:ilvl w:val="0"/>
          <w:numId w:val="0"/>
        </w:numPr>
        <w:spacing w:before="120" w:after="120"/>
        <w:jc w:val="both"/>
      </w:pPr>
    </w:p>
    <w:p w:rsidR="00CE3399" w:rsidRDefault="00CE3399" w:rsidP="00CE3399">
      <w:pPr>
        <w:numPr>
          <w:ilvl w:val="0"/>
          <w:numId w:val="0"/>
        </w:numPr>
        <w:spacing w:before="120"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  <w:sectPr w:rsidR="00CE339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  <w:r>
        <w:t>Za ČP:</w:t>
      </w:r>
    </w:p>
    <w:p w:rsidR="00807A44" w:rsidRDefault="00807A44" w:rsidP="00CE3399">
      <w:pPr>
        <w:numPr>
          <w:ilvl w:val="0"/>
          <w:numId w:val="0"/>
        </w:numPr>
        <w:spacing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both"/>
      </w:pP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  <w:r>
        <w:t>obchodní ředitel regionu Severní Čechy</w:t>
      </w:r>
    </w:p>
    <w:p w:rsidR="00CE3399" w:rsidRDefault="00CE3399" w:rsidP="00CE339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22322">
        <w:t>xxx d</w:t>
      </w:r>
      <w:bookmarkStart w:id="0" w:name="_GoBack"/>
      <w:bookmarkEnd w:id="0"/>
      <w:r>
        <w:t xml:space="preserve">ne </w:t>
      </w:r>
    </w:p>
    <w:p w:rsidR="00CE3399" w:rsidRDefault="00CE3399" w:rsidP="00CE3399">
      <w:pPr>
        <w:numPr>
          <w:ilvl w:val="0"/>
          <w:numId w:val="0"/>
        </w:numPr>
        <w:spacing w:after="120"/>
      </w:pPr>
    </w:p>
    <w:p w:rsidR="00CE3399" w:rsidRDefault="00CE3399" w:rsidP="00CE3399">
      <w:pPr>
        <w:numPr>
          <w:ilvl w:val="0"/>
          <w:numId w:val="0"/>
        </w:numPr>
        <w:spacing w:after="120"/>
      </w:pPr>
      <w:r>
        <w:t>Za Odesílatele:</w:t>
      </w:r>
    </w:p>
    <w:p w:rsidR="00807A44" w:rsidRDefault="00807A44" w:rsidP="00CE3399">
      <w:pPr>
        <w:numPr>
          <w:ilvl w:val="0"/>
          <w:numId w:val="0"/>
        </w:numPr>
        <w:spacing w:after="120"/>
      </w:pPr>
    </w:p>
    <w:p w:rsidR="00CE3399" w:rsidRDefault="00CE3399" w:rsidP="00CE3399">
      <w:pPr>
        <w:numPr>
          <w:ilvl w:val="0"/>
          <w:numId w:val="0"/>
        </w:numPr>
        <w:spacing w:after="120"/>
      </w:pP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E3399" w:rsidRDefault="00CE3399" w:rsidP="00CE3399">
      <w:pPr>
        <w:numPr>
          <w:ilvl w:val="0"/>
          <w:numId w:val="0"/>
        </w:numPr>
        <w:spacing w:after="120"/>
        <w:jc w:val="center"/>
      </w:pPr>
    </w:p>
    <w:p w:rsidR="00CE3399" w:rsidRDefault="00F22322" w:rsidP="00CE3399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CE3399" w:rsidRDefault="00F22322" w:rsidP="00CE3399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CE3399" w:rsidSect="00CE339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BE" w:rsidRDefault="002D5FBE">
      <w:r>
        <w:separator/>
      </w:r>
    </w:p>
  </w:endnote>
  <w:endnote w:type="continuationSeparator" w:id="0">
    <w:p w:rsidR="002D5FBE" w:rsidRDefault="002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1574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15745" w:rsidRPr="00160A6D">
      <w:rPr>
        <w:sz w:val="18"/>
        <w:szCs w:val="18"/>
      </w:rPr>
      <w:fldChar w:fldCharType="separate"/>
    </w:r>
    <w:r w:rsidR="00F22322">
      <w:rPr>
        <w:noProof/>
        <w:sz w:val="18"/>
        <w:szCs w:val="18"/>
      </w:rPr>
      <w:t>3</w:t>
    </w:r>
    <w:r w:rsidR="0051574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1574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15745" w:rsidRPr="00160A6D">
      <w:rPr>
        <w:sz w:val="18"/>
        <w:szCs w:val="18"/>
      </w:rPr>
      <w:fldChar w:fldCharType="separate"/>
    </w:r>
    <w:r w:rsidR="00F22322">
      <w:rPr>
        <w:noProof/>
        <w:sz w:val="18"/>
        <w:szCs w:val="18"/>
      </w:rPr>
      <w:t>3</w:t>
    </w:r>
    <w:r w:rsidR="0051574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BE" w:rsidRDefault="002D5FBE">
      <w:r>
        <w:separator/>
      </w:r>
    </w:p>
  </w:footnote>
  <w:footnote w:type="continuationSeparator" w:id="0">
    <w:p w:rsidR="002D5FBE" w:rsidRDefault="002D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D5FB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CE339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07A4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CE3399">
      <w:rPr>
        <w:rFonts w:ascii="Arial" w:hAnsi="Arial" w:cs="Arial"/>
        <w:szCs w:val="22"/>
      </w:rPr>
      <w:t>íslo 982407-0904/2013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0D47A08"/>
    <w:multiLevelType w:val="multilevel"/>
    <w:tmpl w:val="8D325B36"/>
    <w:numStyleLink w:val="Styl1"/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5FBE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5745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07A4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34B0"/>
    <w:rsid w:val="00C77E06"/>
    <w:rsid w:val="00C8011E"/>
    <w:rsid w:val="00C848AA"/>
    <w:rsid w:val="00CA01C9"/>
    <w:rsid w:val="00CD73E6"/>
    <w:rsid w:val="00CE276D"/>
    <w:rsid w:val="00CE3399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232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1B7BF5B-330B-48D8-B383-18DB1CA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table" w:styleId="Jednoduchtabulka2">
    <w:name w:val="Table Simple 2"/>
    <w:basedOn w:val="Normlntabulka"/>
    <w:rsid w:val="00CE3399"/>
    <w:pPr>
      <w:numPr>
        <w:numId w:val="50"/>
      </w:num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pTabulkasmluvnistrany">
    <w:name w:val="cp_Tabulka smluvni strany"/>
    <w:basedOn w:val="Normln"/>
    <w:uiPriority w:val="99"/>
    <w:rsid w:val="00F22322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3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7D8-8BE7-47BE-AC73-EB91DAE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2019-12-04T11:40:00Z</dcterms:created>
  <dcterms:modified xsi:type="dcterms:W3CDTF">2019-12-04T11:40:00Z</dcterms:modified>
</cp:coreProperties>
</file>