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F9C71" w14:textId="77777777" w:rsidR="0090327C" w:rsidRDefault="0090327C" w:rsidP="00047F0E">
      <w:pPr>
        <w:spacing w:line="276" w:lineRule="auto"/>
        <w:rPr>
          <w:rStyle w:val="Siln"/>
          <w:rFonts w:ascii="Calibri" w:hAnsi="Calibri"/>
          <w:color w:val="000000"/>
        </w:rPr>
      </w:pPr>
    </w:p>
    <w:p w14:paraId="78C8EFC8" w14:textId="75FBC5C9" w:rsidR="00047F0E" w:rsidRPr="0067454E" w:rsidRDefault="00047F0E" w:rsidP="00047F0E">
      <w:pPr>
        <w:spacing w:line="276" w:lineRule="auto"/>
        <w:rPr>
          <w:rFonts w:ascii="Calibri" w:hAnsi="Calibri"/>
          <w:color w:val="000000"/>
        </w:rPr>
      </w:pPr>
      <w:r w:rsidRPr="0067454E">
        <w:rPr>
          <w:rStyle w:val="Siln"/>
          <w:rFonts w:ascii="Calibri" w:hAnsi="Calibri"/>
          <w:color w:val="000000"/>
        </w:rPr>
        <w:t>Národní památkový ústav,</w:t>
      </w:r>
      <w:r w:rsidRPr="0067454E">
        <w:rPr>
          <w:rFonts w:ascii="Calibri" w:hAnsi="Calibri"/>
          <w:color w:val="000000"/>
        </w:rPr>
        <w:t xml:space="preserve"> státní příspěvková organizace</w:t>
      </w:r>
    </w:p>
    <w:p w14:paraId="78C8EFC9" w14:textId="77777777" w:rsidR="00047F0E" w:rsidRPr="0067454E" w:rsidRDefault="00047F0E" w:rsidP="00047F0E">
      <w:pPr>
        <w:spacing w:line="276" w:lineRule="auto"/>
        <w:rPr>
          <w:rFonts w:ascii="Calibri" w:hAnsi="Calibri"/>
          <w:color w:val="000000"/>
        </w:rPr>
      </w:pPr>
      <w:r w:rsidRPr="0067454E">
        <w:rPr>
          <w:rFonts w:ascii="Calibri" w:hAnsi="Calibri"/>
          <w:color w:val="000000"/>
        </w:rPr>
        <w:t>IČO: 75032333, DIČ: CZ75032333,</w:t>
      </w:r>
    </w:p>
    <w:p w14:paraId="78C8EFCA" w14:textId="77777777" w:rsidR="00047F0E" w:rsidRPr="0067454E" w:rsidRDefault="00047F0E" w:rsidP="00047F0E">
      <w:pPr>
        <w:spacing w:line="276" w:lineRule="auto"/>
        <w:rPr>
          <w:rFonts w:ascii="Calibri" w:hAnsi="Calibri"/>
          <w:color w:val="000000"/>
        </w:rPr>
      </w:pPr>
      <w:r w:rsidRPr="0067454E">
        <w:rPr>
          <w:rFonts w:ascii="Calibri" w:hAnsi="Calibri"/>
          <w:color w:val="000000"/>
        </w:rPr>
        <w:t>se sídlem: Valdštejnské nám. 162/3, PSČ 118 01 Praha 1 – Malá Strana,</w:t>
      </w:r>
    </w:p>
    <w:p w14:paraId="78C8EFCB" w14:textId="77777777" w:rsidR="00047F0E" w:rsidRPr="0067454E" w:rsidRDefault="00047F0E" w:rsidP="00047F0E">
      <w:pPr>
        <w:spacing w:line="276" w:lineRule="auto"/>
        <w:rPr>
          <w:rFonts w:ascii="Calibri" w:hAnsi="Calibri"/>
          <w:color w:val="000000"/>
        </w:rPr>
      </w:pPr>
      <w:r w:rsidRPr="0067454E">
        <w:rPr>
          <w:rFonts w:ascii="Calibri" w:hAnsi="Calibri"/>
          <w:color w:val="000000"/>
        </w:rPr>
        <w:t xml:space="preserve">zastoupen: Ing. arch. Naděždou </w:t>
      </w:r>
      <w:proofErr w:type="spellStart"/>
      <w:r w:rsidRPr="0067454E">
        <w:rPr>
          <w:rFonts w:ascii="Calibri" w:hAnsi="Calibri"/>
          <w:color w:val="000000"/>
        </w:rPr>
        <w:t>Goryczkovou</w:t>
      </w:r>
      <w:proofErr w:type="spellEnd"/>
      <w:r w:rsidRPr="0067454E">
        <w:rPr>
          <w:rFonts w:ascii="Calibri" w:hAnsi="Calibri"/>
          <w:color w:val="000000"/>
        </w:rPr>
        <w:t>, generální ředitelkou</w:t>
      </w:r>
    </w:p>
    <w:p w14:paraId="78C8EFCC" w14:textId="77777777" w:rsidR="00047F0E" w:rsidRDefault="00047F0E" w:rsidP="00047F0E">
      <w:pPr>
        <w:spacing w:line="276" w:lineRule="auto"/>
        <w:rPr>
          <w:rFonts w:ascii="Calibri" w:hAnsi="Calibri"/>
          <w:color w:val="000000"/>
        </w:rPr>
      </w:pPr>
      <w:r w:rsidRPr="0067454E">
        <w:rPr>
          <w:rFonts w:ascii="Calibri" w:hAnsi="Calibri"/>
          <w:color w:val="000000"/>
        </w:rPr>
        <w:t>bankovní spojení: Česká národní banka, č. </w:t>
      </w:r>
      <w:proofErr w:type="spellStart"/>
      <w:r w:rsidRPr="0067454E">
        <w:rPr>
          <w:rFonts w:ascii="Calibri" w:hAnsi="Calibri"/>
          <w:color w:val="000000"/>
        </w:rPr>
        <w:t>ú.</w:t>
      </w:r>
      <w:proofErr w:type="spellEnd"/>
      <w:r w:rsidRPr="0067454E">
        <w:rPr>
          <w:rFonts w:ascii="Calibri" w:hAnsi="Calibri"/>
          <w:color w:val="000000"/>
        </w:rPr>
        <w:t xml:space="preserve">: </w:t>
      </w:r>
      <w:r w:rsidR="00B85D75">
        <w:rPr>
          <w:rFonts w:ascii="Calibri" w:hAnsi="Calibri"/>
          <w:color w:val="000000"/>
        </w:rPr>
        <w:t>60039011/0710</w:t>
      </w:r>
    </w:p>
    <w:p w14:paraId="78C8EFCD" w14:textId="77777777" w:rsidR="00047F0E" w:rsidRPr="00D02CDD" w:rsidRDefault="00047F0E" w:rsidP="00D02CDD">
      <w:pPr>
        <w:spacing w:line="276" w:lineRule="auto"/>
        <w:rPr>
          <w:color w:val="1D1D1D"/>
          <w:sz w:val="27"/>
          <w:szCs w:val="27"/>
          <w:shd w:val="clear" w:color="auto" w:fill="FFFFFF"/>
        </w:rPr>
      </w:pPr>
      <w:r w:rsidRPr="006663BD">
        <w:rPr>
          <w:rFonts w:ascii="Calibri" w:hAnsi="Calibri"/>
        </w:rPr>
        <w:t>(dále jen „</w:t>
      </w:r>
      <w:r w:rsidRPr="006663BD">
        <w:rPr>
          <w:rFonts w:ascii="Calibri" w:hAnsi="Calibri"/>
          <w:b/>
        </w:rPr>
        <w:t>kupující</w:t>
      </w:r>
      <w:r w:rsidRPr="006663BD">
        <w:rPr>
          <w:rFonts w:ascii="Calibri" w:hAnsi="Calibri"/>
        </w:rPr>
        <w:t>“)</w:t>
      </w:r>
    </w:p>
    <w:p w14:paraId="78C8EFCE" w14:textId="77777777" w:rsidR="00047F0E" w:rsidRPr="006663BD" w:rsidRDefault="00047F0E" w:rsidP="00047F0E">
      <w:pPr>
        <w:rPr>
          <w:rFonts w:ascii="Calibri" w:hAnsi="Calibri"/>
        </w:rPr>
      </w:pPr>
    </w:p>
    <w:p w14:paraId="78C8EFCF" w14:textId="77777777" w:rsidR="00047F0E" w:rsidRPr="006663BD" w:rsidRDefault="00047F0E" w:rsidP="00047F0E">
      <w:pPr>
        <w:rPr>
          <w:rFonts w:ascii="Calibri" w:hAnsi="Calibri"/>
        </w:rPr>
      </w:pPr>
      <w:r w:rsidRPr="006663BD">
        <w:rPr>
          <w:rFonts w:ascii="Calibri" w:hAnsi="Calibri"/>
        </w:rPr>
        <w:t>a</w:t>
      </w:r>
    </w:p>
    <w:p w14:paraId="78C8EFD0" w14:textId="77777777" w:rsidR="00047F0E" w:rsidRPr="006663BD" w:rsidRDefault="00047F0E" w:rsidP="00047F0E">
      <w:pPr>
        <w:rPr>
          <w:rFonts w:ascii="Calibri" w:hAnsi="Calibri"/>
        </w:rPr>
      </w:pPr>
    </w:p>
    <w:p w14:paraId="78C8EFD1" w14:textId="5E47366E" w:rsidR="00047F0E" w:rsidRPr="00C94E3B" w:rsidRDefault="00E16F64" w:rsidP="00047F0E">
      <w:pPr>
        <w:rPr>
          <w:rFonts w:ascii="Calibri" w:hAnsi="Calibri"/>
          <w:b/>
        </w:rPr>
      </w:pPr>
      <w:r w:rsidRPr="006E470A">
        <w:rPr>
          <w:rFonts w:ascii="Calibri" w:hAnsi="Calibri"/>
          <w:b/>
        </w:rPr>
        <w:t>BIT SERVIS spol. s r.o.</w:t>
      </w:r>
    </w:p>
    <w:p w14:paraId="2EE11D0E" w14:textId="77777777" w:rsidR="00896AB2" w:rsidRPr="0008700B" w:rsidRDefault="00896AB2" w:rsidP="0008700B">
      <w:pPr>
        <w:spacing w:line="276" w:lineRule="auto"/>
        <w:rPr>
          <w:rFonts w:ascii="Calibri" w:hAnsi="Calibri"/>
          <w:color w:val="000000"/>
        </w:rPr>
      </w:pPr>
      <w:r w:rsidRPr="0008700B">
        <w:rPr>
          <w:rFonts w:ascii="Calibri" w:hAnsi="Calibri"/>
          <w:color w:val="000000"/>
        </w:rPr>
        <w:t>zapsaným v obchodním rejstříku vedeném Městským soudem v Praze, vložka C, oddíl 11262</w:t>
      </w:r>
    </w:p>
    <w:p w14:paraId="5C124C41" w14:textId="77777777" w:rsidR="006742A5" w:rsidRPr="0008700B" w:rsidRDefault="006742A5" w:rsidP="0008700B">
      <w:pPr>
        <w:spacing w:line="276" w:lineRule="auto"/>
        <w:rPr>
          <w:rFonts w:ascii="Calibri" w:hAnsi="Calibri"/>
          <w:color w:val="000000"/>
        </w:rPr>
      </w:pPr>
      <w:r w:rsidRPr="0008700B">
        <w:rPr>
          <w:rFonts w:ascii="Calibri" w:hAnsi="Calibri"/>
          <w:color w:val="000000"/>
        </w:rPr>
        <w:t>se sídlem: Libušská 144/252, 142 00 Praha</w:t>
      </w:r>
    </w:p>
    <w:p w14:paraId="45043CF8" w14:textId="77777777" w:rsidR="006742A5" w:rsidRPr="0008700B" w:rsidRDefault="006742A5" w:rsidP="0008700B">
      <w:pPr>
        <w:spacing w:line="276" w:lineRule="auto"/>
        <w:rPr>
          <w:rFonts w:ascii="Calibri" w:hAnsi="Calibri"/>
          <w:color w:val="000000"/>
        </w:rPr>
      </w:pPr>
      <w:r w:rsidRPr="0008700B">
        <w:rPr>
          <w:rFonts w:ascii="Calibri" w:hAnsi="Calibri"/>
          <w:color w:val="000000"/>
        </w:rPr>
        <w:t>IČO: 45793972, DIČ: CZ45793972</w:t>
      </w:r>
    </w:p>
    <w:p w14:paraId="4EA3CA63" w14:textId="77777777" w:rsidR="006742A5" w:rsidRPr="0008700B" w:rsidRDefault="006742A5" w:rsidP="0008700B">
      <w:pPr>
        <w:spacing w:line="276" w:lineRule="auto"/>
        <w:rPr>
          <w:rFonts w:ascii="Calibri" w:hAnsi="Calibri"/>
          <w:color w:val="000000"/>
        </w:rPr>
      </w:pPr>
      <w:r w:rsidRPr="0008700B">
        <w:rPr>
          <w:rFonts w:ascii="Calibri" w:hAnsi="Calibri"/>
          <w:color w:val="000000"/>
        </w:rPr>
        <w:t>zastoupený: Ondřejem Koutským, jednatelem</w:t>
      </w:r>
    </w:p>
    <w:p w14:paraId="37D52712" w14:textId="77777777" w:rsidR="0008700B" w:rsidRPr="0008700B" w:rsidRDefault="0008700B" w:rsidP="0008700B">
      <w:pPr>
        <w:spacing w:line="276" w:lineRule="auto"/>
        <w:rPr>
          <w:rFonts w:ascii="Calibri" w:hAnsi="Calibri"/>
          <w:color w:val="000000"/>
        </w:rPr>
      </w:pPr>
      <w:r w:rsidRPr="0008700B">
        <w:rPr>
          <w:rFonts w:ascii="Calibri" w:hAnsi="Calibri"/>
          <w:color w:val="000000"/>
        </w:rPr>
        <w:t>bankovní spojení: Česká spořitelna a.s., č. </w:t>
      </w:r>
      <w:proofErr w:type="spellStart"/>
      <w:r w:rsidRPr="0008700B">
        <w:rPr>
          <w:rFonts w:ascii="Calibri" w:hAnsi="Calibri"/>
          <w:color w:val="000000"/>
        </w:rPr>
        <w:t>ú.</w:t>
      </w:r>
      <w:proofErr w:type="spellEnd"/>
      <w:r w:rsidRPr="0008700B">
        <w:rPr>
          <w:rFonts w:ascii="Calibri" w:hAnsi="Calibri"/>
          <w:color w:val="000000"/>
        </w:rPr>
        <w:t>: 1629492/0800</w:t>
      </w:r>
    </w:p>
    <w:p w14:paraId="78C8EFD7" w14:textId="0748B103" w:rsidR="00047F0E" w:rsidRPr="006663BD" w:rsidRDefault="0008700B" w:rsidP="0008700B">
      <w:pPr>
        <w:rPr>
          <w:rFonts w:ascii="Calibri" w:hAnsi="Calibri"/>
        </w:rPr>
      </w:pPr>
      <w:r w:rsidRPr="006663BD">
        <w:rPr>
          <w:rFonts w:ascii="Calibri" w:hAnsi="Calibri"/>
        </w:rPr>
        <w:t xml:space="preserve"> </w:t>
      </w:r>
      <w:r w:rsidR="00047F0E" w:rsidRPr="006663BD">
        <w:rPr>
          <w:rFonts w:ascii="Calibri" w:hAnsi="Calibri"/>
        </w:rPr>
        <w:t>(dále jen „</w:t>
      </w:r>
      <w:r w:rsidR="00047F0E" w:rsidRPr="006663BD">
        <w:rPr>
          <w:rFonts w:ascii="Calibri" w:hAnsi="Calibri"/>
          <w:b/>
        </w:rPr>
        <w:t>prodávající</w:t>
      </w:r>
      <w:r w:rsidR="00047F0E" w:rsidRPr="006663BD">
        <w:rPr>
          <w:rFonts w:ascii="Calibri" w:hAnsi="Calibri"/>
        </w:rPr>
        <w:t>“)</w:t>
      </w:r>
    </w:p>
    <w:p w14:paraId="78C8EFD8" w14:textId="77777777" w:rsidR="00047F0E" w:rsidRPr="006663BD" w:rsidRDefault="00047F0E" w:rsidP="00047F0E">
      <w:pPr>
        <w:rPr>
          <w:rFonts w:ascii="Calibri" w:hAnsi="Calibri"/>
        </w:rPr>
      </w:pPr>
    </w:p>
    <w:p w14:paraId="78C8EFD9" w14:textId="77777777" w:rsidR="00047F0E" w:rsidRPr="006663BD" w:rsidRDefault="00047F0E" w:rsidP="00047F0E">
      <w:pPr>
        <w:tabs>
          <w:tab w:val="left" w:pos="3686"/>
        </w:tabs>
        <w:autoSpaceDE w:val="0"/>
        <w:autoSpaceDN w:val="0"/>
        <w:rPr>
          <w:rFonts w:ascii="Calibri" w:hAnsi="Calibri"/>
        </w:rPr>
      </w:pPr>
      <w:r w:rsidRPr="006663BD">
        <w:rPr>
          <w:rFonts w:ascii="Calibri" w:hAnsi="Calibri"/>
        </w:rPr>
        <w:t xml:space="preserve">jako smluvní strany uzavřely níže uvedeného dne, měsíce a roku ve smyslu </w:t>
      </w:r>
      <w:proofErr w:type="spellStart"/>
      <w:r w:rsidRPr="006663BD">
        <w:rPr>
          <w:rFonts w:ascii="Calibri" w:hAnsi="Calibri"/>
        </w:rPr>
        <w:t>ust</w:t>
      </w:r>
      <w:proofErr w:type="spellEnd"/>
      <w:r w:rsidRPr="006663BD">
        <w:rPr>
          <w:rFonts w:ascii="Calibri" w:hAnsi="Calibri"/>
        </w:rPr>
        <w:t xml:space="preserve">.  § </w:t>
      </w:r>
      <w:smartTag w:uri="urn:schemas-microsoft-com:office:smarttags" w:element="metricconverter">
        <w:smartTagPr>
          <w:attr w:name="ProductID" w:val="2085 a"/>
        </w:smartTagPr>
        <w:r w:rsidRPr="006663BD">
          <w:rPr>
            <w:rFonts w:ascii="Calibri" w:hAnsi="Calibri"/>
          </w:rPr>
          <w:t>2085 a</w:t>
        </w:r>
      </w:smartTag>
      <w:r w:rsidRPr="006663BD">
        <w:rPr>
          <w:rFonts w:ascii="Calibri" w:hAnsi="Calibri"/>
        </w:rPr>
        <w:t xml:space="preserve"> násl. zák. č. 89/2012 Sb., občanský zákoník, v platném znění následující</w:t>
      </w:r>
    </w:p>
    <w:p w14:paraId="78C8EFDA" w14:textId="77777777" w:rsidR="00047F0E" w:rsidRPr="006663BD" w:rsidRDefault="00047F0E" w:rsidP="00047F0E">
      <w:pPr>
        <w:pStyle w:val="Normln0"/>
        <w:jc w:val="center"/>
        <w:rPr>
          <w:rFonts w:ascii="Calibri" w:hAnsi="Calibri"/>
          <w:b/>
          <w:szCs w:val="22"/>
        </w:rPr>
      </w:pPr>
      <w:r w:rsidRPr="006663BD">
        <w:rPr>
          <w:rFonts w:ascii="Calibri" w:hAnsi="Calibri"/>
          <w:b/>
          <w:szCs w:val="22"/>
        </w:rPr>
        <w:t>kupní smlouvu:</w:t>
      </w:r>
    </w:p>
    <w:p w14:paraId="78C8EFDB" w14:textId="77777777" w:rsidR="00047F0E" w:rsidRPr="006663BD" w:rsidRDefault="00047F0E" w:rsidP="00047F0E">
      <w:pPr>
        <w:pStyle w:val="Normln0"/>
        <w:rPr>
          <w:rFonts w:ascii="Calibri" w:hAnsi="Calibri"/>
          <w:szCs w:val="22"/>
        </w:rPr>
      </w:pPr>
    </w:p>
    <w:p w14:paraId="78C8EFDC" w14:textId="77777777" w:rsidR="00047F0E" w:rsidRPr="006663BD" w:rsidRDefault="00047F0E" w:rsidP="00047F0E">
      <w:pPr>
        <w:pStyle w:val="Nadpis41"/>
        <w:rPr>
          <w:rFonts w:ascii="Calibri" w:hAnsi="Calibri"/>
          <w:szCs w:val="22"/>
        </w:rPr>
      </w:pPr>
      <w:r w:rsidRPr="006663BD">
        <w:rPr>
          <w:rFonts w:ascii="Calibri" w:hAnsi="Calibri"/>
          <w:szCs w:val="22"/>
        </w:rPr>
        <w:t>Článek I.</w:t>
      </w:r>
    </w:p>
    <w:p w14:paraId="78C8EFDD" w14:textId="77777777" w:rsidR="00047F0E" w:rsidRPr="006663BD" w:rsidRDefault="00047F0E" w:rsidP="00047F0E">
      <w:pPr>
        <w:pStyle w:val="Nadpis41"/>
        <w:rPr>
          <w:rFonts w:ascii="Calibri" w:hAnsi="Calibri"/>
          <w:szCs w:val="22"/>
        </w:rPr>
      </w:pPr>
      <w:r w:rsidRPr="006663BD">
        <w:rPr>
          <w:rFonts w:ascii="Calibri" w:hAnsi="Calibri"/>
          <w:szCs w:val="22"/>
        </w:rPr>
        <w:t>Úvodní ustanovení</w:t>
      </w:r>
    </w:p>
    <w:p w14:paraId="78C8EFDE" w14:textId="3B8ED812" w:rsidR="00047F0E" w:rsidRPr="00DA7ACE" w:rsidRDefault="00047F0E" w:rsidP="00047F0E">
      <w:pPr>
        <w:pStyle w:val="Default"/>
        <w:numPr>
          <w:ilvl w:val="0"/>
          <w:numId w:val="2"/>
        </w:numPr>
        <w:jc w:val="both"/>
        <w:rPr>
          <w:rFonts w:ascii="Calibri" w:hAnsi="Calibri"/>
          <w:sz w:val="22"/>
          <w:szCs w:val="22"/>
        </w:rPr>
      </w:pPr>
      <w:r w:rsidRPr="00DA7ACE">
        <w:rPr>
          <w:rFonts w:ascii="Calibri" w:hAnsi="Calibri"/>
          <w:sz w:val="22"/>
          <w:szCs w:val="22"/>
        </w:rPr>
        <w:t xml:space="preserve">Smluvní strany konstatují, že tuto smlouvu uzavírá kupující s prodávajícím na základě veřejné zakázky malého rozsahu </w:t>
      </w:r>
      <w:r w:rsidRPr="00DA7ACE">
        <w:rPr>
          <w:rFonts w:ascii="Calibri" w:hAnsi="Calibri" w:cs="Times New Roman"/>
          <w:sz w:val="22"/>
          <w:szCs w:val="22"/>
        </w:rPr>
        <w:t xml:space="preserve">s názvem </w:t>
      </w:r>
      <w:r w:rsidR="00091B62" w:rsidRPr="00091B62">
        <w:rPr>
          <w:rFonts w:ascii="Calibri" w:hAnsi="Calibri" w:cs="Times New Roman"/>
          <w:b/>
          <w:sz w:val="22"/>
          <w:szCs w:val="22"/>
        </w:rPr>
        <w:t xml:space="preserve">„Dodávka a implementace </w:t>
      </w:r>
      <w:r w:rsidR="0080743C">
        <w:rPr>
          <w:rFonts w:ascii="Calibri" w:hAnsi="Calibri" w:cs="Times New Roman"/>
          <w:b/>
          <w:sz w:val="22"/>
          <w:szCs w:val="22"/>
        </w:rPr>
        <w:t>firewallů</w:t>
      </w:r>
      <w:r w:rsidR="00091B62" w:rsidRPr="00091B62">
        <w:rPr>
          <w:rFonts w:ascii="Calibri" w:hAnsi="Calibri" w:cs="Times New Roman"/>
          <w:b/>
          <w:sz w:val="22"/>
          <w:szCs w:val="22"/>
        </w:rPr>
        <w:t>“</w:t>
      </w:r>
      <w:r w:rsidRPr="00DA7ACE">
        <w:rPr>
          <w:rFonts w:ascii="Calibri" w:hAnsi="Calibri" w:cs="Times New Roman"/>
          <w:sz w:val="22"/>
          <w:szCs w:val="22"/>
        </w:rPr>
        <w:t xml:space="preserve">, ID zakázky přidělené systémem Národního elektronického nástroje: </w:t>
      </w:r>
      <w:r w:rsidR="00E669D1">
        <w:rPr>
          <w:rFonts w:ascii="Calibri" w:hAnsi="Calibri" w:cs="Times New Roman"/>
          <w:sz w:val="22"/>
          <w:szCs w:val="22"/>
        </w:rPr>
        <w:t>N006/19/V00032996.</w:t>
      </w:r>
      <w:r w:rsidRPr="00DA7ACE">
        <w:rPr>
          <w:rFonts w:ascii="Calibri" w:hAnsi="Calibri" w:cs="Times New Roman"/>
          <w:sz w:val="22"/>
          <w:szCs w:val="22"/>
        </w:rPr>
        <w:t xml:space="preserve"> </w:t>
      </w:r>
      <w:r w:rsidRPr="00DA7ACE">
        <w:rPr>
          <w:rFonts w:ascii="Calibri" w:hAnsi="Calibri"/>
          <w:sz w:val="22"/>
          <w:szCs w:val="22"/>
        </w:rPr>
        <w:t xml:space="preserve">Smluvní strany se dohodly, že závaznou část jejich smluvních ujednání tvoří rovněž nabídka prodávajícího a zadávací dokumentace na veřejnou zakázku. </w:t>
      </w:r>
    </w:p>
    <w:p w14:paraId="78C8EFDF" w14:textId="77777777" w:rsidR="00047F0E" w:rsidRPr="006663BD" w:rsidRDefault="00047F0E" w:rsidP="00047F0E">
      <w:pPr>
        <w:rPr>
          <w:rFonts w:ascii="Calibri" w:hAnsi="Calibri"/>
        </w:rPr>
      </w:pPr>
    </w:p>
    <w:p w14:paraId="78C8EFE0" w14:textId="77777777" w:rsidR="00047F0E" w:rsidRPr="006663BD" w:rsidRDefault="00047F0E" w:rsidP="00047F0E">
      <w:pPr>
        <w:pStyle w:val="Nadpis41"/>
        <w:rPr>
          <w:rFonts w:ascii="Calibri" w:hAnsi="Calibri"/>
          <w:szCs w:val="22"/>
        </w:rPr>
      </w:pPr>
      <w:r w:rsidRPr="006663BD">
        <w:rPr>
          <w:rFonts w:ascii="Calibri" w:hAnsi="Calibri"/>
          <w:szCs w:val="22"/>
        </w:rPr>
        <w:t>Článek II.</w:t>
      </w:r>
    </w:p>
    <w:p w14:paraId="78C8EFE1" w14:textId="77777777" w:rsidR="00047F0E" w:rsidRPr="006663BD" w:rsidRDefault="00047F0E" w:rsidP="00047F0E">
      <w:pPr>
        <w:pStyle w:val="Nadpis41"/>
        <w:rPr>
          <w:rFonts w:ascii="Calibri" w:hAnsi="Calibri"/>
          <w:szCs w:val="22"/>
        </w:rPr>
      </w:pPr>
      <w:r w:rsidRPr="006663BD">
        <w:rPr>
          <w:rFonts w:ascii="Calibri" w:hAnsi="Calibri"/>
          <w:szCs w:val="22"/>
        </w:rPr>
        <w:t>Předmět smlouvy</w:t>
      </w:r>
    </w:p>
    <w:p w14:paraId="78C8EFE2" w14:textId="77777777" w:rsidR="00FB3256" w:rsidRPr="006420E1" w:rsidRDefault="00FB3256" w:rsidP="008A6FE0">
      <w:pPr>
        <w:pStyle w:val="Nadpis41"/>
        <w:numPr>
          <w:ilvl w:val="0"/>
          <w:numId w:val="3"/>
        </w:numPr>
        <w:jc w:val="both"/>
        <w:rPr>
          <w:rFonts w:ascii="Calibri" w:hAnsi="Calibri"/>
          <w:b w:val="0"/>
          <w:szCs w:val="22"/>
        </w:rPr>
      </w:pPr>
      <w:r w:rsidRPr="009911D5">
        <w:rPr>
          <w:rFonts w:ascii="Calibri" w:hAnsi="Calibri"/>
          <w:b w:val="0"/>
          <w:szCs w:val="22"/>
        </w:rPr>
        <w:t xml:space="preserve">Předmětem této smlouvy je závazek prodávajícího dodat kupujícímu v souladu se zadávacími podmínkami a zadávací dokumentací veřejné zakázky uvedené v čl. I této smlouvy a s nabídkou prodávajícího jako vítězného uchazeče o tuto veřejnou zakázku </w:t>
      </w:r>
      <w:r w:rsidR="0080743C">
        <w:rPr>
          <w:rFonts w:ascii="Calibri" w:hAnsi="Calibri"/>
          <w:szCs w:val="22"/>
        </w:rPr>
        <w:t>firewally</w:t>
      </w:r>
      <w:r w:rsidRPr="009911D5">
        <w:rPr>
          <w:rFonts w:ascii="Calibri" w:hAnsi="Calibri"/>
          <w:szCs w:val="22"/>
        </w:rPr>
        <w:t xml:space="preserve"> podle specifikace uvedené v příloze č. 1 této smlouvy, včetně je</w:t>
      </w:r>
      <w:r w:rsidR="0080743C">
        <w:rPr>
          <w:rFonts w:ascii="Calibri" w:hAnsi="Calibri"/>
          <w:szCs w:val="22"/>
        </w:rPr>
        <w:t>jich</w:t>
      </w:r>
      <w:r w:rsidRPr="009911D5">
        <w:rPr>
          <w:rFonts w:ascii="Calibri" w:hAnsi="Calibri"/>
          <w:szCs w:val="22"/>
        </w:rPr>
        <w:t xml:space="preserve"> implementace</w:t>
      </w:r>
      <w:r w:rsidRPr="009911D5">
        <w:rPr>
          <w:rFonts w:ascii="Calibri" w:hAnsi="Calibri"/>
          <w:b w:val="0"/>
          <w:szCs w:val="22"/>
        </w:rPr>
        <w:t xml:space="preserve"> (dále jen „</w:t>
      </w:r>
      <w:r w:rsidRPr="009911D5">
        <w:rPr>
          <w:rFonts w:ascii="Calibri" w:hAnsi="Calibri"/>
          <w:szCs w:val="22"/>
        </w:rPr>
        <w:t>zboží</w:t>
      </w:r>
      <w:r w:rsidRPr="009911D5">
        <w:rPr>
          <w:rFonts w:ascii="Calibri" w:hAnsi="Calibri"/>
          <w:b w:val="0"/>
          <w:szCs w:val="22"/>
        </w:rPr>
        <w:t>“</w:t>
      </w:r>
      <w:r w:rsidR="00A601CF" w:rsidRPr="009911D5">
        <w:rPr>
          <w:rFonts w:ascii="Calibri" w:hAnsi="Calibri"/>
          <w:b w:val="0"/>
          <w:szCs w:val="22"/>
        </w:rPr>
        <w:t xml:space="preserve">), </w:t>
      </w:r>
      <w:r w:rsidRPr="009911D5">
        <w:rPr>
          <w:rFonts w:ascii="Calibri" w:hAnsi="Calibri"/>
          <w:b w:val="0"/>
          <w:szCs w:val="22"/>
        </w:rPr>
        <w:t>a</w:t>
      </w:r>
      <w:r w:rsidR="00485764" w:rsidRPr="009911D5">
        <w:rPr>
          <w:rFonts w:ascii="Calibri" w:hAnsi="Calibri"/>
          <w:b w:val="0"/>
          <w:szCs w:val="22"/>
        </w:rPr>
        <w:t> </w:t>
      </w:r>
      <w:r w:rsidRPr="009911D5">
        <w:rPr>
          <w:rFonts w:ascii="Calibri" w:hAnsi="Calibri"/>
          <w:b w:val="0"/>
          <w:szCs w:val="22"/>
        </w:rPr>
        <w:t>převést na kupujícího vlastnické právo ke zboží</w:t>
      </w:r>
      <w:r w:rsidR="00A66B14">
        <w:rPr>
          <w:rFonts w:ascii="Calibri" w:hAnsi="Calibri"/>
          <w:b w:val="0"/>
          <w:szCs w:val="22"/>
        </w:rPr>
        <w:t>,</w:t>
      </w:r>
      <w:r w:rsidRPr="009911D5">
        <w:rPr>
          <w:rFonts w:ascii="Calibri" w:hAnsi="Calibri"/>
          <w:b w:val="0"/>
          <w:szCs w:val="22"/>
        </w:rPr>
        <w:t xml:space="preserve"> a závazek kupujícího převzít zboží </w:t>
      </w:r>
      <w:r w:rsidR="00160105" w:rsidRPr="009911D5">
        <w:rPr>
          <w:rFonts w:ascii="Calibri" w:hAnsi="Calibri"/>
          <w:b w:val="0"/>
          <w:szCs w:val="22"/>
        </w:rPr>
        <w:t xml:space="preserve">do vlastnictví České republiky s příslušností hospodařit pro kupujícího </w:t>
      </w:r>
      <w:r w:rsidRPr="009911D5">
        <w:rPr>
          <w:rFonts w:ascii="Calibri" w:hAnsi="Calibri"/>
          <w:b w:val="0"/>
          <w:szCs w:val="22"/>
        </w:rPr>
        <w:t>a zaplatit prodávajícímu sjednanou kupní cenu</w:t>
      </w:r>
      <w:r w:rsidR="00160105" w:rsidRPr="009911D5">
        <w:rPr>
          <w:rFonts w:ascii="Calibri" w:hAnsi="Calibri"/>
          <w:b w:val="0"/>
          <w:szCs w:val="22"/>
        </w:rPr>
        <w:t xml:space="preserve"> </w:t>
      </w:r>
      <w:r w:rsidR="00160105" w:rsidRPr="006420E1">
        <w:rPr>
          <w:rFonts w:ascii="Calibri" w:hAnsi="Calibri"/>
          <w:b w:val="0"/>
          <w:szCs w:val="22"/>
        </w:rPr>
        <w:t>podle článku V</w:t>
      </w:r>
      <w:r w:rsidR="000A4B9D" w:rsidRPr="006420E1">
        <w:rPr>
          <w:rFonts w:ascii="Calibri" w:hAnsi="Calibri"/>
          <w:b w:val="0"/>
          <w:szCs w:val="22"/>
        </w:rPr>
        <w:t>I</w:t>
      </w:r>
      <w:r w:rsidR="002C5ACD" w:rsidRPr="006420E1">
        <w:rPr>
          <w:rFonts w:ascii="Calibri" w:hAnsi="Calibri"/>
          <w:b w:val="0"/>
          <w:szCs w:val="22"/>
        </w:rPr>
        <w:t>I</w:t>
      </w:r>
      <w:r w:rsidR="00160105" w:rsidRPr="006420E1">
        <w:rPr>
          <w:rFonts w:ascii="Calibri" w:hAnsi="Calibri"/>
          <w:b w:val="0"/>
          <w:szCs w:val="22"/>
        </w:rPr>
        <w:t>. této smlouvy</w:t>
      </w:r>
      <w:r w:rsidRPr="006420E1">
        <w:rPr>
          <w:rFonts w:ascii="Calibri" w:hAnsi="Calibri"/>
          <w:b w:val="0"/>
          <w:szCs w:val="22"/>
        </w:rPr>
        <w:t xml:space="preserve">. </w:t>
      </w:r>
    </w:p>
    <w:p w14:paraId="78C8EFE3" w14:textId="77777777" w:rsidR="008A6FE0" w:rsidRPr="008A6FE0" w:rsidRDefault="008A6FE0" w:rsidP="008A6FE0">
      <w:pPr>
        <w:pStyle w:val="Nadpis41"/>
        <w:numPr>
          <w:ilvl w:val="0"/>
          <w:numId w:val="3"/>
        </w:numPr>
        <w:jc w:val="both"/>
        <w:rPr>
          <w:rFonts w:ascii="Calibri" w:hAnsi="Calibri"/>
          <w:b w:val="0"/>
        </w:rPr>
      </w:pPr>
      <w:r w:rsidRPr="006420E1">
        <w:rPr>
          <w:rFonts w:ascii="Calibri" w:hAnsi="Calibri"/>
          <w:b w:val="0"/>
        </w:rPr>
        <w:t>Předmět této smlouvy je dále</w:t>
      </w:r>
      <w:r w:rsidRPr="009911D5">
        <w:rPr>
          <w:rFonts w:ascii="Calibri" w:hAnsi="Calibri"/>
          <w:b w:val="0"/>
        </w:rPr>
        <w:t xml:space="preserve"> závazek prodávajícího poskytnout kupujícímu servisní a technickou podporu dle podmínek stanovených touto smlouvou a přílohou č. 1 této smlouvy. </w:t>
      </w:r>
    </w:p>
    <w:p w14:paraId="78C8EFE4" w14:textId="77777777" w:rsidR="00047F0E" w:rsidRPr="006663BD" w:rsidRDefault="00047F0E" w:rsidP="00047F0E">
      <w:pPr>
        <w:pStyle w:val="Nadpis41"/>
        <w:jc w:val="both"/>
        <w:rPr>
          <w:rFonts w:ascii="Calibri" w:hAnsi="Calibri"/>
          <w:b w:val="0"/>
          <w:szCs w:val="22"/>
        </w:rPr>
      </w:pPr>
    </w:p>
    <w:p w14:paraId="78C8EFE5" w14:textId="77777777" w:rsidR="00047F0E" w:rsidRDefault="00047F0E" w:rsidP="00047F0E">
      <w:pPr>
        <w:pStyle w:val="Nadpis41"/>
        <w:keepNext/>
        <w:rPr>
          <w:rFonts w:ascii="Calibri" w:hAnsi="Calibri"/>
          <w:szCs w:val="22"/>
        </w:rPr>
      </w:pPr>
      <w:r w:rsidRPr="006663BD">
        <w:rPr>
          <w:rFonts w:ascii="Calibri" w:hAnsi="Calibri"/>
          <w:szCs w:val="22"/>
        </w:rPr>
        <w:t>Článek III.</w:t>
      </w:r>
    </w:p>
    <w:p w14:paraId="78C8EFE6" w14:textId="77777777" w:rsidR="005E315D" w:rsidRPr="005E315D" w:rsidRDefault="0033355F" w:rsidP="005E315D">
      <w:pPr>
        <w:jc w:val="center"/>
        <w:rPr>
          <w:rFonts w:ascii="Calibri" w:hAnsi="Calibri"/>
          <w:b/>
        </w:rPr>
      </w:pPr>
      <w:r>
        <w:rPr>
          <w:rFonts w:ascii="Calibri" w:hAnsi="Calibri"/>
          <w:b/>
        </w:rPr>
        <w:t>M</w:t>
      </w:r>
      <w:r w:rsidR="005E315D">
        <w:rPr>
          <w:rFonts w:ascii="Calibri" w:hAnsi="Calibri"/>
          <w:b/>
        </w:rPr>
        <w:t>ísto a doba dodání</w:t>
      </w:r>
      <w:r>
        <w:rPr>
          <w:rFonts w:ascii="Calibri" w:hAnsi="Calibri"/>
          <w:b/>
        </w:rPr>
        <w:t>, přechod vlastnického práva</w:t>
      </w:r>
    </w:p>
    <w:p w14:paraId="78C8EFE7" w14:textId="77777777" w:rsidR="00E7300E" w:rsidRDefault="00047F0E" w:rsidP="00047F0E">
      <w:pPr>
        <w:pStyle w:val="Nadpis41"/>
        <w:keepNext/>
        <w:numPr>
          <w:ilvl w:val="0"/>
          <w:numId w:val="6"/>
        </w:numPr>
        <w:ind w:left="284"/>
        <w:jc w:val="both"/>
        <w:rPr>
          <w:rFonts w:ascii="Calibri" w:hAnsi="Calibri"/>
          <w:b w:val="0"/>
          <w:szCs w:val="22"/>
        </w:rPr>
      </w:pPr>
      <w:r w:rsidRPr="006420E1">
        <w:rPr>
          <w:rFonts w:ascii="Calibri" w:hAnsi="Calibri"/>
          <w:b w:val="0"/>
          <w:szCs w:val="22"/>
        </w:rPr>
        <w:t xml:space="preserve">Prodávající </w:t>
      </w:r>
      <w:r w:rsidR="00E7300E" w:rsidRPr="006420E1">
        <w:rPr>
          <w:rFonts w:ascii="Calibri" w:hAnsi="Calibri"/>
          <w:b w:val="0"/>
          <w:szCs w:val="22"/>
        </w:rPr>
        <w:t xml:space="preserve">se zavazuje dodat </w:t>
      </w:r>
      <w:r w:rsidRPr="006420E1">
        <w:rPr>
          <w:rFonts w:ascii="Calibri" w:hAnsi="Calibri"/>
          <w:b w:val="0"/>
          <w:szCs w:val="22"/>
        </w:rPr>
        <w:t>kupujícímu</w:t>
      </w:r>
      <w:r w:rsidR="005263EA" w:rsidRPr="006420E1">
        <w:rPr>
          <w:rFonts w:ascii="Calibri" w:hAnsi="Calibri"/>
          <w:b w:val="0"/>
          <w:szCs w:val="22"/>
        </w:rPr>
        <w:t xml:space="preserve"> zboží specifikované blíže v</w:t>
      </w:r>
      <w:r w:rsidR="00B44149" w:rsidRPr="006420E1">
        <w:rPr>
          <w:rFonts w:ascii="Calibri" w:hAnsi="Calibri"/>
          <w:b w:val="0"/>
          <w:szCs w:val="22"/>
        </w:rPr>
        <w:t xml:space="preserve"> přílo</w:t>
      </w:r>
      <w:r w:rsidR="005263EA" w:rsidRPr="006420E1">
        <w:rPr>
          <w:rFonts w:ascii="Calibri" w:hAnsi="Calibri"/>
          <w:b w:val="0"/>
          <w:szCs w:val="22"/>
        </w:rPr>
        <w:t>ze</w:t>
      </w:r>
      <w:r w:rsidR="00B44149" w:rsidRPr="006420E1">
        <w:rPr>
          <w:rFonts w:ascii="Calibri" w:hAnsi="Calibri"/>
          <w:b w:val="0"/>
          <w:szCs w:val="22"/>
        </w:rPr>
        <w:t xml:space="preserve"> č. 1 smlouvy, a to</w:t>
      </w:r>
      <w:r w:rsidRPr="006420E1">
        <w:rPr>
          <w:rFonts w:ascii="Calibri" w:hAnsi="Calibri"/>
          <w:b w:val="0"/>
          <w:szCs w:val="22"/>
        </w:rPr>
        <w:t xml:space="preserve"> </w:t>
      </w:r>
      <w:r w:rsidR="00E7300E" w:rsidRPr="00CC6A22">
        <w:rPr>
          <w:rFonts w:ascii="Calibri" w:hAnsi="Calibri"/>
          <w:b w:val="0"/>
          <w:szCs w:val="22"/>
        </w:rPr>
        <w:t xml:space="preserve">do </w:t>
      </w:r>
      <w:r w:rsidR="00DE19B7" w:rsidRPr="00CC6A22">
        <w:rPr>
          <w:rFonts w:ascii="Calibri" w:hAnsi="Calibri"/>
          <w:b w:val="0"/>
          <w:szCs w:val="22"/>
        </w:rPr>
        <w:t>3</w:t>
      </w:r>
      <w:r w:rsidR="00DE19B7" w:rsidRPr="006420E1">
        <w:rPr>
          <w:rFonts w:ascii="Calibri" w:hAnsi="Calibri"/>
          <w:b w:val="0"/>
          <w:szCs w:val="22"/>
        </w:rPr>
        <w:t xml:space="preserve"> měsíců</w:t>
      </w:r>
      <w:r w:rsidR="00E7300E" w:rsidRPr="006420E1">
        <w:rPr>
          <w:rFonts w:ascii="Calibri" w:hAnsi="Calibri"/>
          <w:b w:val="0"/>
          <w:szCs w:val="22"/>
        </w:rPr>
        <w:t xml:space="preserve"> ode dne účinnosti této smlouvy</w:t>
      </w:r>
      <w:r w:rsidRPr="00631FCA">
        <w:rPr>
          <w:rFonts w:ascii="Calibri" w:hAnsi="Calibri"/>
          <w:b w:val="0"/>
          <w:szCs w:val="22"/>
        </w:rPr>
        <w:t>.</w:t>
      </w:r>
    </w:p>
    <w:p w14:paraId="78C8EFE8" w14:textId="77777777" w:rsidR="00872751" w:rsidRPr="00546632" w:rsidRDefault="00872751" w:rsidP="00047F0E">
      <w:pPr>
        <w:pStyle w:val="Default"/>
        <w:numPr>
          <w:ilvl w:val="0"/>
          <w:numId w:val="6"/>
        </w:numPr>
        <w:ind w:left="284"/>
        <w:jc w:val="both"/>
        <w:rPr>
          <w:rFonts w:ascii="Calibri" w:hAnsi="Calibri"/>
          <w:sz w:val="22"/>
          <w:szCs w:val="22"/>
        </w:rPr>
      </w:pPr>
      <w:r w:rsidRPr="00546632">
        <w:rPr>
          <w:rFonts w:ascii="Calibri" w:hAnsi="Calibri"/>
          <w:sz w:val="22"/>
          <w:szCs w:val="22"/>
        </w:rPr>
        <w:t>Místem plnění je</w:t>
      </w:r>
      <w:r w:rsidRPr="00546632">
        <w:rPr>
          <w:rFonts w:ascii="Calibri" w:eastAsia="Times New Roman" w:hAnsi="Calibri"/>
          <w:color w:val="auto"/>
          <w:sz w:val="22"/>
          <w:szCs w:val="22"/>
          <w:lang w:eastAsia="cs-CZ"/>
        </w:rPr>
        <w:t xml:space="preserve">: </w:t>
      </w:r>
      <w:r w:rsidR="007616D2" w:rsidRPr="00546632">
        <w:rPr>
          <w:rFonts w:ascii="Calibri" w:eastAsia="Times New Roman" w:hAnsi="Calibri"/>
          <w:color w:val="auto"/>
          <w:sz w:val="22"/>
          <w:szCs w:val="22"/>
          <w:lang w:eastAsia="cs-CZ"/>
        </w:rPr>
        <w:t>sídlo kupujícího na adrese: Valdštejnské nám. 162/3, PSČ 118 01 Praha 1 – Malá Strana.</w:t>
      </w:r>
      <w:r w:rsidR="007616D2" w:rsidRPr="00546632">
        <w:rPr>
          <w:rFonts w:ascii="Calibri" w:hAnsi="Calibri"/>
          <w:sz w:val="22"/>
          <w:szCs w:val="22"/>
        </w:rPr>
        <w:t xml:space="preserve"> </w:t>
      </w:r>
    </w:p>
    <w:p w14:paraId="78C8EFE9" w14:textId="77777777" w:rsidR="00944420" w:rsidRDefault="00596C57" w:rsidP="003F2E61">
      <w:pPr>
        <w:pStyle w:val="Nadpis41"/>
        <w:keepNext/>
        <w:numPr>
          <w:ilvl w:val="0"/>
          <w:numId w:val="6"/>
        </w:numPr>
        <w:ind w:left="284"/>
        <w:jc w:val="both"/>
        <w:rPr>
          <w:rFonts w:ascii="Calibri" w:hAnsi="Calibri"/>
          <w:szCs w:val="22"/>
        </w:rPr>
      </w:pPr>
      <w:r w:rsidRPr="00546632">
        <w:rPr>
          <w:rFonts w:ascii="Calibri" w:hAnsi="Calibri"/>
          <w:b w:val="0"/>
          <w:szCs w:val="22"/>
        </w:rPr>
        <w:lastRenderedPageBreak/>
        <w:t>Zboží je dodáno v okamžiku převzetí zboží kupujícím v místě</w:t>
      </w:r>
      <w:r w:rsidRPr="003F2E61">
        <w:rPr>
          <w:rFonts w:ascii="Calibri" w:hAnsi="Calibri"/>
          <w:b w:val="0"/>
          <w:szCs w:val="22"/>
        </w:rPr>
        <w:t xml:space="preserve"> plnění.</w:t>
      </w:r>
      <w:r>
        <w:rPr>
          <w:rFonts w:ascii="Calibri" w:hAnsi="Calibri"/>
          <w:szCs w:val="22"/>
        </w:rPr>
        <w:t xml:space="preserve"> </w:t>
      </w:r>
    </w:p>
    <w:p w14:paraId="78C8EFEA" w14:textId="77777777" w:rsidR="003F2E61" w:rsidRPr="009911D5" w:rsidRDefault="00944420" w:rsidP="003F2E61">
      <w:pPr>
        <w:pStyle w:val="Nadpis41"/>
        <w:keepNext/>
        <w:numPr>
          <w:ilvl w:val="0"/>
          <w:numId w:val="6"/>
        </w:numPr>
        <w:ind w:left="284"/>
        <w:jc w:val="both"/>
      </w:pPr>
      <w:r w:rsidRPr="00467ACF">
        <w:rPr>
          <w:rFonts w:ascii="Calibri" w:hAnsi="Calibri"/>
          <w:b w:val="0"/>
          <w:szCs w:val="22"/>
        </w:rPr>
        <w:t>Prodávající výslovně prohlašuje, že zboží bude dodáno v ujednaném množství, jakosti a provedení, včetně příslušných dokladů nutných k užívání věci, bude prosté faktických i právních vad a způsobilé k užívání.</w:t>
      </w:r>
      <w:r w:rsidR="00467ACF" w:rsidRPr="00467ACF">
        <w:rPr>
          <w:rFonts w:ascii="Calibri" w:hAnsi="Calibri"/>
          <w:b w:val="0"/>
          <w:szCs w:val="22"/>
        </w:rPr>
        <w:t xml:space="preserve"> </w:t>
      </w:r>
      <w:r w:rsidR="003F2E61" w:rsidRPr="00467ACF">
        <w:rPr>
          <w:rFonts w:ascii="Calibri" w:hAnsi="Calibri"/>
          <w:b w:val="0"/>
          <w:szCs w:val="22"/>
        </w:rPr>
        <w:t>Zboží bude dodáno kupujícímu jako nové, nepoužité</w:t>
      </w:r>
      <w:r w:rsidR="00467ACF">
        <w:rPr>
          <w:rFonts w:ascii="Calibri" w:hAnsi="Calibri"/>
          <w:b w:val="0"/>
          <w:szCs w:val="22"/>
        </w:rPr>
        <w:t xml:space="preserve"> a</w:t>
      </w:r>
      <w:r w:rsidR="003F2E61" w:rsidRPr="00467ACF">
        <w:rPr>
          <w:rFonts w:ascii="Calibri" w:hAnsi="Calibri"/>
          <w:b w:val="0"/>
          <w:szCs w:val="22"/>
        </w:rPr>
        <w:t xml:space="preserve"> bez vad.</w:t>
      </w:r>
    </w:p>
    <w:p w14:paraId="78C8EFEB" w14:textId="77777777" w:rsidR="00596C57" w:rsidRDefault="00596C57" w:rsidP="00047F0E">
      <w:pPr>
        <w:pStyle w:val="Default"/>
        <w:numPr>
          <w:ilvl w:val="0"/>
          <w:numId w:val="6"/>
        </w:numPr>
        <w:ind w:left="284"/>
        <w:jc w:val="both"/>
        <w:rPr>
          <w:rFonts w:ascii="Calibri" w:hAnsi="Calibri"/>
          <w:sz w:val="22"/>
          <w:szCs w:val="22"/>
        </w:rPr>
      </w:pPr>
      <w:r>
        <w:rPr>
          <w:rFonts w:ascii="Calibri" w:hAnsi="Calibri"/>
          <w:sz w:val="22"/>
          <w:szCs w:val="22"/>
        </w:rPr>
        <w:t xml:space="preserve">O převzetí zboží bude smluvními stranami sepsán předávací protokol. </w:t>
      </w:r>
    </w:p>
    <w:p w14:paraId="78C8EFEC" w14:textId="77777777" w:rsidR="00596C57" w:rsidRDefault="00AC1A35" w:rsidP="00047F0E">
      <w:pPr>
        <w:pStyle w:val="Default"/>
        <w:numPr>
          <w:ilvl w:val="0"/>
          <w:numId w:val="6"/>
        </w:numPr>
        <w:ind w:left="284"/>
        <w:jc w:val="both"/>
        <w:rPr>
          <w:rFonts w:ascii="Calibri" w:hAnsi="Calibri"/>
          <w:sz w:val="22"/>
          <w:szCs w:val="22"/>
        </w:rPr>
      </w:pPr>
      <w:r>
        <w:rPr>
          <w:rFonts w:ascii="Calibri" w:hAnsi="Calibri"/>
          <w:sz w:val="22"/>
          <w:szCs w:val="22"/>
        </w:rPr>
        <w:t xml:space="preserve">Prodávající je povinen informovat </w:t>
      </w:r>
      <w:r w:rsidRPr="00546632">
        <w:rPr>
          <w:rFonts w:ascii="Calibri" w:hAnsi="Calibri"/>
          <w:sz w:val="22"/>
          <w:szCs w:val="22"/>
        </w:rPr>
        <w:t xml:space="preserve">pověřeného zástupce kupujícího uvedeného v čl. </w:t>
      </w:r>
      <w:r w:rsidR="00546632" w:rsidRPr="00546632">
        <w:rPr>
          <w:rFonts w:ascii="Calibri" w:hAnsi="Calibri"/>
          <w:sz w:val="22"/>
          <w:szCs w:val="22"/>
        </w:rPr>
        <w:t>X</w:t>
      </w:r>
      <w:r>
        <w:rPr>
          <w:rFonts w:ascii="Calibri" w:hAnsi="Calibri"/>
          <w:sz w:val="22"/>
          <w:szCs w:val="22"/>
        </w:rPr>
        <w:t xml:space="preserve"> smlouvy telefonicky nebo emailem o dodání zboží na místo plnění a dohodnout s ním konkrétní den a hod</w:t>
      </w:r>
      <w:r w:rsidR="00A66B14">
        <w:rPr>
          <w:rFonts w:ascii="Calibri" w:hAnsi="Calibri"/>
          <w:sz w:val="22"/>
          <w:szCs w:val="22"/>
        </w:rPr>
        <w:t>i</w:t>
      </w:r>
      <w:r>
        <w:rPr>
          <w:rFonts w:ascii="Calibri" w:hAnsi="Calibri"/>
          <w:sz w:val="22"/>
          <w:szCs w:val="22"/>
        </w:rPr>
        <w:t xml:space="preserve">nu dodání nejméně 3 pracovní dny </w:t>
      </w:r>
      <w:r w:rsidR="008937A2">
        <w:rPr>
          <w:rFonts w:ascii="Calibri" w:hAnsi="Calibri"/>
          <w:sz w:val="22"/>
          <w:szCs w:val="22"/>
        </w:rPr>
        <w:t>p</w:t>
      </w:r>
      <w:r>
        <w:rPr>
          <w:rFonts w:ascii="Calibri" w:hAnsi="Calibri"/>
          <w:sz w:val="22"/>
          <w:szCs w:val="22"/>
        </w:rPr>
        <w:t>ředem.</w:t>
      </w:r>
    </w:p>
    <w:p w14:paraId="78C8EFED" w14:textId="785EAD93" w:rsidR="00047F0E" w:rsidRDefault="00047F0E" w:rsidP="00047F0E">
      <w:pPr>
        <w:pStyle w:val="Nadpis41"/>
        <w:numPr>
          <w:ilvl w:val="0"/>
          <w:numId w:val="6"/>
        </w:numPr>
        <w:ind w:left="284"/>
        <w:jc w:val="both"/>
        <w:rPr>
          <w:rFonts w:ascii="Calibri" w:eastAsia="Calibri" w:hAnsi="Calibri"/>
          <w:b w:val="0"/>
          <w:color w:val="000000"/>
          <w:szCs w:val="22"/>
          <w:lang w:eastAsia="en-US"/>
        </w:rPr>
      </w:pPr>
      <w:r w:rsidRPr="006663BD">
        <w:rPr>
          <w:rFonts w:ascii="Calibri" w:hAnsi="Calibri"/>
          <w:b w:val="0"/>
          <w:szCs w:val="22"/>
        </w:rPr>
        <w:t>Vlastnické právo k předmětu koupě kupující nabývá jeho převzetím.</w:t>
      </w:r>
      <w:r>
        <w:rPr>
          <w:rFonts w:ascii="Calibri" w:hAnsi="Calibri"/>
          <w:b w:val="0"/>
          <w:szCs w:val="22"/>
        </w:rPr>
        <w:t xml:space="preserve"> Nebezpečí škody na věci </w:t>
      </w:r>
      <w:r w:rsidRPr="00CE1D1C">
        <w:rPr>
          <w:rFonts w:ascii="Calibri" w:eastAsia="Calibri" w:hAnsi="Calibri"/>
          <w:b w:val="0"/>
          <w:color w:val="000000"/>
          <w:szCs w:val="22"/>
          <w:lang w:eastAsia="en-US"/>
        </w:rPr>
        <w:t>přechází na kupujícího rovněž jeho převzetím.</w:t>
      </w:r>
    </w:p>
    <w:p w14:paraId="6335D0CB" w14:textId="77777777" w:rsidR="0090327C" w:rsidRPr="0090327C" w:rsidRDefault="0090327C" w:rsidP="0090327C">
      <w:pPr>
        <w:rPr>
          <w:rFonts w:eastAsia="Calibri"/>
          <w:lang w:eastAsia="en-US"/>
        </w:rPr>
      </w:pPr>
    </w:p>
    <w:p w14:paraId="78C8EFEE" w14:textId="77777777" w:rsidR="00196E48" w:rsidRPr="00196E48" w:rsidRDefault="00196E48" w:rsidP="00196E48"/>
    <w:p w14:paraId="78C8EFEF" w14:textId="77777777" w:rsidR="00196E48" w:rsidRDefault="00196E48" w:rsidP="00196E48">
      <w:pPr>
        <w:pStyle w:val="Nadpis41"/>
        <w:keepNext/>
        <w:rPr>
          <w:rFonts w:ascii="Calibri" w:hAnsi="Calibri"/>
          <w:szCs w:val="22"/>
        </w:rPr>
      </w:pPr>
      <w:r w:rsidRPr="006663BD">
        <w:rPr>
          <w:rFonts w:ascii="Calibri" w:hAnsi="Calibri"/>
          <w:szCs w:val="22"/>
        </w:rPr>
        <w:t>Článek I</w:t>
      </w:r>
      <w:r>
        <w:rPr>
          <w:rFonts w:ascii="Calibri" w:hAnsi="Calibri"/>
          <w:szCs w:val="22"/>
        </w:rPr>
        <w:t>V</w:t>
      </w:r>
      <w:r w:rsidRPr="006663BD">
        <w:rPr>
          <w:rFonts w:ascii="Calibri" w:hAnsi="Calibri"/>
          <w:szCs w:val="22"/>
        </w:rPr>
        <w:t>.</w:t>
      </w:r>
    </w:p>
    <w:p w14:paraId="78C8EFF0" w14:textId="77777777" w:rsidR="005B4F93" w:rsidRPr="005B4F93" w:rsidRDefault="003607F4" w:rsidP="000278E4">
      <w:pPr>
        <w:jc w:val="center"/>
        <w:rPr>
          <w:rFonts w:ascii="Calibri" w:eastAsia="Calibri" w:hAnsi="Calibri"/>
          <w:color w:val="000000"/>
          <w:lang w:eastAsia="en-US"/>
        </w:rPr>
      </w:pPr>
      <w:r>
        <w:rPr>
          <w:rFonts w:ascii="Calibri" w:eastAsia="Calibri" w:hAnsi="Calibri"/>
          <w:b/>
          <w:color w:val="000000"/>
          <w:lang w:eastAsia="en-US"/>
        </w:rPr>
        <w:t>I</w:t>
      </w:r>
      <w:r w:rsidR="005B4F93" w:rsidRPr="000278E4">
        <w:rPr>
          <w:rFonts w:ascii="Calibri" w:eastAsia="Calibri" w:hAnsi="Calibri"/>
          <w:b/>
          <w:color w:val="000000"/>
          <w:lang w:eastAsia="en-US"/>
        </w:rPr>
        <w:t>mplementační práce</w:t>
      </w:r>
    </w:p>
    <w:p w14:paraId="78C8EFF1" w14:textId="77777777" w:rsidR="005B4F93" w:rsidRPr="000278E4" w:rsidRDefault="005B4F93" w:rsidP="00374223">
      <w:pPr>
        <w:pStyle w:val="Default"/>
        <w:numPr>
          <w:ilvl w:val="0"/>
          <w:numId w:val="10"/>
        </w:numPr>
        <w:ind w:left="284"/>
        <w:jc w:val="both"/>
        <w:rPr>
          <w:rFonts w:ascii="Calibri" w:hAnsi="Calibri"/>
          <w:sz w:val="22"/>
          <w:szCs w:val="22"/>
        </w:rPr>
      </w:pPr>
      <w:r w:rsidRPr="000278E4">
        <w:rPr>
          <w:rFonts w:ascii="Calibri" w:hAnsi="Calibri"/>
          <w:sz w:val="22"/>
          <w:szCs w:val="22"/>
        </w:rPr>
        <w:t>Součástí dodávky budou následující činnosti instalace a konfigurace dodaného řešení:</w:t>
      </w:r>
    </w:p>
    <w:p w14:paraId="78C8EFF2" w14:textId="77777777" w:rsidR="005B4F93" w:rsidRPr="005B4F93" w:rsidRDefault="005B4F93" w:rsidP="005B4F93">
      <w:pPr>
        <w:rPr>
          <w:rFonts w:ascii="Calibri" w:eastAsia="Calibri" w:hAnsi="Calibri"/>
          <w:color w:val="000000"/>
          <w:lang w:eastAsia="en-US"/>
        </w:rPr>
      </w:pPr>
    </w:p>
    <w:p w14:paraId="78C8EFF3" w14:textId="77777777" w:rsidR="0080743C" w:rsidRPr="004B3B5E" w:rsidRDefault="0080743C" w:rsidP="0080743C">
      <w:pPr>
        <w:numPr>
          <w:ilvl w:val="0"/>
          <w:numId w:val="8"/>
        </w:numPr>
        <w:spacing w:after="160" w:line="259" w:lineRule="auto"/>
        <w:contextualSpacing/>
        <w:jc w:val="left"/>
        <w:rPr>
          <w:rFonts w:ascii="Calibri" w:eastAsia="Calibri" w:hAnsi="Calibri" w:cs="Times New Roman"/>
        </w:rPr>
      </w:pPr>
      <w:r w:rsidRPr="004B3B5E">
        <w:rPr>
          <w:rFonts w:ascii="Calibri" w:eastAsia="Calibri" w:hAnsi="Calibri" w:cs="Times New Roman"/>
        </w:rPr>
        <w:t>Hardwarová příprava všech komponent řešení</w:t>
      </w:r>
    </w:p>
    <w:p w14:paraId="78C8EFF4" w14:textId="77777777" w:rsidR="0080743C" w:rsidRPr="004B3B5E" w:rsidRDefault="0080743C" w:rsidP="0080743C">
      <w:pPr>
        <w:numPr>
          <w:ilvl w:val="0"/>
          <w:numId w:val="8"/>
        </w:numPr>
        <w:spacing w:after="160" w:line="259" w:lineRule="auto"/>
        <w:contextualSpacing/>
        <w:jc w:val="left"/>
        <w:rPr>
          <w:rFonts w:ascii="Calibri" w:eastAsia="Calibri" w:hAnsi="Calibri" w:cs="Times New Roman"/>
        </w:rPr>
      </w:pPr>
      <w:r w:rsidRPr="004B3B5E">
        <w:rPr>
          <w:rFonts w:ascii="Calibri" w:eastAsia="Calibri" w:hAnsi="Calibri" w:cs="Times New Roman"/>
        </w:rPr>
        <w:t>Instalace všech zařízení do racku objednatele</w:t>
      </w:r>
      <w:r>
        <w:rPr>
          <w:rFonts w:ascii="Calibri" w:eastAsia="Calibri" w:hAnsi="Calibri" w:cs="Times New Roman"/>
        </w:rPr>
        <w:t xml:space="preserve"> v jednotlivých lokalitách</w:t>
      </w:r>
    </w:p>
    <w:p w14:paraId="78C8EFF5" w14:textId="77777777" w:rsidR="0080743C" w:rsidRPr="004B3B5E" w:rsidRDefault="0080743C" w:rsidP="0080743C">
      <w:pPr>
        <w:numPr>
          <w:ilvl w:val="0"/>
          <w:numId w:val="8"/>
        </w:numPr>
        <w:spacing w:after="160" w:line="259" w:lineRule="auto"/>
        <w:contextualSpacing/>
        <w:jc w:val="left"/>
        <w:rPr>
          <w:rFonts w:ascii="Calibri" w:eastAsia="Calibri" w:hAnsi="Calibri" w:cs="Times New Roman"/>
        </w:rPr>
      </w:pPr>
      <w:r w:rsidRPr="004B3B5E">
        <w:rPr>
          <w:rFonts w:ascii="Calibri" w:eastAsia="Calibri" w:hAnsi="Calibri" w:cs="Times New Roman"/>
        </w:rPr>
        <w:t>Zapojení ke zdroji elektrického proudu</w:t>
      </w:r>
    </w:p>
    <w:p w14:paraId="78C8EFF6" w14:textId="77777777" w:rsidR="0080743C" w:rsidRPr="004B3B5E" w:rsidRDefault="0080743C" w:rsidP="0080743C">
      <w:pPr>
        <w:numPr>
          <w:ilvl w:val="0"/>
          <w:numId w:val="8"/>
        </w:numPr>
        <w:spacing w:after="160" w:line="259" w:lineRule="auto"/>
        <w:contextualSpacing/>
        <w:jc w:val="left"/>
        <w:rPr>
          <w:rFonts w:ascii="Calibri" w:eastAsia="Calibri" w:hAnsi="Calibri" w:cs="Times New Roman"/>
        </w:rPr>
      </w:pPr>
      <w:r w:rsidRPr="004B3B5E">
        <w:rPr>
          <w:rFonts w:ascii="Calibri" w:eastAsia="Calibri" w:hAnsi="Calibri" w:cs="Times New Roman"/>
        </w:rPr>
        <w:t>Zapojení do sítě</w:t>
      </w:r>
    </w:p>
    <w:p w14:paraId="78C8EFF7" w14:textId="77777777" w:rsidR="0080743C" w:rsidRPr="004B3B5E" w:rsidRDefault="0080743C" w:rsidP="0080743C">
      <w:pPr>
        <w:numPr>
          <w:ilvl w:val="0"/>
          <w:numId w:val="8"/>
        </w:numPr>
        <w:spacing w:after="160" w:line="259" w:lineRule="auto"/>
        <w:contextualSpacing/>
        <w:jc w:val="left"/>
        <w:rPr>
          <w:rFonts w:ascii="Calibri" w:eastAsia="Calibri" w:hAnsi="Calibri" w:cs="Times New Roman"/>
        </w:rPr>
      </w:pPr>
      <w:r w:rsidRPr="004B3B5E">
        <w:rPr>
          <w:rFonts w:ascii="Calibri" w:eastAsia="Calibri" w:hAnsi="Calibri" w:cs="Times New Roman"/>
        </w:rPr>
        <w:t>Konfigurace všech zařízení tak, aby plně nahradila stávající řešení</w:t>
      </w:r>
    </w:p>
    <w:p w14:paraId="78C8EFF8" w14:textId="77777777" w:rsidR="0080743C" w:rsidRPr="004B3B5E" w:rsidRDefault="0080743C" w:rsidP="0080743C">
      <w:pPr>
        <w:numPr>
          <w:ilvl w:val="0"/>
          <w:numId w:val="8"/>
        </w:numPr>
        <w:spacing w:after="160" w:line="259" w:lineRule="auto"/>
        <w:contextualSpacing/>
        <w:jc w:val="left"/>
        <w:rPr>
          <w:rFonts w:ascii="Calibri" w:eastAsia="Calibri" w:hAnsi="Calibri" w:cs="Times New Roman"/>
        </w:rPr>
      </w:pPr>
      <w:r w:rsidRPr="004B3B5E">
        <w:rPr>
          <w:rFonts w:ascii="Calibri" w:eastAsia="Calibri" w:hAnsi="Calibri" w:cs="Times New Roman"/>
        </w:rPr>
        <w:t>Provedení migrace na nové řešení</w:t>
      </w:r>
    </w:p>
    <w:p w14:paraId="78C8EFF9" w14:textId="77777777" w:rsidR="0080743C" w:rsidRPr="004B3B5E" w:rsidRDefault="0080743C" w:rsidP="0080743C">
      <w:pPr>
        <w:numPr>
          <w:ilvl w:val="0"/>
          <w:numId w:val="8"/>
        </w:numPr>
        <w:spacing w:after="160" w:line="259" w:lineRule="auto"/>
        <w:contextualSpacing/>
        <w:jc w:val="left"/>
        <w:rPr>
          <w:rFonts w:ascii="Calibri" w:eastAsia="Calibri" w:hAnsi="Calibri" w:cs="Times New Roman"/>
        </w:rPr>
      </w:pPr>
      <w:r w:rsidRPr="004B3B5E">
        <w:rPr>
          <w:rFonts w:ascii="Calibri" w:eastAsia="Calibri" w:hAnsi="Calibri" w:cs="Times New Roman"/>
        </w:rPr>
        <w:t>N</w:t>
      </w:r>
      <w:r>
        <w:rPr>
          <w:rFonts w:ascii="Calibri" w:eastAsia="Calibri" w:hAnsi="Calibri" w:cs="Times New Roman"/>
        </w:rPr>
        <w:t>ávrh řešení segmentace lokální</w:t>
      </w:r>
      <w:r w:rsidRPr="004B3B5E">
        <w:rPr>
          <w:rFonts w:ascii="Calibri" w:eastAsia="Calibri" w:hAnsi="Calibri" w:cs="Times New Roman"/>
        </w:rPr>
        <w:t xml:space="preserve"> sítě v obou lokalitách včetně komunikačních pravidel</w:t>
      </w:r>
    </w:p>
    <w:p w14:paraId="78C8EFFA" w14:textId="77777777" w:rsidR="0080743C" w:rsidRPr="004B3B5E" w:rsidRDefault="0080743C" w:rsidP="0080743C">
      <w:pPr>
        <w:numPr>
          <w:ilvl w:val="0"/>
          <w:numId w:val="8"/>
        </w:numPr>
        <w:spacing w:after="160" w:line="259" w:lineRule="auto"/>
        <w:contextualSpacing/>
        <w:jc w:val="left"/>
        <w:rPr>
          <w:rFonts w:ascii="Calibri" w:eastAsia="Calibri" w:hAnsi="Calibri" w:cs="Times New Roman"/>
        </w:rPr>
      </w:pPr>
      <w:r w:rsidRPr="004B3B5E">
        <w:rPr>
          <w:rFonts w:ascii="Calibri" w:eastAsia="Calibri" w:hAnsi="Calibri" w:cs="Times New Roman"/>
        </w:rPr>
        <w:t xml:space="preserve">Konfigurace segmentace interních sítí na všech zařízeních </w:t>
      </w:r>
    </w:p>
    <w:p w14:paraId="78C8EFFB" w14:textId="77777777" w:rsidR="0080743C" w:rsidRPr="004B3B5E" w:rsidRDefault="0080743C" w:rsidP="0080743C">
      <w:pPr>
        <w:numPr>
          <w:ilvl w:val="0"/>
          <w:numId w:val="8"/>
        </w:numPr>
        <w:spacing w:after="160" w:line="259" w:lineRule="auto"/>
        <w:contextualSpacing/>
        <w:jc w:val="left"/>
        <w:rPr>
          <w:rFonts w:ascii="Calibri" w:eastAsia="Calibri" w:hAnsi="Calibri" w:cs="Times New Roman"/>
        </w:rPr>
      </w:pPr>
      <w:r w:rsidRPr="004B3B5E">
        <w:rPr>
          <w:rFonts w:ascii="Calibri" w:eastAsia="Calibri" w:hAnsi="Calibri" w:cs="Times New Roman"/>
        </w:rPr>
        <w:t>Provedení migrace interních sítí do segmentovaného prostředí</w:t>
      </w:r>
    </w:p>
    <w:p w14:paraId="78C8EFFC" w14:textId="77777777" w:rsidR="0080743C" w:rsidRPr="004B3B5E" w:rsidRDefault="0080743C" w:rsidP="0080743C">
      <w:pPr>
        <w:numPr>
          <w:ilvl w:val="0"/>
          <w:numId w:val="8"/>
        </w:numPr>
        <w:spacing w:after="160" w:line="259" w:lineRule="auto"/>
        <w:contextualSpacing/>
        <w:jc w:val="left"/>
        <w:rPr>
          <w:rFonts w:ascii="Calibri" w:eastAsia="Calibri" w:hAnsi="Calibri" w:cs="Times New Roman"/>
        </w:rPr>
      </w:pPr>
      <w:r w:rsidRPr="004B3B5E">
        <w:rPr>
          <w:rFonts w:ascii="Calibri" w:eastAsia="Calibri" w:hAnsi="Calibri" w:cs="Times New Roman"/>
        </w:rPr>
        <w:t>Instalace a konfigurace řešení pro centrální sběr a vyhodnocování bezpečnostních záznamů</w:t>
      </w:r>
    </w:p>
    <w:p w14:paraId="78C8EFFD" w14:textId="77777777" w:rsidR="0080743C" w:rsidRPr="004B3B5E" w:rsidRDefault="0080743C" w:rsidP="0080743C">
      <w:pPr>
        <w:numPr>
          <w:ilvl w:val="0"/>
          <w:numId w:val="8"/>
        </w:numPr>
        <w:spacing w:after="160" w:line="259" w:lineRule="auto"/>
        <w:contextualSpacing/>
        <w:jc w:val="left"/>
        <w:rPr>
          <w:rFonts w:ascii="Calibri" w:eastAsia="Calibri" w:hAnsi="Calibri" w:cs="Times New Roman"/>
        </w:rPr>
      </w:pPr>
      <w:r w:rsidRPr="004B3B5E">
        <w:rPr>
          <w:rFonts w:ascii="Calibri" w:eastAsia="Calibri" w:hAnsi="Calibri" w:cs="Times New Roman"/>
        </w:rPr>
        <w:t>Vytvoření prováděcí dokumentace</w:t>
      </w:r>
    </w:p>
    <w:p w14:paraId="78C8EFFE" w14:textId="77777777" w:rsidR="005B4F93" w:rsidRPr="005B4F93" w:rsidRDefault="0080743C" w:rsidP="005B4F93">
      <w:pPr>
        <w:numPr>
          <w:ilvl w:val="0"/>
          <w:numId w:val="8"/>
        </w:numPr>
        <w:rPr>
          <w:rFonts w:ascii="Calibri" w:eastAsia="Calibri" w:hAnsi="Calibri"/>
          <w:color w:val="000000"/>
          <w:lang w:eastAsia="en-US"/>
        </w:rPr>
      </w:pPr>
      <w:r w:rsidRPr="004B3B5E">
        <w:rPr>
          <w:rFonts w:ascii="Calibri" w:eastAsia="Calibri" w:hAnsi="Calibri" w:cs="Times New Roman"/>
        </w:rPr>
        <w:t>Zaškolení obsluhy</w:t>
      </w:r>
      <w:r>
        <w:rPr>
          <w:rFonts w:ascii="Calibri" w:eastAsia="Calibri" w:hAnsi="Calibri" w:cs="Times New Roman"/>
        </w:rPr>
        <w:t>.</w:t>
      </w:r>
      <w:r w:rsidR="005B4F93" w:rsidRPr="005B4F93">
        <w:rPr>
          <w:rFonts w:ascii="Calibri" w:eastAsia="Calibri" w:hAnsi="Calibri"/>
          <w:color w:val="000000"/>
          <w:lang w:eastAsia="en-US"/>
        </w:rPr>
        <w:t xml:space="preserve">  </w:t>
      </w:r>
    </w:p>
    <w:p w14:paraId="78C8EFFF" w14:textId="77777777" w:rsidR="005B4F93" w:rsidRPr="005B4F93" w:rsidRDefault="005B4F93" w:rsidP="005B4F93"/>
    <w:p w14:paraId="78C8F000" w14:textId="77777777" w:rsidR="00765859" w:rsidRPr="00CC6A22" w:rsidRDefault="00765859" w:rsidP="00765859">
      <w:pPr>
        <w:pStyle w:val="Default"/>
        <w:numPr>
          <w:ilvl w:val="0"/>
          <w:numId w:val="10"/>
        </w:numPr>
        <w:ind w:left="284"/>
        <w:jc w:val="both"/>
        <w:rPr>
          <w:rFonts w:ascii="Calibri" w:hAnsi="Calibri"/>
          <w:sz w:val="22"/>
          <w:szCs w:val="22"/>
        </w:rPr>
      </w:pPr>
      <w:r>
        <w:rPr>
          <w:rFonts w:ascii="Calibri" w:hAnsi="Calibri"/>
          <w:sz w:val="22"/>
          <w:szCs w:val="22"/>
        </w:rPr>
        <w:t>Místem plnění implementace je</w:t>
      </w:r>
      <w:r w:rsidRPr="001200A9">
        <w:rPr>
          <w:rFonts w:ascii="Calibri" w:eastAsia="Times New Roman" w:hAnsi="Calibri"/>
          <w:color w:val="auto"/>
          <w:sz w:val="22"/>
          <w:szCs w:val="22"/>
          <w:lang w:eastAsia="cs-CZ"/>
        </w:rPr>
        <w:t>: sídlo kupujícího na adrese: Valdštejnské nám. 162/3, PSČ 118 01 Praha 1 – Malá Strana</w:t>
      </w:r>
      <w:r w:rsidR="00A66B14">
        <w:rPr>
          <w:rFonts w:ascii="Calibri" w:eastAsia="Times New Roman" w:hAnsi="Calibri"/>
          <w:color w:val="auto"/>
          <w:sz w:val="22"/>
          <w:szCs w:val="22"/>
          <w:lang w:eastAsia="cs-CZ"/>
        </w:rPr>
        <w:t>, a datové centrum kupujícího v DC TOWER v Praze</w:t>
      </w:r>
      <w:r w:rsidRPr="001200A9">
        <w:rPr>
          <w:rFonts w:ascii="Calibri" w:eastAsia="Times New Roman" w:hAnsi="Calibri"/>
          <w:color w:val="auto"/>
          <w:sz w:val="22"/>
          <w:szCs w:val="22"/>
          <w:lang w:eastAsia="cs-CZ"/>
        </w:rPr>
        <w:t>.</w:t>
      </w:r>
      <w:r>
        <w:rPr>
          <w:rFonts w:ascii="Calibri" w:hAnsi="Calibri"/>
          <w:sz w:val="22"/>
          <w:szCs w:val="22"/>
        </w:rPr>
        <w:t xml:space="preserve"> </w:t>
      </w:r>
      <w:r w:rsidR="003976D0">
        <w:rPr>
          <w:rFonts w:ascii="Calibri" w:hAnsi="Calibri"/>
          <w:sz w:val="22"/>
          <w:szCs w:val="22"/>
        </w:rPr>
        <w:t xml:space="preserve">Činnosti, které to svým charakterem umožňují, lze realizovat prostřednictvím </w:t>
      </w:r>
      <w:r w:rsidR="003976D0" w:rsidRPr="00CC6A22">
        <w:rPr>
          <w:rFonts w:ascii="Calibri" w:hAnsi="Calibri"/>
          <w:sz w:val="22"/>
          <w:szCs w:val="22"/>
        </w:rPr>
        <w:t>vzdáleného přístupu.</w:t>
      </w:r>
    </w:p>
    <w:p w14:paraId="78C8F001" w14:textId="77777777" w:rsidR="00765859" w:rsidRPr="00CC6A22" w:rsidRDefault="00765859" w:rsidP="00765859">
      <w:pPr>
        <w:pStyle w:val="Default"/>
        <w:numPr>
          <w:ilvl w:val="0"/>
          <w:numId w:val="10"/>
        </w:numPr>
        <w:ind w:left="284"/>
        <w:jc w:val="both"/>
        <w:rPr>
          <w:rFonts w:ascii="Calibri" w:hAnsi="Calibri"/>
          <w:sz w:val="22"/>
          <w:szCs w:val="22"/>
        </w:rPr>
      </w:pPr>
      <w:r w:rsidRPr="00CC6A22">
        <w:rPr>
          <w:rFonts w:ascii="Calibri" w:hAnsi="Calibri"/>
          <w:sz w:val="22"/>
          <w:szCs w:val="22"/>
        </w:rPr>
        <w:t xml:space="preserve">O </w:t>
      </w:r>
      <w:r w:rsidR="002D05BF" w:rsidRPr="00CC6A22">
        <w:rPr>
          <w:rFonts w:ascii="Calibri" w:hAnsi="Calibri"/>
          <w:sz w:val="22"/>
          <w:szCs w:val="22"/>
        </w:rPr>
        <w:t xml:space="preserve">řádném </w:t>
      </w:r>
      <w:r w:rsidRPr="00CC6A22">
        <w:rPr>
          <w:rFonts w:ascii="Calibri" w:hAnsi="Calibri"/>
          <w:sz w:val="22"/>
          <w:szCs w:val="22"/>
        </w:rPr>
        <w:t xml:space="preserve">provedení implementace bude smluvními stranami sepsán </w:t>
      </w:r>
      <w:r w:rsidR="002D05BF" w:rsidRPr="00CC6A22">
        <w:rPr>
          <w:rFonts w:ascii="Calibri" w:hAnsi="Calibri"/>
          <w:sz w:val="22"/>
          <w:szCs w:val="22"/>
        </w:rPr>
        <w:t xml:space="preserve">písemný </w:t>
      </w:r>
      <w:r w:rsidRPr="00CC6A22">
        <w:rPr>
          <w:rFonts w:ascii="Calibri" w:hAnsi="Calibri"/>
          <w:sz w:val="22"/>
          <w:szCs w:val="22"/>
        </w:rPr>
        <w:t>protokol.</w:t>
      </w:r>
    </w:p>
    <w:p w14:paraId="78C8F002" w14:textId="77777777" w:rsidR="00047F0E" w:rsidRPr="00CC6A22" w:rsidRDefault="00213B3D" w:rsidP="00213B3D">
      <w:pPr>
        <w:pStyle w:val="Default"/>
        <w:numPr>
          <w:ilvl w:val="0"/>
          <w:numId w:val="10"/>
        </w:numPr>
        <w:ind w:left="284"/>
        <w:jc w:val="both"/>
        <w:rPr>
          <w:rFonts w:ascii="Calibri" w:hAnsi="Calibri"/>
          <w:sz w:val="22"/>
          <w:szCs w:val="22"/>
        </w:rPr>
      </w:pPr>
      <w:r w:rsidRPr="00CC6A22">
        <w:rPr>
          <w:rFonts w:ascii="Calibri" w:hAnsi="Calibri"/>
          <w:sz w:val="22"/>
          <w:szCs w:val="22"/>
        </w:rPr>
        <w:t>Implementace ve výše uvedeném rozsahu bude provedena do 3 měsíců od data účinnosti smlouvy.</w:t>
      </w:r>
    </w:p>
    <w:p w14:paraId="78C8F003" w14:textId="468389F1" w:rsidR="00AE7D42" w:rsidRDefault="00AE7D42" w:rsidP="00AE7D42">
      <w:pPr>
        <w:pStyle w:val="Default"/>
        <w:jc w:val="both"/>
        <w:rPr>
          <w:rFonts w:ascii="Calibri" w:hAnsi="Calibri"/>
          <w:sz w:val="22"/>
          <w:szCs w:val="22"/>
        </w:rPr>
      </w:pPr>
    </w:p>
    <w:p w14:paraId="3F4FB473" w14:textId="77777777" w:rsidR="0090327C" w:rsidRDefault="0090327C" w:rsidP="00AE7D42">
      <w:pPr>
        <w:pStyle w:val="Default"/>
        <w:jc w:val="both"/>
        <w:rPr>
          <w:rFonts w:ascii="Calibri" w:hAnsi="Calibri"/>
          <w:sz w:val="22"/>
          <w:szCs w:val="22"/>
        </w:rPr>
      </w:pPr>
    </w:p>
    <w:p w14:paraId="78C8F004" w14:textId="77777777" w:rsidR="00AE7D42" w:rsidRPr="00E0667C" w:rsidRDefault="00AE7D42" w:rsidP="00AE7D42">
      <w:pPr>
        <w:pStyle w:val="Nadpis41"/>
        <w:rPr>
          <w:rFonts w:ascii="Calibri" w:hAnsi="Calibri"/>
          <w:szCs w:val="22"/>
        </w:rPr>
      </w:pPr>
      <w:r w:rsidRPr="00E0667C">
        <w:rPr>
          <w:rFonts w:ascii="Calibri" w:hAnsi="Calibri"/>
          <w:szCs w:val="22"/>
        </w:rPr>
        <w:t>Článek V.</w:t>
      </w:r>
    </w:p>
    <w:p w14:paraId="78C8F005" w14:textId="77777777" w:rsidR="00AE7D42" w:rsidRPr="00E0667C" w:rsidRDefault="00AE7D42" w:rsidP="00AE7D42">
      <w:pPr>
        <w:pStyle w:val="Nadpis41"/>
        <w:rPr>
          <w:rFonts w:ascii="Calibri" w:hAnsi="Calibri"/>
          <w:szCs w:val="22"/>
        </w:rPr>
      </w:pPr>
      <w:r>
        <w:rPr>
          <w:rFonts w:ascii="Calibri" w:hAnsi="Calibri"/>
          <w:szCs w:val="22"/>
        </w:rPr>
        <w:t>Odpovědnost za vady, záruka a záruční podmínky</w:t>
      </w:r>
      <w:r w:rsidR="00AA4086">
        <w:rPr>
          <w:rFonts w:ascii="Calibri" w:hAnsi="Calibri"/>
          <w:szCs w:val="22"/>
        </w:rPr>
        <w:t>, servis</w:t>
      </w:r>
    </w:p>
    <w:p w14:paraId="78C8F006" w14:textId="77777777" w:rsidR="00AE7D42" w:rsidRDefault="00AE7D42" w:rsidP="00AE7D42">
      <w:pPr>
        <w:pStyle w:val="Nadpis41"/>
        <w:numPr>
          <w:ilvl w:val="0"/>
          <w:numId w:val="4"/>
        </w:numPr>
        <w:jc w:val="both"/>
        <w:rPr>
          <w:rFonts w:ascii="Calibri" w:hAnsi="Calibri"/>
          <w:b w:val="0"/>
          <w:szCs w:val="22"/>
        </w:rPr>
      </w:pPr>
      <w:r>
        <w:rPr>
          <w:rFonts w:ascii="Calibri" w:hAnsi="Calibri"/>
          <w:b w:val="0"/>
          <w:szCs w:val="22"/>
        </w:rPr>
        <w:t xml:space="preserve">Prodávající poskytuje záruku na dodaný hardware (zboží) v délce </w:t>
      </w:r>
      <w:r w:rsidR="0080743C">
        <w:rPr>
          <w:rFonts w:ascii="Calibri" w:hAnsi="Calibri"/>
          <w:b w:val="0"/>
          <w:szCs w:val="22"/>
        </w:rPr>
        <w:t>24</w:t>
      </w:r>
      <w:r>
        <w:rPr>
          <w:rFonts w:ascii="Calibri" w:hAnsi="Calibri"/>
          <w:b w:val="0"/>
          <w:szCs w:val="22"/>
        </w:rPr>
        <w:t xml:space="preserve"> měsíců a servisní podporu</w:t>
      </w:r>
      <w:r w:rsidR="00963526">
        <w:rPr>
          <w:rFonts w:ascii="Calibri" w:hAnsi="Calibri"/>
          <w:b w:val="0"/>
          <w:szCs w:val="22"/>
        </w:rPr>
        <w:t xml:space="preserve"> v záruční době</w:t>
      </w:r>
      <w:r>
        <w:rPr>
          <w:rFonts w:ascii="Calibri" w:hAnsi="Calibri"/>
          <w:b w:val="0"/>
          <w:szCs w:val="22"/>
        </w:rPr>
        <w:t xml:space="preserve"> s opravou v místě instalace a s garantovanou odezvou následující pracovní den od nahlášení závady</w:t>
      </w:r>
      <w:r w:rsidR="00BE46D8">
        <w:rPr>
          <w:rFonts w:ascii="Calibri" w:hAnsi="Calibri"/>
          <w:b w:val="0"/>
          <w:szCs w:val="22"/>
        </w:rPr>
        <w:t xml:space="preserve"> v režimu 24x7 na období 12 měsíců</w:t>
      </w:r>
      <w:r>
        <w:rPr>
          <w:rFonts w:ascii="Calibri" w:hAnsi="Calibri"/>
          <w:b w:val="0"/>
          <w:szCs w:val="22"/>
        </w:rPr>
        <w:t>.</w:t>
      </w:r>
    </w:p>
    <w:p w14:paraId="78C8F007" w14:textId="77777777" w:rsidR="00AE7D42" w:rsidRPr="00672954" w:rsidRDefault="00AE7D42" w:rsidP="00AE7D42">
      <w:pPr>
        <w:pStyle w:val="Nadpis41"/>
        <w:numPr>
          <w:ilvl w:val="0"/>
          <w:numId w:val="4"/>
        </w:numPr>
        <w:jc w:val="both"/>
        <w:rPr>
          <w:rFonts w:ascii="Calibri" w:hAnsi="Calibri"/>
          <w:b w:val="0"/>
          <w:szCs w:val="22"/>
        </w:rPr>
      </w:pPr>
      <w:r w:rsidRPr="00672954">
        <w:rPr>
          <w:rFonts w:ascii="Calibri" w:hAnsi="Calibri"/>
          <w:b w:val="0"/>
          <w:szCs w:val="22"/>
        </w:rPr>
        <w:t xml:space="preserve">Prodávající dále poskytuje záruku na dodaný software v délce </w:t>
      </w:r>
      <w:r w:rsidR="00BE46D8">
        <w:rPr>
          <w:rFonts w:ascii="Calibri" w:hAnsi="Calibri"/>
          <w:b w:val="0"/>
          <w:szCs w:val="22"/>
        </w:rPr>
        <w:t>12</w:t>
      </w:r>
      <w:r w:rsidRPr="00672954">
        <w:rPr>
          <w:rFonts w:ascii="Calibri" w:hAnsi="Calibri"/>
          <w:b w:val="0"/>
          <w:szCs w:val="22"/>
        </w:rPr>
        <w:t xml:space="preserve"> měsíců a servisní podporu </w:t>
      </w:r>
      <w:r w:rsidR="00963526">
        <w:rPr>
          <w:rFonts w:ascii="Calibri" w:hAnsi="Calibri"/>
          <w:b w:val="0"/>
          <w:szCs w:val="22"/>
        </w:rPr>
        <w:t xml:space="preserve">v této záruční době </w:t>
      </w:r>
      <w:r w:rsidRPr="00672954">
        <w:rPr>
          <w:rFonts w:ascii="Calibri" w:hAnsi="Calibri"/>
          <w:b w:val="0"/>
          <w:szCs w:val="22"/>
        </w:rPr>
        <w:t xml:space="preserve">zahrnující: aktualizaci </w:t>
      </w:r>
      <w:r w:rsidRPr="004B7E02">
        <w:rPr>
          <w:rFonts w:ascii="Calibri" w:hAnsi="Calibri"/>
          <w:b w:val="0"/>
          <w:szCs w:val="22"/>
        </w:rPr>
        <w:t xml:space="preserve">software (min. </w:t>
      </w:r>
      <w:r w:rsidR="003976D0" w:rsidRPr="004B7E02">
        <w:rPr>
          <w:rFonts w:ascii="Calibri" w:hAnsi="Calibri"/>
          <w:b w:val="0"/>
          <w:szCs w:val="22"/>
        </w:rPr>
        <w:t>jednou</w:t>
      </w:r>
      <w:r w:rsidRPr="004B7E02">
        <w:rPr>
          <w:rFonts w:ascii="Calibri" w:hAnsi="Calibri"/>
          <w:b w:val="0"/>
          <w:szCs w:val="22"/>
        </w:rPr>
        <w:t xml:space="preserve"> ročně),</w:t>
      </w:r>
      <w:r w:rsidRPr="00672954">
        <w:rPr>
          <w:rFonts w:ascii="Calibri" w:hAnsi="Calibri"/>
          <w:b w:val="0"/>
          <w:szCs w:val="22"/>
        </w:rPr>
        <w:t xml:space="preserve"> opravy chyb a telefonickou a emailovou podporu s diagnostikou vzdáleným přístupem.</w:t>
      </w:r>
    </w:p>
    <w:p w14:paraId="78C8F008" w14:textId="77777777" w:rsidR="00AE7D42" w:rsidRDefault="00AE7D42" w:rsidP="00AE7D42">
      <w:pPr>
        <w:pStyle w:val="Nadpis41"/>
        <w:numPr>
          <w:ilvl w:val="0"/>
          <w:numId w:val="4"/>
        </w:numPr>
        <w:jc w:val="both"/>
        <w:rPr>
          <w:rFonts w:ascii="Calibri" w:hAnsi="Calibri"/>
          <w:b w:val="0"/>
          <w:szCs w:val="22"/>
        </w:rPr>
      </w:pPr>
      <w:r>
        <w:rPr>
          <w:rFonts w:ascii="Calibri" w:hAnsi="Calibri"/>
          <w:b w:val="0"/>
          <w:szCs w:val="22"/>
        </w:rPr>
        <w:t xml:space="preserve">Záruční doba začíná běžet ode dne převzetí zboží kupujícím a podpisem předávacího protokolu, přičemž záruční doba neběží po dobu, po kterou kupující nemůže zboží užívat pro jeho vady, za které odpovídá </w:t>
      </w:r>
      <w:r w:rsidR="003976D0">
        <w:rPr>
          <w:rFonts w:ascii="Calibri" w:hAnsi="Calibri"/>
          <w:b w:val="0"/>
          <w:szCs w:val="22"/>
        </w:rPr>
        <w:t>prodávající</w:t>
      </w:r>
      <w:r>
        <w:rPr>
          <w:rFonts w:ascii="Calibri" w:hAnsi="Calibri"/>
          <w:b w:val="0"/>
          <w:szCs w:val="22"/>
        </w:rPr>
        <w:t xml:space="preserve">. </w:t>
      </w:r>
    </w:p>
    <w:p w14:paraId="78C8F009" w14:textId="09E839B5" w:rsidR="00AE7D42" w:rsidRPr="009F5CDF" w:rsidRDefault="00AE7D42" w:rsidP="00AE7D42">
      <w:pPr>
        <w:pStyle w:val="Nadpis41"/>
        <w:numPr>
          <w:ilvl w:val="0"/>
          <w:numId w:val="4"/>
        </w:numPr>
        <w:jc w:val="both"/>
        <w:rPr>
          <w:rFonts w:ascii="Calibri" w:hAnsi="Calibri"/>
          <w:b w:val="0"/>
          <w:szCs w:val="22"/>
        </w:rPr>
      </w:pPr>
      <w:r w:rsidRPr="009F5CDF">
        <w:rPr>
          <w:rFonts w:ascii="Calibri" w:hAnsi="Calibri"/>
          <w:b w:val="0"/>
          <w:szCs w:val="22"/>
        </w:rPr>
        <w:t xml:space="preserve">Hlášení závad a jiných incidentů: Kupující nahlásí prodávajícímu vadu či jiný incident - telefonicky: </w:t>
      </w:r>
      <w:r w:rsidR="00E735A9" w:rsidRPr="00E735A9">
        <w:rPr>
          <w:rFonts w:ascii="Calibri" w:hAnsi="Calibri"/>
          <w:b w:val="0"/>
          <w:szCs w:val="22"/>
        </w:rPr>
        <w:t>+420 </w:t>
      </w:r>
      <w:proofErr w:type="spellStart"/>
      <w:r w:rsidR="005B427E">
        <w:rPr>
          <w:rFonts w:ascii="Calibri" w:hAnsi="Calibri"/>
          <w:b w:val="0"/>
          <w:szCs w:val="22"/>
        </w:rPr>
        <w:t>xxx</w:t>
      </w:r>
      <w:proofErr w:type="spellEnd"/>
      <w:r w:rsidR="00E735A9" w:rsidRPr="00E735A9">
        <w:rPr>
          <w:rFonts w:ascii="Calibri" w:hAnsi="Calibri"/>
          <w:b w:val="0"/>
          <w:szCs w:val="22"/>
        </w:rPr>
        <w:t xml:space="preserve"> /na email: </w:t>
      </w:r>
      <w:proofErr w:type="spellStart"/>
      <w:r w:rsidR="005B427E">
        <w:rPr>
          <w:rFonts w:ascii="Calibri" w:hAnsi="Calibri"/>
          <w:b w:val="0"/>
          <w:szCs w:val="22"/>
        </w:rPr>
        <w:t>xxx</w:t>
      </w:r>
      <w:proofErr w:type="spellEnd"/>
      <w:r w:rsidR="00E735A9" w:rsidRPr="00E735A9">
        <w:rPr>
          <w:rFonts w:ascii="Calibri" w:hAnsi="Calibri"/>
          <w:b w:val="0"/>
          <w:szCs w:val="22"/>
        </w:rPr>
        <w:t xml:space="preserve"> /na </w:t>
      </w:r>
      <w:proofErr w:type="spellStart"/>
      <w:r w:rsidR="00E735A9" w:rsidRPr="00E735A9">
        <w:rPr>
          <w:rFonts w:ascii="Calibri" w:hAnsi="Calibri"/>
          <w:b w:val="0"/>
          <w:szCs w:val="22"/>
        </w:rPr>
        <w:t>helpdesk</w:t>
      </w:r>
      <w:proofErr w:type="spellEnd"/>
      <w:r w:rsidR="00E735A9" w:rsidRPr="00E735A9">
        <w:rPr>
          <w:rFonts w:ascii="Calibri" w:hAnsi="Calibri"/>
          <w:b w:val="0"/>
          <w:szCs w:val="22"/>
        </w:rPr>
        <w:t xml:space="preserve"> prodávajícího dostupný online prostřednictvím Internetu na adrese https://bitservis.freshdesk.com.</w:t>
      </w:r>
    </w:p>
    <w:p w14:paraId="78C8F00A" w14:textId="77777777" w:rsidR="007840FC" w:rsidRDefault="007840FC" w:rsidP="007840FC">
      <w:pPr>
        <w:pStyle w:val="Nadpis41"/>
        <w:numPr>
          <w:ilvl w:val="0"/>
          <w:numId w:val="4"/>
        </w:numPr>
        <w:jc w:val="both"/>
        <w:rPr>
          <w:rFonts w:ascii="Calibri" w:hAnsi="Calibri"/>
          <w:b w:val="0"/>
          <w:szCs w:val="22"/>
        </w:rPr>
      </w:pPr>
      <w:r w:rsidRPr="005C185A">
        <w:rPr>
          <w:rFonts w:ascii="Calibri" w:hAnsi="Calibri"/>
          <w:b w:val="0"/>
          <w:szCs w:val="22"/>
        </w:rPr>
        <w:t xml:space="preserve">Prodávající je povinen odstranit bez prodlení a bezplatně zjištěné vady </w:t>
      </w:r>
      <w:r w:rsidRPr="009F5CDF">
        <w:rPr>
          <w:rFonts w:ascii="Calibri" w:hAnsi="Calibri"/>
          <w:b w:val="0"/>
          <w:szCs w:val="22"/>
        </w:rPr>
        <w:t xml:space="preserve">(nedohodnou-li se strany jinak, musí vady odstranit do </w:t>
      </w:r>
      <w:r w:rsidR="00577DA9" w:rsidRPr="009F5CDF">
        <w:rPr>
          <w:rFonts w:ascii="Calibri" w:hAnsi="Calibri"/>
          <w:b w:val="0"/>
          <w:szCs w:val="22"/>
        </w:rPr>
        <w:t>1</w:t>
      </w:r>
      <w:r w:rsidRPr="009F5CDF">
        <w:rPr>
          <w:rFonts w:ascii="Calibri" w:hAnsi="Calibri"/>
          <w:b w:val="0"/>
          <w:szCs w:val="22"/>
        </w:rPr>
        <w:t>5 pracovních dnů).</w:t>
      </w:r>
      <w:r w:rsidRPr="005C185A">
        <w:rPr>
          <w:rFonts w:ascii="Calibri" w:hAnsi="Calibri"/>
          <w:b w:val="0"/>
          <w:szCs w:val="22"/>
        </w:rPr>
        <w:t xml:space="preserve"> </w:t>
      </w:r>
    </w:p>
    <w:p w14:paraId="78C8F00B" w14:textId="77777777" w:rsidR="00AE7D42" w:rsidRDefault="00AE7D42" w:rsidP="00AE7D42">
      <w:pPr>
        <w:pStyle w:val="Default"/>
        <w:jc w:val="both"/>
        <w:rPr>
          <w:rFonts w:ascii="Calibri" w:hAnsi="Calibri"/>
          <w:sz w:val="22"/>
          <w:szCs w:val="22"/>
        </w:rPr>
      </w:pPr>
    </w:p>
    <w:p w14:paraId="78C8F00C" w14:textId="77777777" w:rsidR="004201A6" w:rsidRPr="009341CF" w:rsidRDefault="004201A6" w:rsidP="009341CF"/>
    <w:p w14:paraId="78C8F00D" w14:textId="77777777" w:rsidR="00047F0E" w:rsidRPr="006663BD" w:rsidRDefault="00047F0E" w:rsidP="00047F0E">
      <w:pPr>
        <w:pStyle w:val="Nadpis41"/>
        <w:keepNext/>
        <w:rPr>
          <w:rFonts w:ascii="Calibri" w:hAnsi="Calibri"/>
          <w:szCs w:val="22"/>
        </w:rPr>
      </w:pPr>
      <w:r w:rsidRPr="006663BD">
        <w:rPr>
          <w:rFonts w:ascii="Calibri" w:hAnsi="Calibri"/>
          <w:szCs w:val="22"/>
        </w:rPr>
        <w:t>Článek V</w:t>
      </w:r>
      <w:r w:rsidR="00847AED">
        <w:rPr>
          <w:rFonts w:ascii="Calibri" w:hAnsi="Calibri"/>
          <w:szCs w:val="22"/>
        </w:rPr>
        <w:t>I</w:t>
      </w:r>
      <w:r w:rsidRPr="006663BD">
        <w:rPr>
          <w:rFonts w:ascii="Calibri" w:hAnsi="Calibri"/>
          <w:szCs w:val="22"/>
        </w:rPr>
        <w:t>.</w:t>
      </w:r>
    </w:p>
    <w:p w14:paraId="78C8F00E" w14:textId="77777777" w:rsidR="00047F0E" w:rsidRPr="006663BD" w:rsidRDefault="00E64CEC" w:rsidP="00047F0E">
      <w:pPr>
        <w:pStyle w:val="Nadpis41"/>
        <w:keepNext/>
        <w:rPr>
          <w:rFonts w:ascii="Calibri" w:hAnsi="Calibri"/>
          <w:szCs w:val="22"/>
        </w:rPr>
      </w:pPr>
      <w:r>
        <w:rPr>
          <w:rFonts w:ascii="Calibri" w:hAnsi="Calibri"/>
          <w:szCs w:val="22"/>
        </w:rPr>
        <w:t>Cena</w:t>
      </w:r>
      <w:r w:rsidR="00655B3F">
        <w:rPr>
          <w:rFonts w:ascii="Calibri" w:hAnsi="Calibri"/>
          <w:szCs w:val="22"/>
        </w:rPr>
        <w:t xml:space="preserve"> a platební podmínky</w:t>
      </w:r>
    </w:p>
    <w:p w14:paraId="1607C239" w14:textId="77777777" w:rsidR="004C17E0" w:rsidRPr="00900C63" w:rsidRDefault="004C17E0" w:rsidP="004C17E0">
      <w:pPr>
        <w:numPr>
          <w:ilvl w:val="0"/>
          <w:numId w:val="5"/>
        </w:numPr>
        <w:autoSpaceDE w:val="0"/>
        <w:autoSpaceDN w:val="0"/>
        <w:adjustRightInd w:val="0"/>
        <w:ind w:left="284"/>
        <w:rPr>
          <w:rFonts w:ascii="Calibri" w:hAnsi="Calibri"/>
        </w:rPr>
      </w:pPr>
      <w:r w:rsidRPr="00900C63">
        <w:rPr>
          <w:rFonts w:ascii="Calibri" w:hAnsi="Calibri"/>
        </w:rPr>
        <w:t>Kupní cena za dodání zboží (specifikovaného v čl. II a příloze č. 1, včetně záruční servisní podpory dle čl. V. této smlouvy, bez implementace) byla dle dohody prodávajícího a kupujícího stanovena:</w:t>
      </w:r>
    </w:p>
    <w:p w14:paraId="42B2D46E" w14:textId="77777777" w:rsidR="004C17E0" w:rsidRPr="00900C63" w:rsidRDefault="004C17E0" w:rsidP="004C17E0">
      <w:pPr>
        <w:autoSpaceDE w:val="0"/>
        <w:autoSpaceDN w:val="0"/>
        <w:adjustRightInd w:val="0"/>
        <w:ind w:left="284" w:firstLine="424"/>
        <w:rPr>
          <w:rFonts w:ascii="Calibri" w:hAnsi="Calibri"/>
        </w:rPr>
      </w:pPr>
      <w:r w:rsidRPr="00900C63">
        <w:rPr>
          <w:rFonts w:ascii="Calibri" w:hAnsi="Calibri"/>
        </w:rPr>
        <w:t>Cena bez DPH:</w:t>
      </w:r>
      <w:r w:rsidRPr="00900C63">
        <w:rPr>
          <w:rFonts w:ascii="Calibri" w:hAnsi="Calibri"/>
        </w:rPr>
        <w:tab/>
      </w:r>
      <w:r w:rsidRPr="00900C63">
        <w:rPr>
          <w:rFonts w:ascii="Calibri" w:hAnsi="Calibri"/>
        </w:rPr>
        <w:tab/>
      </w:r>
      <w:r w:rsidRPr="00900C63">
        <w:rPr>
          <w:rFonts w:ascii="Calibri" w:hAnsi="Calibri"/>
        </w:rPr>
        <w:tab/>
      </w:r>
      <w:r>
        <w:rPr>
          <w:rFonts w:ascii="Calibri" w:hAnsi="Calibri"/>
        </w:rPr>
        <w:t>595.311</w:t>
      </w:r>
      <w:r w:rsidRPr="00900C63">
        <w:rPr>
          <w:rFonts w:ascii="Calibri" w:hAnsi="Calibri"/>
        </w:rPr>
        <w:t xml:space="preserve">,-Kč </w:t>
      </w:r>
    </w:p>
    <w:p w14:paraId="618C63FD" w14:textId="77777777" w:rsidR="004C17E0" w:rsidRPr="00900C63" w:rsidRDefault="004C17E0" w:rsidP="004C17E0">
      <w:pPr>
        <w:autoSpaceDE w:val="0"/>
        <w:autoSpaceDN w:val="0"/>
        <w:adjustRightInd w:val="0"/>
        <w:ind w:left="284" w:firstLine="424"/>
        <w:rPr>
          <w:rFonts w:ascii="Calibri" w:hAnsi="Calibri"/>
        </w:rPr>
      </w:pPr>
      <w:r w:rsidRPr="00900C63">
        <w:rPr>
          <w:rFonts w:ascii="Calibri" w:hAnsi="Calibri"/>
        </w:rPr>
        <w:t xml:space="preserve">DPH ve výši </w:t>
      </w:r>
      <w:r>
        <w:rPr>
          <w:rFonts w:ascii="Calibri" w:hAnsi="Calibri"/>
        </w:rPr>
        <w:t>21</w:t>
      </w:r>
      <w:r w:rsidRPr="00900C63">
        <w:rPr>
          <w:rFonts w:ascii="Calibri" w:hAnsi="Calibri"/>
        </w:rPr>
        <w:t xml:space="preserve">% </w:t>
      </w:r>
      <w:r w:rsidRPr="00900C63">
        <w:rPr>
          <w:rFonts w:ascii="Calibri" w:hAnsi="Calibri"/>
        </w:rPr>
        <w:tab/>
      </w:r>
      <w:r w:rsidRPr="00900C63">
        <w:rPr>
          <w:rFonts w:ascii="Calibri" w:hAnsi="Calibri"/>
        </w:rPr>
        <w:tab/>
      </w:r>
      <w:r>
        <w:rPr>
          <w:rFonts w:ascii="Calibri" w:hAnsi="Calibri"/>
        </w:rPr>
        <w:t>125.015</w:t>
      </w:r>
      <w:r w:rsidRPr="00900C63">
        <w:rPr>
          <w:rFonts w:ascii="Calibri" w:hAnsi="Calibri"/>
        </w:rPr>
        <w:t>,-Kč</w:t>
      </w:r>
    </w:p>
    <w:p w14:paraId="61E4CD8E" w14:textId="77777777" w:rsidR="004C17E0" w:rsidRPr="00900C63" w:rsidRDefault="004C17E0" w:rsidP="004C17E0">
      <w:pPr>
        <w:autoSpaceDE w:val="0"/>
        <w:autoSpaceDN w:val="0"/>
        <w:adjustRightInd w:val="0"/>
        <w:ind w:left="284" w:firstLine="424"/>
        <w:rPr>
          <w:rFonts w:ascii="Calibri" w:hAnsi="Calibri"/>
        </w:rPr>
      </w:pPr>
      <w:r w:rsidRPr="00900C63">
        <w:rPr>
          <w:rFonts w:ascii="Calibri" w:hAnsi="Calibri"/>
        </w:rPr>
        <w:t xml:space="preserve">Celková cena včetně DPH </w:t>
      </w:r>
      <w:r w:rsidRPr="00900C63">
        <w:rPr>
          <w:rFonts w:ascii="Calibri" w:hAnsi="Calibri"/>
        </w:rPr>
        <w:tab/>
      </w:r>
      <w:r>
        <w:rPr>
          <w:rFonts w:ascii="Calibri" w:hAnsi="Calibri"/>
          <w:bCs/>
        </w:rPr>
        <w:t>720.326</w:t>
      </w:r>
      <w:r w:rsidRPr="00900C63">
        <w:rPr>
          <w:rFonts w:ascii="Calibri" w:hAnsi="Calibri"/>
          <w:bCs/>
        </w:rPr>
        <w:t>,-Kč.</w:t>
      </w:r>
    </w:p>
    <w:p w14:paraId="21AEA8F7" w14:textId="77777777" w:rsidR="004C17E0" w:rsidRPr="00900C63" w:rsidRDefault="004C17E0" w:rsidP="004C17E0">
      <w:pPr>
        <w:numPr>
          <w:ilvl w:val="0"/>
          <w:numId w:val="5"/>
        </w:numPr>
        <w:autoSpaceDE w:val="0"/>
        <w:autoSpaceDN w:val="0"/>
        <w:adjustRightInd w:val="0"/>
        <w:ind w:left="284"/>
        <w:rPr>
          <w:rFonts w:ascii="Calibri" w:hAnsi="Calibri"/>
        </w:rPr>
      </w:pPr>
      <w:r w:rsidRPr="00900C63">
        <w:rPr>
          <w:rFonts w:ascii="Calibri" w:hAnsi="Calibri"/>
        </w:rPr>
        <w:t>Kupní cena za implementaci dle čl. IV této smlouvy byla dle dohody prodávajícího a kupujícího stanovena:</w:t>
      </w:r>
    </w:p>
    <w:p w14:paraId="4494C02E" w14:textId="77777777" w:rsidR="004C17E0" w:rsidRPr="00900C63" w:rsidRDefault="004C17E0" w:rsidP="004C17E0">
      <w:pPr>
        <w:autoSpaceDE w:val="0"/>
        <w:autoSpaceDN w:val="0"/>
        <w:adjustRightInd w:val="0"/>
        <w:ind w:left="284" w:firstLine="424"/>
        <w:rPr>
          <w:rFonts w:ascii="Calibri" w:hAnsi="Calibri"/>
        </w:rPr>
      </w:pPr>
      <w:r w:rsidRPr="00900C63">
        <w:rPr>
          <w:rFonts w:ascii="Calibri" w:hAnsi="Calibri"/>
        </w:rPr>
        <w:t>Cena bez DPH:</w:t>
      </w:r>
      <w:r w:rsidRPr="00900C63">
        <w:rPr>
          <w:rFonts w:ascii="Calibri" w:hAnsi="Calibri"/>
        </w:rPr>
        <w:tab/>
      </w:r>
      <w:r w:rsidRPr="00900C63">
        <w:rPr>
          <w:rFonts w:ascii="Calibri" w:hAnsi="Calibri"/>
        </w:rPr>
        <w:tab/>
      </w:r>
      <w:r w:rsidRPr="00900C63">
        <w:rPr>
          <w:rFonts w:ascii="Calibri" w:hAnsi="Calibri"/>
        </w:rPr>
        <w:tab/>
      </w:r>
      <w:r>
        <w:rPr>
          <w:rFonts w:ascii="Calibri" w:hAnsi="Calibri"/>
        </w:rPr>
        <w:t>60.000</w:t>
      </w:r>
      <w:r w:rsidRPr="00900C63">
        <w:rPr>
          <w:rFonts w:ascii="Calibri" w:hAnsi="Calibri"/>
        </w:rPr>
        <w:t xml:space="preserve">,-Kč </w:t>
      </w:r>
    </w:p>
    <w:p w14:paraId="199D843F" w14:textId="77777777" w:rsidR="004C17E0" w:rsidRPr="00900C63" w:rsidRDefault="004C17E0" w:rsidP="004C17E0">
      <w:pPr>
        <w:autoSpaceDE w:val="0"/>
        <w:autoSpaceDN w:val="0"/>
        <w:adjustRightInd w:val="0"/>
        <w:ind w:left="284" w:firstLine="424"/>
        <w:rPr>
          <w:rFonts w:ascii="Calibri" w:hAnsi="Calibri"/>
        </w:rPr>
      </w:pPr>
      <w:r w:rsidRPr="00900C63">
        <w:rPr>
          <w:rFonts w:ascii="Calibri" w:hAnsi="Calibri"/>
        </w:rPr>
        <w:t xml:space="preserve">DPH ve výši </w:t>
      </w:r>
      <w:r>
        <w:rPr>
          <w:rFonts w:ascii="Calibri" w:hAnsi="Calibri"/>
        </w:rPr>
        <w:t>21</w:t>
      </w:r>
      <w:r w:rsidRPr="00900C63">
        <w:rPr>
          <w:rFonts w:ascii="Calibri" w:hAnsi="Calibri"/>
        </w:rPr>
        <w:t xml:space="preserve">% </w:t>
      </w:r>
      <w:r w:rsidRPr="00900C63">
        <w:rPr>
          <w:rFonts w:ascii="Calibri" w:hAnsi="Calibri"/>
        </w:rPr>
        <w:tab/>
      </w:r>
      <w:r w:rsidRPr="00900C63">
        <w:rPr>
          <w:rFonts w:ascii="Calibri" w:hAnsi="Calibri"/>
        </w:rPr>
        <w:tab/>
      </w:r>
      <w:r>
        <w:rPr>
          <w:rFonts w:ascii="Calibri" w:hAnsi="Calibri"/>
        </w:rPr>
        <w:t>12.600</w:t>
      </w:r>
      <w:r w:rsidRPr="00900C63">
        <w:rPr>
          <w:rFonts w:ascii="Calibri" w:hAnsi="Calibri"/>
        </w:rPr>
        <w:t>,-Kč</w:t>
      </w:r>
    </w:p>
    <w:p w14:paraId="4AE72F11" w14:textId="77777777" w:rsidR="004C17E0" w:rsidRPr="00900C63" w:rsidRDefault="004C17E0" w:rsidP="004C17E0">
      <w:pPr>
        <w:autoSpaceDE w:val="0"/>
        <w:autoSpaceDN w:val="0"/>
        <w:adjustRightInd w:val="0"/>
        <w:ind w:left="284" w:firstLine="424"/>
        <w:rPr>
          <w:rFonts w:ascii="Calibri" w:hAnsi="Calibri"/>
        </w:rPr>
      </w:pPr>
      <w:r w:rsidRPr="00900C63">
        <w:rPr>
          <w:rFonts w:ascii="Calibri" w:hAnsi="Calibri"/>
        </w:rPr>
        <w:t xml:space="preserve">Celková cena včetně DPH </w:t>
      </w:r>
      <w:r w:rsidRPr="00900C63">
        <w:rPr>
          <w:rFonts w:ascii="Calibri" w:hAnsi="Calibri"/>
        </w:rPr>
        <w:tab/>
      </w:r>
      <w:r>
        <w:rPr>
          <w:rFonts w:ascii="Calibri" w:hAnsi="Calibri"/>
          <w:bCs/>
        </w:rPr>
        <w:t>72.600,</w:t>
      </w:r>
      <w:r w:rsidRPr="00900C63">
        <w:rPr>
          <w:rFonts w:ascii="Calibri" w:hAnsi="Calibri"/>
          <w:bCs/>
        </w:rPr>
        <w:t>-Kč.</w:t>
      </w:r>
    </w:p>
    <w:p w14:paraId="78C8F017" w14:textId="77777777" w:rsidR="00F744D4" w:rsidRPr="00F744D4" w:rsidRDefault="00F744D4" w:rsidP="00F744D4">
      <w:pPr>
        <w:autoSpaceDE w:val="0"/>
        <w:autoSpaceDN w:val="0"/>
        <w:adjustRightInd w:val="0"/>
        <w:ind w:left="708"/>
        <w:rPr>
          <w:rFonts w:ascii="Calibri" w:hAnsi="Calibri"/>
          <w:bCs/>
        </w:rPr>
      </w:pPr>
    </w:p>
    <w:p w14:paraId="78C8F018" w14:textId="77777777" w:rsidR="00F744D4" w:rsidRPr="00F744D4" w:rsidRDefault="00F744D4" w:rsidP="00BE46D8">
      <w:pPr>
        <w:autoSpaceDE w:val="0"/>
        <w:autoSpaceDN w:val="0"/>
        <w:adjustRightInd w:val="0"/>
        <w:ind w:left="284"/>
        <w:rPr>
          <w:rFonts w:ascii="Calibri" w:hAnsi="Calibri"/>
          <w:bCs/>
        </w:rPr>
      </w:pPr>
      <w:r w:rsidRPr="00F744D4">
        <w:rPr>
          <w:rFonts w:ascii="Calibri" w:hAnsi="Calibri"/>
          <w:bCs/>
        </w:rPr>
        <w:t>Tyto ceny zahrnují veškeré související náklady a výlohy (cestovné apod.) a jsou neměnné po celou dobu trvání smlouvy.</w:t>
      </w:r>
    </w:p>
    <w:p w14:paraId="78C8F019" w14:textId="77777777" w:rsidR="00047F0E" w:rsidRDefault="00047F0E" w:rsidP="00047F0E">
      <w:pPr>
        <w:numPr>
          <w:ilvl w:val="0"/>
          <w:numId w:val="5"/>
        </w:numPr>
        <w:autoSpaceDE w:val="0"/>
        <w:autoSpaceDN w:val="0"/>
        <w:adjustRightInd w:val="0"/>
        <w:ind w:left="284"/>
        <w:rPr>
          <w:rFonts w:ascii="Calibri" w:hAnsi="Calibri"/>
        </w:rPr>
      </w:pPr>
      <w:r w:rsidRPr="00517BCA">
        <w:rPr>
          <w:rFonts w:ascii="Calibri" w:hAnsi="Calibri"/>
        </w:rPr>
        <w:t xml:space="preserve">Sjednaná kupní cena je konečná a nepřekročitelná a zahrnuje veškeré náklady na splnění dodávky předmětu koupě dle této smlouvy, včetně nákladů na dopravu předmětu koupě na místo </w:t>
      </w:r>
      <w:r>
        <w:rPr>
          <w:rFonts w:ascii="Calibri" w:hAnsi="Calibri"/>
        </w:rPr>
        <w:t>převzetí</w:t>
      </w:r>
      <w:r w:rsidRPr="00517BCA">
        <w:rPr>
          <w:rFonts w:ascii="Calibri" w:hAnsi="Calibri"/>
        </w:rPr>
        <w:t>.</w:t>
      </w:r>
    </w:p>
    <w:p w14:paraId="78C8F01A" w14:textId="77777777" w:rsidR="00394717" w:rsidRDefault="00A87A48" w:rsidP="00047F0E">
      <w:pPr>
        <w:numPr>
          <w:ilvl w:val="0"/>
          <w:numId w:val="5"/>
        </w:numPr>
        <w:autoSpaceDE w:val="0"/>
        <w:autoSpaceDN w:val="0"/>
        <w:adjustRightInd w:val="0"/>
        <w:ind w:left="284"/>
        <w:rPr>
          <w:rFonts w:ascii="Calibri" w:hAnsi="Calibri"/>
        </w:rPr>
      </w:pPr>
      <w:r>
        <w:rPr>
          <w:rFonts w:ascii="Calibri" w:hAnsi="Calibri"/>
        </w:rPr>
        <w:t>K</w:t>
      </w:r>
      <w:r w:rsidR="00047F0E" w:rsidRPr="00394717">
        <w:rPr>
          <w:rFonts w:ascii="Calibri" w:hAnsi="Calibri"/>
        </w:rPr>
        <w:t xml:space="preserve">upní cena </w:t>
      </w:r>
      <w:r>
        <w:rPr>
          <w:rFonts w:ascii="Calibri" w:hAnsi="Calibri"/>
        </w:rPr>
        <w:t>dle odst. 1</w:t>
      </w:r>
      <w:r w:rsidR="00D3375B">
        <w:rPr>
          <w:rFonts w:ascii="Calibri" w:hAnsi="Calibri"/>
        </w:rPr>
        <w:t xml:space="preserve"> a odst. 2</w:t>
      </w:r>
      <w:r>
        <w:rPr>
          <w:rFonts w:ascii="Calibri" w:hAnsi="Calibri"/>
        </w:rPr>
        <w:t xml:space="preserve"> </w:t>
      </w:r>
      <w:r w:rsidR="00047F0E" w:rsidRPr="00394717">
        <w:rPr>
          <w:rFonts w:ascii="Calibri" w:hAnsi="Calibri"/>
        </w:rPr>
        <w:t xml:space="preserve">bude zaplacena po převzetí </w:t>
      </w:r>
      <w:r w:rsidR="000B3D5C" w:rsidRPr="00394717">
        <w:rPr>
          <w:rFonts w:ascii="Calibri" w:hAnsi="Calibri"/>
        </w:rPr>
        <w:t>zboží</w:t>
      </w:r>
      <w:r w:rsidR="00047F0E" w:rsidRPr="00394717">
        <w:rPr>
          <w:rFonts w:ascii="Calibri" w:hAnsi="Calibri"/>
        </w:rPr>
        <w:t xml:space="preserve"> kupujícím </w:t>
      </w:r>
      <w:r w:rsidR="003C6B08">
        <w:rPr>
          <w:rFonts w:ascii="Calibri" w:hAnsi="Calibri"/>
        </w:rPr>
        <w:t xml:space="preserve">a </w:t>
      </w:r>
      <w:r w:rsidR="000A434C">
        <w:rPr>
          <w:rFonts w:ascii="Calibri" w:hAnsi="Calibri"/>
        </w:rPr>
        <w:t xml:space="preserve">provedení implementačních prací, tj. po </w:t>
      </w:r>
      <w:r w:rsidR="003C6B08">
        <w:rPr>
          <w:rFonts w:ascii="Calibri" w:hAnsi="Calibri"/>
        </w:rPr>
        <w:t>podpisu předávacího protokolu</w:t>
      </w:r>
      <w:r w:rsidR="000A434C">
        <w:rPr>
          <w:rFonts w:ascii="Calibri" w:hAnsi="Calibri"/>
        </w:rPr>
        <w:t>,</w:t>
      </w:r>
      <w:r w:rsidR="003C6B08">
        <w:rPr>
          <w:rFonts w:ascii="Calibri" w:hAnsi="Calibri"/>
        </w:rPr>
        <w:t xml:space="preserve"> </w:t>
      </w:r>
      <w:r w:rsidR="00047F0E" w:rsidRPr="00394717">
        <w:rPr>
          <w:rFonts w:ascii="Calibri" w:hAnsi="Calibri"/>
        </w:rPr>
        <w:t>na</w:t>
      </w:r>
      <w:r w:rsidR="000B3D5C" w:rsidRPr="00394717">
        <w:rPr>
          <w:rFonts w:ascii="Calibri" w:hAnsi="Calibri"/>
        </w:rPr>
        <w:t> </w:t>
      </w:r>
      <w:r w:rsidR="00047F0E" w:rsidRPr="00394717">
        <w:rPr>
          <w:rFonts w:ascii="Calibri" w:hAnsi="Calibri"/>
        </w:rPr>
        <w:t>základě faktury vystavené prodávajícím</w:t>
      </w:r>
      <w:r w:rsidR="00394717" w:rsidRPr="00394717">
        <w:rPr>
          <w:rFonts w:ascii="Calibri" w:hAnsi="Calibri"/>
        </w:rPr>
        <w:t>, se splatností</w:t>
      </w:r>
      <w:r w:rsidR="00394717">
        <w:rPr>
          <w:rFonts w:ascii="Calibri" w:hAnsi="Calibri"/>
        </w:rPr>
        <w:t xml:space="preserve"> </w:t>
      </w:r>
      <w:r w:rsidR="00047F0E" w:rsidRPr="00394717">
        <w:rPr>
          <w:rFonts w:ascii="Calibri" w:hAnsi="Calibri"/>
        </w:rPr>
        <w:t>do 21 dní od doručení daňového dokladu</w:t>
      </w:r>
      <w:r w:rsidR="00394717">
        <w:rPr>
          <w:rFonts w:ascii="Calibri" w:hAnsi="Calibri"/>
        </w:rPr>
        <w:t>.</w:t>
      </w:r>
    </w:p>
    <w:p w14:paraId="78C8F01B" w14:textId="77777777" w:rsidR="00047F0E" w:rsidRPr="00394717" w:rsidRDefault="00047F0E" w:rsidP="00047F0E">
      <w:pPr>
        <w:numPr>
          <w:ilvl w:val="0"/>
          <w:numId w:val="5"/>
        </w:numPr>
        <w:autoSpaceDE w:val="0"/>
        <w:autoSpaceDN w:val="0"/>
        <w:adjustRightInd w:val="0"/>
        <w:ind w:left="284"/>
        <w:rPr>
          <w:rFonts w:ascii="Calibri" w:hAnsi="Calibri"/>
        </w:rPr>
      </w:pPr>
      <w:r w:rsidRPr="00394717">
        <w:rPr>
          <w:rFonts w:ascii="Calibri" w:hAnsi="Calibri"/>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kupující oprávněn jej vrátit s tím, že prodávající je poté povinen vystavit nový s novým termínem splatnosti. V takovém případě není kupující v prodlení s úhradou.</w:t>
      </w:r>
    </w:p>
    <w:p w14:paraId="78C8F01C" w14:textId="77777777" w:rsidR="00047F0E" w:rsidRPr="006E5B12" w:rsidRDefault="00047F0E" w:rsidP="00047F0E">
      <w:pPr>
        <w:numPr>
          <w:ilvl w:val="0"/>
          <w:numId w:val="5"/>
        </w:numPr>
        <w:autoSpaceDE w:val="0"/>
        <w:autoSpaceDN w:val="0"/>
        <w:adjustRightInd w:val="0"/>
        <w:ind w:left="284"/>
        <w:rPr>
          <w:rFonts w:ascii="Calibri" w:hAnsi="Calibri"/>
        </w:rPr>
      </w:pPr>
      <w:r w:rsidRPr="006E5B12">
        <w:rPr>
          <w:rFonts w:ascii="Calibri" w:hAnsi="Calibri"/>
        </w:rPr>
        <w:t>Kupující je oprávněn provést zajišťovací úhradu DPH na účet příslušného finančního úřadu, jestliže se prodávající stane ke dni uskutečnění zdanitelného plnění nespolehlivým plátcem dle zákona o dani z přidané hodnoty.</w:t>
      </w:r>
    </w:p>
    <w:p w14:paraId="78C8F01D" w14:textId="77777777" w:rsidR="00047F0E" w:rsidRDefault="00047F0E" w:rsidP="00047F0E">
      <w:pPr>
        <w:numPr>
          <w:ilvl w:val="0"/>
          <w:numId w:val="5"/>
        </w:numPr>
        <w:autoSpaceDE w:val="0"/>
        <w:autoSpaceDN w:val="0"/>
        <w:adjustRightInd w:val="0"/>
        <w:ind w:left="284"/>
        <w:rPr>
          <w:rFonts w:ascii="Calibri" w:hAnsi="Calibri"/>
        </w:rPr>
      </w:pPr>
      <w:r w:rsidRPr="006E5B12">
        <w:rPr>
          <w:rFonts w:ascii="Calibri" w:hAnsi="Calibri"/>
        </w:rPr>
        <w:t xml:space="preserve">Prodávající prohlašuje, že ke dni podpisu smlouvy není veden jako nespolehlivý plátce dle zákona č. 235/2004 Sb., o dani z přidané hodnoty, v platném znění, a zavazuje se, že se jím nestane po celou dobu trvání jakýchkoliv finančních závazků plynoucích z této smlouvy. Prodávající se dále zavazuje uvádět pro účely bezhotovostního převodu pouze účet či účty, které jsou správcem daně zveřejněny způsobem umožňujícím dálkový přístup dle zákona o dani z přidané hodnoty. V případě, že se přesto prodávající stane nespolehlivým plátcem, je povinen tuto skutečnost oznámit NPÚ neprodleně (nejpozději do 3 dnů ode dne, kdy se jím stal) na email uvedený u kupujícího v hlavičce této smlouvy. V případě porušení oznamovací povinnosti je prodávající povinen uhradit kupujícímu jednorázovou smluvní pokutu ve výši částky odpovídající výši DPH připočtené k ceně předmětu koupě. </w:t>
      </w:r>
    </w:p>
    <w:p w14:paraId="78C8F01E" w14:textId="77777777" w:rsidR="000A4B9D" w:rsidRPr="006E5B12" w:rsidRDefault="000A4B9D" w:rsidP="000A4B9D">
      <w:pPr>
        <w:autoSpaceDE w:val="0"/>
        <w:autoSpaceDN w:val="0"/>
        <w:adjustRightInd w:val="0"/>
        <w:ind w:left="284"/>
        <w:rPr>
          <w:rFonts w:ascii="Calibri" w:hAnsi="Calibri"/>
        </w:rPr>
      </w:pPr>
    </w:p>
    <w:p w14:paraId="78C8F01F" w14:textId="77777777" w:rsidR="000A4B9D" w:rsidRPr="006663BD" w:rsidRDefault="000A4B9D" w:rsidP="000A4B9D">
      <w:pPr>
        <w:pStyle w:val="Nadpis41"/>
        <w:keepNext/>
        <w:rPr>
          <w:rFonts w:ascii="Calibri" w:hAnsi="Calibri"/>
          <w:szCs w:val="22"/>
        </w:rPr>
      </w:pPr>
      <w:r w:rsidRPr="006663BD">
        <w:rPr>
          <w:rFonts w:ascii="Calibri" w:hAnsi="Calibri"/>
          <w:szCs w:val="22"/>
        </w:rPr>
        <w:t>Článek V</w:t>
      </w:r>
      <w:r w:rsidR="00BE46D8">
        <w:rPr>
          <w:rFonts w:ascii="Calibri" w:hAnsi="Calibri"/>
          <w:szCs w:val="22"/>
        </w:rPr>
        <w:t>II</w:t>
      </w:r>
      <w:r w:rsidRPr="006663BD">
        <w:rPr>
          <w:rFonts w:ascii="Calibri" w:hAnsi="Calibri"/>
          <w:szCs w:val="22"/>
        </w:rPr>
        <w:t>.</w:t>
      </w:r>
    </w:p>
    <w:p w14:paraId="78C8F020" w14:textId="77777777" w:rsidR="005603DC" w:rsidRPr="005603DC" w:rsidRDefault="005603DC" w:rsidP="005603DC">
      <w:pPr>
        <w:jc w:val="center"/>
        <w:rPr>
          <w:rFonts w:ascii="Calibri" w:eastAsia="Calibri" w:hAnsi="Calibri"/>
          <w:b/>
          <w:color w:val="000000"/>
          <w:lang w:eastAsia="en-US"/>
        </w:rPr>
      </w:pPr>
      <w:r w:rsidRPr="005603DC">
        <w:rPr>
          <w:rFonts w:ascii="Calibri" w:eastAsia="Calibri" w:hAnsi="Calibri"/>
          <w:b/>
          <w:color w:val="000000"/>
          <w:lang w:eastAsia="en-US"/>
        </w:rPr>
        <w:t>Sankční ujed</w:t>
      </w:r>
      <w:r>
        <w:rPr>
          <w:rFonts w:ascii="Calibri" w:eastAsia="Calibri" w:hAnsi="Calibri"/>
          <w:b/>
          <w:color w:val="000000"/>
          <w:lang w:eastAsia="en-US"/>
        </w:rPr>
        <w:t>n</w:t>
      </w:r>
      <w:r w:rsidRPr="005603DC">
        <w:rPr>
          <w:rFonts w:ascii="Calibri" w:eastAsia="Calibri" w:hAnsi="Calibri"/>
          <w:b/>
          <w:color w:val="000000"/>
          <w:lang w:eastAsia="en-US"/>
        </w:rPr>
        <w:t>ání</w:t>
      </w:r>
    </w:p>
    <w:p w14:paraId="78C8F021" w14:textId="77777777" w:rsidR="002B6C01" w:rsidRDefault="008937A2" w:rsidP="00CE1571">
      <w:pPr>
        <w:pStyle w:val="Default"/>
        <w:numPr>
          <w:ilvl w:val="0"/>
          <w:numId w:val="14"/>
        </w:numPr>
        <w:jc w:val="both"/>
        <w:rPr>
          <w:rFonts w:ascii="Calibri" w:hAnsi="Calibri"/>
          <w:sz w:val="22"/>
          <w:szCs w:val="22"/>
        </w:rPr>
      </w:pPr>
      <w:r w:rsidRPr="005C185A">
        <w:rPr>
          <w:rFonts w:ascii="Calibri" w:hAnsi="Calibri"/>
          <w:sz w:val="22"/>
          <w:szCs w:val="22"/>
        </w:rPr>
        <w:t>V případě prodlení prodávajícího s </w:t>
      </w:r>
      <w:r w:rsidR="00CB2E7D">
        <w:rPr>
          <w:rFonts w:ascii="Calibri" w:hAnsi="Calibri"/>
          <w:sz w:val="22"/>
          <w:szCs w:val="22"/>
        </w:rPr>
        <w:t>dodáním</w:t>
      </w:r>
      <w:r w:rsidRPr="005C185A">
        <w:rPr>
          <w:rFonts w:ascii="Calibri" w:hAnsi="Calibri"/>
          <w:sz w:val="22"/>
          <w:szCs w:val="22"/>
        </w:rPr>
        <w:t xml:space="preserve"> </w:t>
      </w:r>
      <w:r w:rsidR="005603DC">
        <w:rPr>
          <w:rFonts w:ascii="Calibri" w:hAnsi="Calibri"/>
          <w:sz w:val="22"/>
          <w:szCs w:val="22"/>
        </w:rPr>
        <w:t>zboží</w:t>
      </w:r>
      <w:r w:rsidR="00C1405F">
        <w:rPr>
          <w:rFonts w:ascii="Calibri" w:hAnsi="Calibri"/>
          <w:sz w:val="22"/>
          <w:szCs w:val="22"/>
        </w:rPr>
        <w:t xml:space="preserve"> </w:t>
      </w:r>
      <w:r w:rsidR="002B6C01">
        <w:rPr>
          <w:rFonts w:ascii="Calibri" w:hAnsi="Calibri"/>
          <w:sz w:val="22"/>
          <w:szCs w:val="22"/>
        </w:rPr>
        <w:t xml:space="preserve">v termínu podle čl. III se smluvní strany dohodly na smluvní pokutě ve výši 0,25% z celkové kupní ceny vč. DPH </w:t>
      </w:r>
      <w:r w:rsidR="00BE46D8">
        <w:rPr>
          <w:rFonts w:ascii="Calibri" w:hAnsi="Calibri"/>
          <w:sz w:val="22"/>
          <w:szCs w:val="22"/>
        </w:rPr>
        <w:t>dle čl. VI</w:t>
      </w:r>
      <w:r w:rsidR="002B65CD">
        <w:rPr>
          <w:rFonts w:ascii="Calibri" w:hAnsi="Calibri"/>
          <w:sz w:val="22"/>
          <w:szCs w:val="22"/>
        </w:rPr>
        <w:t xml:space="preserve"> odst. 1 </w:t>
      </w:r>
      <w:r w:rsidR="002B6C01">
        <w:rPr>
          <w:rFonts w:ascii="Calibri" w:hAnsi="Calibri"/>
          <w:sz w:val="22"/>
          <w:szCs w:val="22"/>
        </w:rPr>
        <w:t>za každ</w:t>
      </w:r>
      <w:r w:rsidR="002B65CD">
        <w:rPr>
          <w:rFonts w:ascii="Calibri" w:hAnsi="Calibri"/>
          <w:sz w:val="22"/>
          <w:szCs w:val="22"/>
        </w:rPr>
        <w:t>ý</w:t>
      </w:r>
      <w:r w:rsidR="002B6C01">
        <w:rPr>
          <w:rFonts w:ascii="Calibri" w:hAnsi="Calibri"/>
          <w:sz w:val="22"/>
          <w:szCs w:val="22"/>
        </w:rPr>
        <w:t>, byť i započatý, den prodlení.</w:t>
      </w:r>
    </w:p>
    <w:p w14:paraId="78C8F022" w14:textId="77777777" w:rsidR="00CA5F34" w:rsidRDefault="00CA5F34" w:rsidP="00CA5F34">
      <w:pPr>
        <w:pStyle w:val="Default"/>
        <w:numPr>
          <w:ilvl w:val="0"/>
          <w:numId w:val="14"/>
        </w:numPr>
        <w:jc w:val="both"/>
        <w:rPr>
          <w:rFonts w:ascii="Calibri" w:hAnsi="Calibri"/>
          <w:sz w:val="22"/>
          <w:szCs w:val="22"/>
        </w:rPr>
      </w:pPr>
      <w:r w:rsidRPr="005C185A">
        <w:rPr>
          <w:rFonts w:ascii="Calibri" w:hAnsi="Calibri"/>
          <w:sz w:val="22"/>
          <w:szCs w:val="22"/>
        </w:rPr>
        <w:t>V případě prodlení prodávajícího s </w:t>
      </w:r>
      <w:r>
        <w:rPr>
          <w:rFonts w:ascii="Calibri" w:hAnsi="Calibri"/>
          <w:sz w:val="22"/>
          <w:szCs w:val="22"/>
        </w:rPr>
        <w:t>provedením implementace v termínu podle čl. IV se smluvní strany dohodly na smluvní pokutě ve výši 0,25% z celkov</w:t>
      </w:r>
      <w:r w:rsidR="00BE46D8">
        <w:rPr>
          <w:rFonts w:ascii="Calibri" w:hAnsi="Calibri"/>
          <w:sz w:val="22"/>
          <w:szCs w:val="22"/>
        </w:rPr>
        <w:t>é kupní ceny vč. DPH dle čl. VI</w:t>
      </w:r>
      <w:r>
        <w:rPr>
          <w:rFonts w:ascii="Calibri" w:hAnsi="Calibri"/>
          <w:sz w:val="22"/>
          <w:szCs w:val="22"/>
        </w:rPr>
        <w:t xml:space="preserve"> odst. </w:t>
      </w:r>
      <w:r w:rsidR="001A7EB6">
        <w:rPr>
          <w:rFonts w:ascii="Calibri" w:hAnsi="Calibri"/>
          <w:sz w:val="22"/>
          <w:szCs w:val="22"/>
        </w:rPr>
        <w:t>2</w:t>
      </w:r>
      <w:r>
        <w:rPr>
          <w:rFonts w:ascii="Calibri" w:hAnsi="Calibri"/>
          <w:sz w:val="22"/>
          <w:szCs w:val="22"/>
        </w:rPr>
        <w:t xml:space="preserve"> za každý, byť i započatý, den prodlení.</w:t>
      </w:r>
    </w:p>
    <w:p w14:paraId="78C8F023" w14:textId="77777777" w:rsidR="00B33532" w:rsidRDefault="000B1E31" w:rsidP="00CE1571">
      <w:pPr>
        <w:pStyle w:val="Default"/>
        <w:numPr>
          <w:ilvl w:val="0"/>
          <w:numId w:val="14"/>
        </w:numPr>
        <w:jc w:val="both"/>
        <w:rPr>
          <w:rFonts w:ascii="Calibri" w:hAnsi="Calibri"/>
          <w:sz w:val="22"/>
          <w:szCs w:val="22"/>
        </w:rPr>
      </w:pPr>
      <w:r>
        <w:rPr>
          <w:rFonts w:ascii="Calibri" w:hAnsi="Calibri"/>
          <w:sz w:val="22"/>
          <w:szCs w:val="22"/>
        </w:rPr>
        <w:t xml:space="preserve">V případě nedodržení podmínek záručního servisu podle čl. </w:t>
      </w:r>
      <w:r w:rsidR="0022734A">
        <w:rPr>
          <w:rFonts w:ascii="Calibri" w:hAnsi="Calibri"/>
          <w:sz w:val="22"/>
          <w:szCs w:val="22"/>
        </w:rPr>
        <w:t xml:space="preserve">V se smluvní strany dohodly na smluvní pokutě ve výši </w:t>
      </w:r>
      <w:r w:rsidR="00C34FE3">
        <w:rPr>
          <w:rFonts w:ascii="Calibri" w:hAnsi="Calibri"/>
          <w:sz w:val="22"/>
          <w:szCs w:val="22"/>
        </w:rPr>
        <w:t xml:space="preserve">1.000,- Kč </w:t>
      </w:r>
      <w:r w:rsidR="0022734A">
        <w:rPr>
          <w:rFonts w:ascii="Calibri" w:hAnsi="Calibri"/>
          <w:sz w:val="22"/>
          <w:szCs w:val="22"/>
        </w:rPr>
        <w:t>za každý, byť i započatý, den prodlení</w:t>
      </w:r>
      <w:r w:rsidR="00C34FE3">
        <w:rPr>
          <w:rFonts w:ascii="Calibri" w:hAnsi="Calibri"/>
          <w:sz w:val="22"/>
          <w:szCs w:val="22"/>
        </w:rPr>
        <w:t>, a to pro každý případ reklamace zvlášť</w:t>
      </w:r>
      <w:r w:rsidR="00C74827">
        <w:rPr>
          <w:rFonts w:ascii="Calibri" w:hAnsi="Calibri"/>
          <w:sz w:val="22"/>
          <w:szCs w:val="22"/>
        </w:rPr>
        <w:t>, případně za každý jednotlivý případ porušení povinnosti záručního servisu</w:t>
      </w:r>
      <w:r w:rsidR="00256C41">
        <w:rPr>
          <w:rFonts w:ascii="Calibri" w:hAnsi="Calibri"/>
          <w:sz w:val="22"/>
          <w:szCs w:val="22"/>
        </w:rPr>
        <w:t xml:space="preserve"> (v závislosti na povaze plnění)</w:t>
      </w:r>
      <w:r w:rsidR="00C34FE3">
        <w:rPr>
          <w:rFonts w:ascii="Calibri" w:hAnsi="Calibri"/>
          <w:sz w:val="22"/>
          <w:szCs w:val="22"/>
        </w:rPr>
        <w:t>.</w:t>
      </w:r>
    </w:p>
    <w:p w14:paraId="78C8F024" w14:textId="77777777" w:rsidR="00030BCA" w:rsidRDefault="00030BCA" w:rsidP="003C1B29">
      <w:pPr>
        <w:pStyle w:val="Default"/>
        <w:numPr>
          <w:ilvl w:val="0"/>
          <w:numId w:val="14"/>
        </w:numPr>
        <w:jc w:val="both"/>
        <w:rPr>
          <w:rFonts w:ascii="Calibri" w:hAnsi="Calibri"/>
          <w:sz w:val="22"/>
          <w:szCs w:val="22"/>
        </w:rPr>
      </w:pPr>
      <w:r>
        <w:rPr>
          <w:rFonts w:ascii="Calibri" w:hAnsi="Calibri"/>
          <w:sz w:val="22"/>
          <w:szCs w:val="22"/>
        </w:rPr>
        <w:lastRenderedPageBreak/>
        <w:t xml:space="preserve">V případě prodlení kupujícího se zaplacení dohodnuté ceny na základě řádně vystavené faktury prodávajícího v souladu s čl. VI této smlouvy sjednávají smluvní strany zákonný úrok z prodlení </w:t>
      </w:r>
      <w:r w:rsidR="00373A65">
        <w:rPr>
          <w:rFonts w:ascii="Calibri" w:hAnsi="Calibri"/>
          <w:sz w:val="22"/>
          <w:szCs w:val="22"/>
        </w:rPr>
        <w:t xml:space="preserve">z dlužné částky </w:t>
      </w:r>
      <w:r>
        <w:rPr>
          <w:rFonts w:ascii="Calibri" w:hAnsi="Calibri"/>
          <w:sz w:val="22"/>
          <w:szCs w:val="22"/>
        </w:rPr>
        <w:t>za každý, byť započatý, den prodlení.</w:t>
      </w:r>
    </w:p>
    <w:p w14:paraId="78C8F025" w14:textId="77777777" w:rsidR="008937A2" w:rsidRPr="0049350E" w:rsidRDefault="0049350E" w:rsidP="0049350E">
      <w:pPr>
        <w:pStyle w:val="Default"/>
        <w:numPr>
          <w:ilvl w:val="0"/>
          <w:numId w:val="14"/>
        </w:numPr>
        <w:jc w:val="both"/>
        <w:rPr>
          <w:rFonts w:ascii="Calibri" w:hAnsi="Calibri"/>
          <w:sz w:val="22"/>
          <w:szCs w:val="22"/>
        </w:rPr>
      </w:pPr>
      <w:r w:rsidRPr="0049350E">
        <w:rPr>
          <w:rFonts w:ascii="Calibri" w:hAnsi="Calibri"/>
          <w:sz w:val="22"/>
          <w:szCs w:val="22"/>
        </w:rPr>
        <w:t xml:space="preserve">Smluvní pokuty dle této smlouvy jsou splatné do 21 dnů po obdržení vyúčtování smluvní pokuty.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 </w:t>
      </w:r>
      <w:r>
        <w:rPr>
          <w:rFonts w:ascii="Calibri" w:hAnsi="Calibri"/>
          <w:sz w:val="22"/>
          <w:szCs w:val="22"/>
        </w:rPr>
        <w:t>Kupující</w:t>
      </w:r>
      <w:r w:rsidRPr="0049350E">
        <w:rPr>
          <w:rFonts w:ascii="Calibri" w:hAnsi="Calibri"/>
          <w:sz w:val="22"/>
          <w:szCs w:val="22"/>
        </w:rPr>
        <w:t xml:space="preserve"> je oprávněn, zejména v případě, kdy </w:t>
      </w:r>
      <w:r>
        <w:rPr>
          <w:rFonts w:ascii="Calibri" w:hAnsi="Calibri"/>
          <w:sz w:val="22"/>
          <w:szCs w:val="22"/>
        </w:rPr>
        <w:t>prodávající</w:t>
      </w:r>
      <w:r w:rsidRPr="0049350E">
        <w:rPr>
          <w:rFonts w:ascii="Calibri" w:hAnsi="Calibri"/>
          <w:sz w:val="22"/>
          <w:szCs w:val="22"/>
        </w:rPr>
        <w:t xml:space="preserve"> ve stanovené lhůtě neuhradí smluvní pokutu, započíst na své závazky vůči </w:t>
      </w:r>
      <w:r>
        <w:rPr>
          <w:rFonts w:ascii="Calibri" w:hAnsi="Calibri"/>
          <w:sz w:val="22"/>
          <w:szCs w:val="22"/>
        </w:rPr>
        <w:t>prodávajícímu</w:t>
      </w:r>
      <w:r w:rsidRPr="0049350E">
        <w:rPr>
          <w:rFonts w:ascii="Calibri" w:hAnsi="Calibri"/>
          <w:sz w:val="22"/>
          <w:szCs w:val="22"/>
        </w:rPr>
        <w:t xml:space="preserve"> své finanční nároky na smluvní pokutu, kterou </w:t>
      </w:r>
      <w:r>
        <w:rPr>
          <w:rFonts w:ascii="Calibri" w:hAnsi="Calibri"/>
          <w:sz w:val="22"/>
          <w:szCs w:val="22"/>
        </w:rPr>
        <w:t xml:space="preserve">prodávajícímu </w:t>
      </w:r>
      <w:r w:rsidRPr="0049350E">
        <w:rPr>
          <w:rFonts w:ascii="Calibri" w:hAnsi="Calibri"/>
          <w:sz w:val="22"/>
          <w:szCs w:val="22"/>
        </w:rPr>
        <w:t>vyúčtuje</w:t>
      </w:r>
      <w:r w:rsidR="008937A2" w:rsidRPr="0049350E">
        <w:rPr>
          <w:rFonts w:ascii="Calibri" w:hAnsi="Calibri"/>
          <w:sz w:val="22"/>
          <w:szCs w:val="22"/>
        </w:rPr>
        <w:t xml:space="preserve">. </w:t>
      </w:r>
    </w:p>
    <w:p w14:paraId="78C8F026" w14:textId="77777777" w:rsidR="008937A2" w:rsidRPr="0051280C" w:rsidRDefault="008937A2" w:rsidP="008937A2">
      <w:pPr>
        <w:rPr>
          <w:highlight w:val="lightGray"/>
        </w:rPr>
      </w:pPr>
    </w:p>
    <w:p w14:paraId="78C8F027" w14:textId="77777777" w:rsidR="00BF48D4" w:rsidRPr="006663BD" w:rsidRDefault="00BF48D4" w:rsidP="00BF48D4">
      <w:pPr>
        <w:pStyle w:val="Nadpis41"/>
        <w:keepNext/>
        <w:rPr>
          <w:rFonts w:ascii="Calibri" w:hAnsi="Calibri"/>
          <w:szCs w:val="22"/>
        </w:rPr>
      </w:pPr>
      <w:r w:rsidRPr="006663BD">
        <w:rPr>
          <w:rFonts w:ascii="Calibri" w:hAnsi="Calibri"/>
          <w:szCs w:val="22"/>
        </w:rPr>
        <w:t xml:space="preserve">Článek </w:t>
      </w:r>
      <w:r w:rsidR="00BE46D8">
        <w:rPr>
          <w:rFonts w:ascii="Calibri" w:hAnsi="Calibri"/>
          <w:szCs w:val="22"/>
        </w:rPr>
        <w:t>VIII</w:t>
      </w:r>
      <w:r w:rsidRPr="006663BD">
        <w:rPr>
          <w:rFonts w:ascii="Calibri" w:hAnsi="Calibri"/>
          <w:szCs w:val="22"/>
        </w:rPr>
        <w:t>.</w:t>
      </w:r>
    </w:p>
    <w:p w14:paraId="78C8F028" w14:textId="77777777" w:rsidR="00BF48D4" w:rsidRPr="00FC6BF3" w:rsidRDefault="00FC6BF3" w:rsidP="00BF48D4">
      <w:pPr>
        <w:jc w:val="center"/>
        <w:rPr>
          <w:rFonts w:ascii="Calibri" w:eastAsia="Calibri" w:hAnsi="Calibri"/>
          <w:b/>
          <w:color w:val="000000"/>
          <w:lang w:eastAsia="en-US"/>
        </w:rPr>
      </w:pPr>
      <w:r w:rsidRPr="00FC6BF3">
        <w:rPr>
          <w:rFonts w:ascii="Calibri" w:eastAsia="Calibri" w:hAnsi="Calibri"/>
          <w:b/>
          <w:color w:val="000000"/>
          <w:lang w:eastAsia="en-US"/>
        </w:rPr>
        <w:t>Trvání smlouvy, odstoupení od smlouvy</w:t>
      </w:r>
    </w:p>
    <w:p w14:paraId="78C8F029" w14:textId="77777777" w:rsidR="00BF48D4" w:rsidRPr="00BF48D4" w:rsidRDefault="00BF48D4" w:rsidP="00BF48D4">
      <w:pPr>
        <w:numPr>
          <w:ilvl w:val="0"/>
          <w:numId w:val="17"/>
        </w:numPr>
        <w:pBdr>
          <w:top w:val="nil"/>
          <w:left w:val="nil"/>
          <w:bottom w:val="nil"/>
          <w:right w:val="nil"/>
          <w:between w:val="nil"/>
        </w:pBdr>
        <w:rPr>
          <w:rFonts w:ascii="Calibri" w:eastAsia="Calibri" w:hAnsi="Calibri"/>
          <w:color w:val="000000"/>
          <w:lang w:eastAsia="en-US"/>
        </w:rPr>
      </w:pPr>
      <w:r w:rsidRPr="00BF48D4">
        <w:rPr>
          <w:rFonts w:ascii="Calibri" w:eastAsia="Calibri" w:hAnsi="Calibri"/>
          <w:color w:val="000000"/>
          <w:lang w:eastAsia="en-US"/>
        </w:rPr>
        <w:t xml:space="preserve">Tato smlouva se uzavírá </w:t>
      </w:r>
      <w:r w:rsidR="00FF23C8">
        <w:rPr>
          <w:rFonts w:ascii="Calibri" w:eastAsia="Calibri" w:hAnsi="Calibri"/>
          <w:color w:val="000000"/>
          <w:lang w:eastAsia="en-US"/>
        </w:rPr>
        <w:t xml:space="preserve">na dobu určitou, a to ode její </w:t>
      </w:r>
      <w:r w:rsidR="00E30C50">
        <w:rPr>
          <w:rFonts w:ascii="Calibri" w:eastAsia="Calibri" w:hAnsi="Calibri"/>
          <w:color w:val="000000"/>
          <w:lang w:eastAsia="en-US"/>
        </w:rPr>
        <w:t xml:space="preserve">účinnosti </w:t>
      </w:r>
      <w:r w:rsidRPr="00BF48D4">
        <w:rPr>
          <w:rFonts w:ascii="Calibri" w:eastAsia="Calibri" w:hAnsi="Calibri"/>
          <w:color w:val="000000"/>
          <w:lang w:eastAsia="en-US"/>
        </w:rPr>
        <w:t xml:space="preserve">na dobu </w:t>
      </w:r>
      <w:r w:rsidR="00BE46D8">
        <w:rPr>
          <w:rFonts w:ascii="Calibri" w:eastAsia="Calibri" w:hAnsi="Calibri"/>
          <w:color w:val="000000"/>
          <w:lang w:eastAsia="en-US"/>
        </w:rPr>
        <w:t>12</w:t>
      </w:r>
      <w:r w:rsidR="001C74FC">
        <w:rPr>
          <w:rFonts w:ascii="Calibri" w:eastAsia="Calibri" w:hAnsi="Calibri"/>
          <w:color w:val="000000"/>
          <w:lang w:eastAsia="en-US"/>
        </w:rPr>
        <w:t xml:space="preserve"> měsíců</w:t>
      </w:r>
      <w:r w:rsidRPr="00BF48D4">
        <w:rPr>
          <w:rFonts w:ascii="Calibri" w:eastAsia="Calibri" w:hAnsi="Calibri"/>
          <w:color w:val="000000"/>
          <w:lang w:eastAsia="en-US"/>
        </w:rPr>
        <w:t>.</w:t>
      </w:r>
    </w:p>
    <w:p w14:paraId="78C8F02A" w14:textId="77777777" w:rsidR="00BF48D4" w:rsidRDefault="00B0008B" w:rsidP="00BF48D4">
      <w:pPr>
        <w:numPr>
          <w:ilvl w:val="0"/>
          <w:numId w:val="17"/>
        </w:numPr>
        <w:pBdr>
          <w:top w:val="nil"/>
          <w:left w:val="nil"/>
          <w:bottom w:val="nil"/>
          <w:right w:val="nil"/>
          <w:between w:val="nil"/>
        </w:pBdr>
        <w:rPr>
          <w:rFonts w:ascii="Calibri" w:eastAsia="Calibri" w:hAnsi="Calibri"/>
          <w:color w:val="000000"/>
          <w:lang w:eastAsia="en-US"/>
        </w:rPr>
      </w:pPr>
      <w:r>
        <w:rPr>
          <w:rFonts w:ascii="Calibri" w:eastAsia="Calibri" w:hAnsi="Calibri"/>
          <w:color w:val="000000"/>
          <w:lang w:eastAsia="en-US"/>
        </w:rPr>
        <w:t>Kupující je oprávněn od této smlouvy odstoupit:</w:t>
      </w:r>
    </w:p>
    <w:p w14:paraId="78C8F02B" w14:textId="77777777" w:rsidR="006C72D1" w:rsidRPr="007E4EB2" w:rsidRDefault="002D135F" w:rsidP="002D135F">
      <w:pPr>
        <w:numPr>
          <w:ilvl w:val="0"/>
          <w:numId w:val="18"/>
        </w:numPr>
        <w:pBdr>
          <w:top w:val="nil"/>
          <w:left w:val="nil"/>
          <w:bottom w:val="nil"/>
          <w:right w:val="nil"/>
          <w:between w:val="nil"/>
        </w:pBdr>
        <w:rPr>
          <w:rFonts w:ascii="Calibri" w:eastAsia="Calibri" w:hAnsi="Calibri"/>
          <w:color w:val="000000"/>
          <w:lang w:eastAsia="en-US"/>
        </w:rPr>
      </w:pPr>
      <w:r>
        <w:rPr>
          <w:rFonts w:ascii="Calibri" w:hAnsi="Calibri"/>
        </w:rPr>
        <w:t>v</w:t>
      </w:r>
      <w:r w:rsidR="006C72D1" w:rsidRPr="005C185A">
        <w:rPr>
          <w:rFonts w:ascii="Calibri" w:hAnsi="Calibri"/>
        </w:rPr>
        <w:t> případě prodlení prodávajícího s </w:t>
      </w:r>
      <w:r w:rsidR="006C72D1">
        <w:rPr>
          <w:rFonts w:ascii="Calibri" w:hAnsi="Calibri"/>
        </w:rPr>
        <w:t>dodáním</w:t>
      </w:r>
      <w:r w:rsidR="006C72D1" w:rsidRPr="005C185A">
        <w:rPr>
          <w:rFonts w:ascii="Calibri" w:hAnsi="Calibri"/>
        </w:rPr>
        <w:t xml:space="preserve"> </w:t>
      </w:r>
      <w:r w:rsidR="006C72D1">
        <w:rPr>
          <w:rFonts w:ascii="Calibri" w:hAnsi="Calibri"/>
        </w:rPr>
        <w:t>zboží v termínu podle čl. III a/nebo provedením implementace v termínu podle čl. IV</w:t>
      </w:r>
      <w:r w:rsidR="007E4EB2">
        <w:rPr>
          <w:rFonts w:ascii="Calibri" w:hAnsi="Calibri"/>
        </w:rPr>
        <w:t xml:space="preserve"> této smlouvy, </w:t>
      </w:r>
    </w:p>
    <w:p w14:paraId="78C8F02C" w14:textId="77777777" w:rsidR="00CF2842" w:rsidRPr="00CF2842" w:rsidRDefault="007E4EB2" w:rsidP="002D135F">
      <w:pPr>
        <w:numPr>
          <w:ilvl w:val="0"/>
          <w:numId w:val="18"/>
        </w:numPr>
        <w:pBdr>
          <w:top w:val="nil"/>
          <w:left w:val="nil"/>
          <w:bottom w:val="nil"/>
          <w:right w:val="nil"/>
          <w:between w:val="nil"/>
        </w:pBdr>
        <w:rPr>
          <w:rFonts w:ascii="Calibri" w:eastAsia="Calibri" w:hAnsi="Calibri"/>
          <w:color w:val="000000"/>
          <w:lang w:eastAsia="en-US"/>
        </w:rPr>
      </w:pPr>
      <w:r>
        <w:rPr>
          <w:rFonts w:ascii="Calibri" w:hAnsi="Calibri"/>
        </w:rPr>
        <w:t xml:space="preserve">v případě nedodržení podmínek záručního servisu podle čl. V </w:t>
      </w:r>
      <w:r w:rsidR="00CF2842">
        <w:rPr>
          <w:rFonts w:ascii="Calibri" w:hAnsi="Calibri"/>
        </w:rPr>
        <w:t>s tím, že prodávající nesjedná nápravu ani v dodatečné přiměřené lhůtě poskytnuté kupujícím</w:t>
      </w:r>
      <w:r w:rsidR="00D65203">
        <w:rPr>
          <w:rFonts w:ascii="Calibri" w:hAnsi="Calibri"/>
        </w:rPr>
        <w:t xml:space="preserve"> (není-li sjednáno jinak, považuje se přiměřenou lhůtu </w:t>
      </w:r>
      <w:r w:rsidR="000035E0">
        <w:rPr>
          <w:rFonts w:ascii="Calibri" w:hAnsi="Calibri"/>
        </w:rPr>
        <w:t>15</w:t>
      </w:r>
      <w:r w:rsidR="00D65203">
        <w:rPr>
          <w:rFonts w:ascii="Calibri" w:hAnsi="Calibri"/>
        </w:rPr>
        <w:t xml:space="preserve"> pracovních dní)</w:t>
      </w:r>
      <w:r w:rsidR="00CF2842">
        <w:rPr>
          <w:rFonts w:ascii="Calibri" w:hAnsi="Calibri"/>
        </w:rPr>
        <w:t>,</w:t>
      </w:r>
    </w:p>
    <w:p w14:paraId="78C8F02D" w14:textId="77777777" w:rsidR="00B0008B" w:rsidRDefault="00BF48D4" w:rsidP="00DF41AB">
      <w:pPr>
        <w:numPr>
          <w:ilvl w:val="0"/>
          <w:numId w:val="18"/>
        </w:numPr>
        <w:pBdr>
          <w:top w:val="nil"/>
          <w:left w:val="nil"/>
          <w:bottom w:val="nil"/>
          <w:right w:val="nil"/>
          <w:between w:val="nil"/>
        </w:pBdr>
        <w:rPr>
          <w:rFonts w:ascii="Calibri" w:eastAsia="Calibri" w:hAnsi="Calibri"/>
          <w:color w:val="000000"/>
          <w:lang w:eastAsia="en-US"/>
        </w:rPr>
      </w:pPr>
      <w:r w:rsidRPr="00DF41AB">
        <w:rPr>
          <w:rFonts w:ascii="Calibri" w:eastAsia="Calibri" w:hAnsi="Calibri"/>
          <w:color w:val="000000"/>
          <w:lang w:eastAsia="en-US"/>
        </w:rPr>
        <w:t xml:space="preserve">v případě </w:t>
      </w:r>
      <w:r w:rsidR="00DF41AB">
        <w:rPr>
          <w:rFonts w:ascii="Calibri" w:eastAsia="Calibri" w:hAnsi="Calibri"/>
          <w:color w:val="000000"/>
          <w:lang w:eastAsia="en-US"/>
        </w:rPr>
        <w:t xml:space="preserve">jiného </w:t>
      </w:r>
      <w:r w:rsidRPr="00DF41AB">
        <w:rPr>
          <w:rFonts w:ascii="Calibri" w:eastAsia="Calibri" w:hAnsi="Calibri"/>
          <w:color w:val="000000"/>
          <w:lang w:eastAsia="en-US"/>
        </w:rPr>
        <w:t>podstatného po</w:t>
      </w:r>
      <w:r w:rsidR="00DF41AB">
        <w:rPr>
          <w:rFonts w:ascii="Calibri" w:eastAsia="Calibri" w:hAnsi="Calibri"/>
          <w:color w:val="000000"/>
          <w:lang w:eastAsia="en-US"/>
        </w:rPr>
        <w:t>rušení smlouvy</w:t>
      </w:r>
      <w:r w:rsidRPr="00DF41AB">
        <w:rPr>
          <w:rFonts w:ascii="Calibri" w:eastAsia="Calibri" w:hAnsi="Calibri"/>
          <w:color w:val="000000"/>
          <w:lang w:eastAsia="en-US"/>
        </w:rPr>
        <w:t xml:space="preserve">. </w:t>
      </w:r>
    </w:p>
    <w:p w14:paraId="78C8F02E" w14:textId="77777777" w:rsidR="00DF41AB" w:rsidRDefault="00DF41AB" w:rsidP="00DF41AB">
      <w:pPr>
        <w:numPr>
          <w:ilvl w:val="0"/>
          <w:numId w:val="17"/>
        </w:numPr>
        <w:pBdr>
          <w:top w:val="nil"/>
          <w:left w:val="nil"/>
          <w:bottom w:val="nil"/>
          <w:right w:val="nil"/>
          <w:between w:val="nil"/>
        </w:pBdr>
        <w:rPr>
          <w:rFonts w:ascii="Calibri" w:eastAsia="Calibri" w:hAnsi="Calibri"/>
          <w:color w:val="000000"/>
          <w:lang w:eastAsia="en-US"/>
        </w:rPr>
      </w:pPr>
      <w:r>
        <w:rPr>
          <w:rFonts w:ascii="Calibri" w:eastAsia="Calibri" w:hAnsi="Calibri"/>
          <w:color w:val="000000"/>
          <w:lang w:eastAsia="en-US"/>
        </w:rPr>
        <w:t>Prodávající je oprávněn od této smlouvy odstoupit písemným odstoupením:</w:t>
      </w:r>
    </w:p>
    <w:p w14:paraId="78C8F02F" w14:textId="77777777" w:rsidR="00DF41AB" w:rsidRPr="00DF41AB" w:rsidRDefault="00DF41AB" w:rsidP="00DF41AB">
      <w:pPr>
        <w:numPr>
          <w:ilvl w:val="0"/>
          <w:numId w:val="18"/>
        </w:numPr>
        <w:pBdr>
          <w:top w:val="nil"/>
          <w:left w:val="nil"/>
          <w:bottom w:val="nil"/>
          <w:right w:val="nil"/>
          <w:between w:val="nil"/>
        </w:pBdr>
        <w:rPr>
          <w:rFonts w:ascii="Calibri" w:eastAsia="Calibri" w:hAnsi="Calibri"/>
          <w:color w:val="000000"/>
          <w:lang w:eastAsia="en-US"/>
        </w:rPr>
      </w:pPr>
      <w:r>
        <w:rPr>
          <w:rFonts w:ascii="Calibri" w:hAnsi="Calibri"/>
        </w:rPr>
        <w:t>v případě prodlení kupujícího se zaplacení</w:t>
      </w:r>
      <w:r w:rsidR="003413DC">
        <w:rPr>
          <w:rFonts w:ascii="Calibri" w:hAnsi="Calibri"/>
        </w:rPr>
        <w:t>m</w:t>
      </w:r>
      <w:r>
        <w:rPr>
          <w:rFonts w:ascii="Calibri" w:hAnsi="Calibri"/>
        </w:rPr>
        <w:t xml:space="preserve"> dohodnuté ceny na základě řádně vystavené faktury </w:t>
      </w:r>
      <w:r w:rsidR="00BE46D8">
        <w:rPr>
          <w:rFonts w:ascii="Calibri" w:hAnsi="Calibri"/>
        </w:rPr>
        <w:t>prodávajícího v souladu s čl. V</w:t>
      </w:r>
      <w:r>
        <w:rPr>
          <w:rFonts w:ascii="Calibri" w:hAnsi="Calibri"/>
        </w:rPr>
        <w:t>I této smlouvy, trvajícího déle než 30 dní,</w:t>
      </w:r>
    </w:p>
    <w:p w14:paraId="78C8F030" w14:textId="77777777" w:rsidR="00DF41AB" w:rsidRDefault="00DF41AB" w:rsidP="00DF41AB">
      <w:pPr>
        <w:numPr>
          <w:ilvl w:val="0"/>
          <w:numId w:val="18"/>
        </w:numPr>
        <w:pBdr>
          <w:top w:val="nil"/>
          <w:left w:val="nil"/>
          <w:bottom w:val="nil"/>
          <w:right w:val="nil"/>
          <w:between w:val="nil"/>
        </w:pBdr>
        <w:rPr>
          <w:rFonts w:ascii="Calibri" w:eastAsia="Calibri" w:hAnsi="Calibri"/>
          <w:color w:val="000000"/>
          <w:lang w:eastAsia="en-US"/>
        </w:rPr>
      </w:pPr>
      <w:r w:rsidRPr="00DF41AB">
        <w:rPr>
          <w:rFonts w:ascii="Calibri" w:eastAsia="Calibri" w:hAnsi="Calibri"/>
          <w:color w:val="000000"/>
          <w:lang w:eastAsia="en-US"/>
        </w:rPr>
        <w:t xml:space="preserve">v případě </w:t>
      </w:r>
      <w:r>
        <w:rPr>
          <w:rFonts w:ascii="Calibri" w:eastAsia="Calibri" w:hAnsi="Calibri"/>
          <w:color w:val="000000"/>
          <w:lang w:eastAsia="en-US"/>
        </w:rPr>
        <w:t xml:space="preserve">jiného </w:t>
      </w:r>
      <w:r w:rsidRPr="00DF41AB">
        <w:rPr>
          <w:rFonts w:ascii="Calibri" w:eastAsia="Calibri" w:hAnsi="Calibri"/>
          <w:color w:val="000000"/>
          <w:lang w:eastAsia="en-US"/>
        </w:rPr>
        <w:t>podstatného po</w:t>
      </w:r>
      <w:r>
        <w:rPr>
          <w:rFonts w:ascii="Calibri" w:eastAsia="Calibri" w:hAnsi="Calibri"/>
          <w:color w:val="000000"/>
          <w:lang w:eastAsia="en-US"/>
        </w:rPr>
        <w:t>rušení smlouvy.</w:t>
      </w:r>
    </w:p>
    <w:p w14:paraId="78C8F031" w14:textId="77777777" w:rsidR="00DF41AB" w:rsidRPr="00DF41AB" w:rsidRDefault="00DF41AB" w:rsidP="00DF41AB">
      <w:pPr>
        <w:numPr>
          <w:ilvl w:val="0"/>
          <w:numId w:val="17"/>
        </w:numPr>
        <w:pBdr>
          <w:top w:val="nil"/>
          <w:left w:val="nil"/>
          <w:bottom w:val="nil"/>
          <w:right w:val="nil"/>
          <w:between w:val="nil"/>
        </w:pBdr>
        <w:rPr>
          <w:rFonts w:ascii="Calibri" w:eastAsia="Calibri" w:hAnsi="Calibri"/>
          <w:color w:val="000000"/>
          <w:lang w:eastAsia="en-US"/>
        </w:rPr>
      </w:pPr>
      <w:r>
        <w:rPr>
          <w:rFonts w:ascii="Calibri" w:eastAsia="Calibri" w:hAnsi="Calibri"/>
          <w:color w:val="000000"/>
          <w:lang w:eastAsia="en-US"/>
        </w:rPr>
        <w:t xml:space="preserve">Odstoupení od smlouvy je účinné dnem následujícím po doručení odstoupení druhé smluvní straně. </w:t>
      </w:r>
    </w:p>
    <w:p w14:paraId="78C8F032" w14:textId="77777777" w:rsidR="00047F0E" w:rsidRPr="0051280C" w:rsidRDefault="00047F0E" w:rsidP="00047F0E">
      <w:pPr>
        <w:rPr>
          <w:highlight w:val="lightGray"/>
        </w:rPr>
      </w:pPr>
    </w:p>
    <w:p w14:paraId="78C8F033" w14:textId="77777777" w:rsidR="00883F5F" w:rsidRPr="00883F5F" w:rsidRDefault="008A796F" w:rsidP="008A796F">
      <w:pPr>
        <w:pStyle w:val="Nadpis41"/>
        <w:rPr>
          <w:rFonts w:ascii="Calibri" w:hAnsi="Calibri"/>
        </w:rPr>
      </w:pPr>
      <w:r w:rsidRPr="006663BD">
        <w:rPr>
          <w:rFonts w:ascii="Calibri" w:hAnsi="Calibri"/>
          <w:szCs w:val="22"/>
        </w:rPr>
        <w:t>Článek</w:t>
      </w:r>
      <w:r w:rsidRPr="00883F5F">
        <w:rPr>
          <w:rFonts w:ascii="Calibri" w:hAnsi="Calibri"/>
        </w:rPr>
        <w:t xml:space="preserve"> </w:t>
      </w:r>
      <w:r w:rsidR="00BE46D8">
        <w:rPr>
          <w:rFonts w:ascii="Calibri" w:hAnsi="Calibri"/>
        </w:rPr>
        <w:t>I</w:t>
      </w:r>
      <w:r>
        <w:rPr>
          <w:rFonts w:ascii="Calibri" w:hAnsi="Calibri"/>
        </w:rPr>
        <w:t>X</w:t>
      </w:r>
      <w:r w:rsidR="00883F5F" w:rsidRPr="00883F5F">
        <w:rPr>
          <w:rFonts w:ascii="Calibri" w:hAnsi="Calibri"/>
        </w:rPr>
        <w:t>.</w:t>
      </w:r>
    </w:p>
    <w:p w14:paraId="78C8F034" w14:textId="77777777" w:rsidR="00883F5F" w:rsidRPr="00883F5F" w:rsidRDefault="00883F5F" w:rsidP="008A796F">
      <w:pPr>
        <w:pStyle w:val="Nadpis41"/>
        <w:rPr>
          <w:rFonts w:ascii="Calibri" w:hAnsi="Calibri"/>
        </w:rPr>
      </w:pPr>
      <w:r w:rsidRPr="00883F5F">
        <w:rPr>
          <w:rFonts w:ascii="Calibri" w:hAnsi="Calibri"/>
        </w:rPr>
        <w:t>Pověření pracovníci</w:t>
      </w:r>
    </w:p>
    <w:p w14:paraId="78C8F035" w14:textId="77777777" w:rsidR="00883F5F" w:rsidRPr="00B4681A" w:rsidRDefault="00883F5F" w:rsidP="00883F5F">
      <w:pPr>
        <w:pStyle w:val="Nadpis41"/>
        <w:numPr>
          <w:ilvl w:val="0"/>
          <w:numId w:val="15"/>
        </w:numPr>
        <w:jc w:val="both"/>
        <w:rPr>
          <w:rFonts w:ascii="Calibri" w:hAnsi="Calibri"/>
          <w:b w:val="0"/>
          <w:szCs w:val="22"/>
        </w:rPr>
      </w:pPr>
      <w:r w:rsidRPr="00B4681A">
        <w:rPr>
          <w:rFonts w:ascii="Calibri" w:hAnsi="Calibri"/>
          <w:b w:val="0"/>
          <w:szCs w:val="22"/>
        </w:rPr>
        <w:t xml:space="preserve">Za </w:t>
      </w:r>
      <w:r w:rsidR="003E2562" w:rsidRPr="00B4681A">
        <w:rPr>
          <w:rFonts w:ascii="Calibri" w:hAnsi="Calibri"/>
          <w:b w:val="0"/>
          <w:szCs w:val="22"/>
        </w:rPr>
        <w:t>kupujícího</w:t>
      </w:r>
      <w:r w:rsidRPr="00B4681A">
        <w:rPr>
          <w:rFonts w:ascii="Calibri" w:hAnsi="Calibri"/>
          <w:b w:val="0"/>
          <w:szCs w:val="22"/>
        </w:rPr>
        <w:t>:</w:t>
      </w:r>
    </w:p>
    <w:p w14:paraId="1B0BAC00" w14:textId="1F358A94" w:rsidR="00895AB5" w:rsidRDefault="005B427E" w:rsidP="00883F5F">
      <w:pPr>
        <w:pStyle w:val="Nadpis41"/>
        <w:numPr>
          <w:ilvl w:val="1"/>
          <w:numId w:val="15"/>
        </w:numPr>
        <w:jc w:val="both"/>
        <w:rPr>
          <w:rFonts w:ascii="Calibri" w:hAnsi="Calibri"/>
          <w:b w:val="0"/>
          <w:szCs w:val="22"/>
        </w:rPr>
      </w:pPr>
      <w:proofErr w:type="spellStart"/>
      <w:r>
        <w:rPr>
          <w:rFonts w:ascii="Calibri" w:hAnsi="Calibri"/>
          <w:b w:val="0"/>
          <w:szCs w:val="22"/>
        </w:rPr>
        <w:t>xxx</w:t>
      </w:r>
      <w:proofErr w:type="spellEnd"/>
      <w:r w:rsidR="00895AB5">
        <w:rPr>
          <w:rFonts w:ascii="Calibri" w:hAnsi="Calibri"/>
          <w:b w:val="0"/>
          <w:szCs w:val="22"/>
        </w:rPr>
        <w:t xml:space="preserve">, </w:t>
      </w:r>
      <w:proofErr w:type="spellStart"/>
      <w:r w:rsidR="00895AB5">
        <w:rPr>
          <w:rFonts w:ascii="Calibri" w:hAnsi="Calibri"/>
          <w:b w:val="0"/>
          <w:szCs w:val="22"/>
        </w:rPr>
        <w:t>ved</w:t>
      </w:r>
      <w:proofErr w:type="spellEnd"/>
      <w:r w:rsidR="00895AB5">
        <w:rPr>
          <w:rFonts w:ascii="Calibri" w:hAnsi="Calibri"/>
          <w:b w:val="0"/>
          <w:szCs w:val="22"/>
        </w:rPr>
        <w:t xml:space="preserve">. </w:t>
      </w:r>
      <w:proofErr w:type="gramStart"/>
      <w:r w:rsidR="00895AB5">
        <w:rPr>
          <w:rFonts w:ascii="Calibri" w:hAnsi="Calibri"/>
          <w:b w:val="0"/>
          <w:szCs w:val="22"/>
        </w:rPr>
        <w:t>odboru</w:t>
      </w:r>
      <w:proofErr w:type="gramEnd"/>
      <w:r w:rsidR="00895AB5">
        <w:rPr>
          <w:rFonts w:ascii="Calibri" w:hAnsi="Calibri"/>
          <w:b w:val="0"/>
          <w:szCs w:val="22"/>
        </w:rPr>
        <w:t xml:space="preserve"> informatiky, tel.: </w:t>
      </w:r>
      <w:proofErr w:type="spellStart"/>
      <w:r>
        <w:rPr>
          <w:rFonts w:ascii="Calibri" w:hAnsi="Calibri"/>
          <w:b w:val="0"/>
          <w:szCs w:val="22"/>
        </w:rPr>
        <w:t>xxx</w:t>
      </w:r>
      <w:proofErr w:type="spellEnd"/>
      <w:r w:rsidR="00895AB5">
        <w:rPr>
          <w:rFonts w:ascii="Calibri" w:hAnsi="Calibri"/>
          <w:b w:val="0"/>
          <w:szCs w:val="22"/>
        </w:rPr>
        <w:t xml:space="preserve">, e-mail: </w:t>
      </w:r>
      <w:proofErr w:type="spellStart"/>
      <w:r>
        <w:rPr>
          <w:rFonts w:ascii="Calibri" w:hAnsi="Calibri"/>
          <w:b w:val="0"/>
          <w:szCs w:val="22"/>
        </w:rPr>
        <w:t>xxx</w:t>
      </w:r>
      <w:proofErr w:type="spellEnd"/>
    </w:p>
    <w:p w14:paraId="78C8F036" w14:textId="2EDD9FF6" w:rsidR="00883F5F" w:rsidRPr="00B4681A" w:rsidRDefault="005B427E" w:rsidP="00883F5F">
      <w:pPr>
        <w:pStyle w:val="Nadpis41"/>
        <w:numPr>
          <w:ilvl w:val="1"/>
          <w:numId w:val="15"/>
        </w:numPr>
        <w:jc w:val="both"/>
        <w:rPr>
          <w:rFonts w:ascii="Calibri" w:hAnsi="Calibri"/>
          <w:b w:val="0"/>
          <w:szCs w:val="22"/>
        </w:rPr>
      </w:pPr>
      <w:proofErr w:type="spellStart"/>
      <w:r>
        <w:rPr>
          <w:rFonts w:ascii="Calibri" w:hAnsi="Calibri"/>
          <w:b w:val="0"/>
          <w:szCs w:val="22"/>
        </w:rPr>
        <w:t>xxx</w:t>
      </w:r>
      <w:proofErr w:type="spellEnd"/>
      <w:r w:rsidR="00895AB5" w:rsidRPr="00B4681A">
        <w:rPr>
          <w:rFonts w:ascii="Calibri" w:hAnsi="Calibri"/>
          <w:b w:val="0"/>
          <w:szCs w:val="22"/>
        </w:rPr>
        <w:t xml:space="preserve">, </w:t>
      </w:r>
      <w:proofErr w:type="spellStart"/>
      <w:r w:rsidR="00895AB5" w:rsidRPr="00B4681A">
        <w:rPr>
          <w:rFonts w:ascii="Calibri" w:hAnsi="Calibri"/>
          <w:b w:val="0"/>
          <w:szCs w:val="22"/>
        </w:rPr>
        <w:t>ved</w:t>
      </w:r>
      <w:proofErr w:type="spellEnd"/>
      <w:r w:rsidR="00895AB5" w:rsidRPr="00B4681A">
        <w:rPr>
          <w:rFonts w:ascii="Calibri" w:hAnsi="Calibri"/>
          <w:b w:val="0"/>
          <w:szCs w:val="22"/>
        </w:rPr>
        <w:t xml:space="preserve">. </w:t>
      </w:r>
      <w:proofErr w:type="gramStart"/>
      <w:r w:rsidR="00895AB5" w:rsidRPr="00B4681A">
        <w:rPr>
          <w:rFonts w:ascii="Calibri" w:hAnsi="Calibri"/>
          <w:b w:val="0"/>
          <w:szCs w:val="22"/>
        </w:rPr>
        <w:t>odd</w:t>
      </w:r>
      <w:proofErr w:type="gramEnd"/>
      <w:r w:rsidR="00895AB5" w:rsidRPr="00B4681A">
        <w:rPr>
          <w:rFonts w:ascii="Calibri" w:hAnsi="Calibri"/>
          <w:b w:val="0"/>
          <w:szCs w:val="22"/>
        </w:rPr>
        <w:t>. ICT, tel</w:t>
      </w:r>
      <w:r w:rsidR="00895AB5">
        <w:rPr>
          <w:rFonts w:ascii="Calibri" w:hAnsi="Calibri"/>
          <w:b w:val="0"/>
          <w:szCs w:val="22"/>
        </w:rPr>
        <w:t>.</w:t>
      </w:r>
      <w:r w:rsidR="00895AB5" w:rsidRPr="00B4681A">
        <w:rPr>
          <w:rFonts w:ascii="Calibri" w:hAnsi="Calibri"/>
          <w:b w:val="0"/>
          <w:szCs w:val="22"/>
        </w:rPr>
        <w:t xml:space="preserve">: </w:t>
      </w:r>
      <w:proofErr w:type="spellStart"/>
      <w:r>
        <w:rPr>
          <w:rFonts w:ascii="Calibri" w:hAnsi="Calibri"/>
          <w:b w:val="0"/>
          <w:szCs w:val="22"/>
        </w:rPr>
        <w:t>xxx</w:t>
      </w:r>
      <w:proofErr w:type="spellEnd"/>
      <w:r w:rsidR="00895AB5" w:rsidRPr="00B4681A">
        <w:rPr>
          <w:rFonts w:ascii="Calibri" w:hAnsi="Calibri"/>
          <w:b w:val="0"/>
          <w:szCs w:val="22"/>
        </w:rPr>
        <w:t xml:space="preserve">, e-mail: </w:t>
      </w:r>
      <w:proofErr w:type="spellStart"/>
      <w:r>
        <w:rPr>
          <w:rFonts w:ascii="Calibri" w:hAnsi="Calibri"/>
          <w:b w:val="0"/>
          <w:szCs w:val="22"/>
        </w:rPr>
        <w:t>xxx</w:t>
      </w:r>
      <w:proofErr w:type="spellEnd"/>
    </w:p>
    <w:p w14:paraId="01028DAA" w14:textId="4CAAB452" w:rsidR="00895AB5" w:rsidRPr="00B4681A" w:rsidRDefault="005B427E">
      <w:pPr>
        <w:pStyle w:val="Nadpis41"/>
        <w:numPr>
          <w:ilvl w:val="1"/>
          <w:numId w:val="15"/>
        </w:numPr>
        <w:jc w:val="both"/>
        <w:rPr>
          <w:rFonts w:ascii="Calibri" w:hAnsi="Calibri"/>
          <w:b w:val="0"/>
          <w:szCs w:val="22"/>
        </w:rPr>
      </w:pPr>
      <w:proofErr w:type="spellStart"/>
      <w:r>
        <w:rPr>
          <w:rFonts w:ascii="Calibri" w:hAnsi="Calibri"/>
          <w:b w:val="0"/>
          <w:szCs w:val="22"/>
        </w:rPr>
        <w:t>xxx</w:t>
      </w:r>
      <w:proofErr w:type="spellEnd"/>
      <w:r w:rsidR="00895AB5" w:rsidRPr="00B4681A">
        <w:rPr>
          <w:rFonts w:ascii="Calibri" w:hAnsi="Calibri"/>
          <w:b w:val="0"/>
          <w:szCs w:val="22"/>
        </w:rPr>
        <w:t xml:space="preserve">, správce ICT, tel.: </w:t>
      </w:r>
      <w:proofErr w:type="spellStart"/>
      <w:r>
        <w:rPr>
          <w:rFonts w:ascii="Calibri" w:hAnsi="Calibri"/>
          <w:b w:val="0"/>
          <w:szCs w:val="22"/>
        </w:rPr>
        <w:t>xxx</w:t>
      </w:r>
      <w:proofErr w:type="spellEnd"/>
      <w:r w:rsidR="00895AB5" w:rsidRPr="00B4681A">
        <w:rPr>
          <w:rFonts w:ascii="Calibri" w:hAnsi="Calibri"/>
          <w:b w:val="0"/>
          <w:szCs w:val="22"/>
        </w:rPr>
        <w:t xml:space="preserve">, e-mail: </w:t>
      </w:r>
      <w:proofErr w:type="spellStart"/>
      <w:r>
        <w:rPr>
          <w:rFonts w:ascii="Calibri" w:hAnsi="Calibri"/>
          <w:b w:val="0"/>
          <w:szCs w:val="22"/>
        </w:rPr>
        <w:t>xxx</w:t>
      </w:r>
      <w:proofErr w:type="spellEnd"/>
    </w:p>
    <w:p w14:paraId="78C8F037" w14:textId="77777777" w:rsidR="00883F5F" w:rsidRPr="003E2562" w:rsidRDefault="00883F5F" w:rsidP="003E2562">
      <w:pPr>
        <w:pStyle w:val="Nadpis41"/>
        <w:numPr>
          <w:ilvl w:val="0"/>
          <w:numId w:val="15"/>
        </w:numPr>
        <w:jc w:val="both"/>
        <w:rPr>
          <w:rFonts w:ascii="Calibri" w:hAnsi="Calibri"/>
          <w:b w:val="0"/>
          <w:szCs w:val="22"/>
        </w:rPr>
      </w:pPr>
      <w:r w:rsidRPr="00883F5F">
        <w:rPr>
          <w:rFonts w:ascii="Calibri" w:hAnsi="Calibri"/>
          <w:b w:val="0"/>
          <w:szCs w:val="22"/>
        </w:rPr>
        <w:t xml:space="preserve">Za </w:t>
      </w:r>
      <w:r w:rsidR="003E2562">
        <w:rPr>
          <w:rFonts w:ascii="Calibri" w:hAnsi="Calibri"/>
          <w:b w:val="0"/>
          <w:szCs w:val="22"/>
        </w:rPr>
        <w:t>prodávajícího</w:t>
      </w:r>
      <w:r w:rsidRPr="003E2562">
        <w:rPr>
          <w:rFonts w:ascii="Calibri" w:hAnsi="Calibri"/>
          <w:b w:val="0"/>
          <w:szCs w:val="22"/>
        </w:rPr>
        <w:t>:</w:t>
      </w:r>
    </w:p>
    <w:p w14:paraId="3A9F6BA9" w14:textId="0CDF35C2" w:rsidR="00E46BA8" w:rsidRPr="006E470A" w:rsidRDefault="005B427E" w:rsidP="00E46BA8">
      <w:pPr>
        <w:widowControl w:val="0"/>
        <w:numPr>
          <w:ilvl w:val="1"/>
          <w:numId w:val="15"/>
        </w:numPr>
        <w:rPr>
          <w:rFonts w:ascii="Calibri" w:hAnsi="Calibri"/>
        </w:rPr>
      </w:pPr>
      <w:proofErr w:type="spellStart"/>
      <w:r>
        <w:rPr>
          <w:rFonts w:ascii="Calibri" w:hAnsi="Calibri"/>
        </w:rPr>
        <w:t>xxx</w:t>
      </w:r>
      <w:proofErr w:type="spellEnd"/>
      <w:r w:rsidR="00E46BA8" w:rsidRPr="006E470A">
        <w:rPr>
          <w:rFonts w:ascii="Calibri" w:hAnsi="Calibri"/>
        </w:rPr>
        <w:t xml:space="preserve">, </w:t>
      </w:r>
      <w:r w:rsidR="00923DA1">
        <w:rPr>
          <w:rFonts w:ascii="Calibri" w:hAnsi="Calibri"/>
        </w:rPr>
        <w:tab/>
      </w:r>
      <w:r w:rsidR="00E46BA8" w:rsidRPr="006E470A">
        <w:rPr>
          <w:rFonts w:ascii="Calibri" w:hAnsi="Calibri"/>
        </w:rPr>
        <w:t xml:space="preserve">obchodník, </w:t>
      </w:r>
      <w:r w:rsidR="00923DA1">
        <w:rPr>
          <w:rFonts w:ascii="Calibri" w:hAnsi="Calibri"/>
        </w:rPr>
        <w:tab/>
      </w:r>
      <w:r w:rsidR="00E46BA8" w:rsidRPr="006E470A">
        <w:rPr>
          <w:rFonts w:ascii="Calibri" w:hAnsi="Calibri"/>
        </w:rPr>
        <w:t xml:space="preserve">tel.: </w:t>
      </w:r>
      <w:proofErr w:type="spellStart"/>
      <w:r>
        <w:rPr>
          <w:rFonts w:ascii="Calibri" w:hAnsi="Calibri"/>
        </w:rPr>
        <w:t>xxx</w:t>
      </w:r>
      <w:proofErr w:type="spellEnd"/>
      <w:r w:rsidR="00E46BA8" w:rsidRPr="006E470A">
        <w:rPr>
          <w:rFonts w:ascii="Calibri" w:hAnsi="Calibri"/>
        </w:rPr>
        <w:t xml:space="preserve">, </w:t>
      </w:r>
      <w:r w:rsidR="00923DA1">
        <w:rPr>
          <w:rFonts w:ascii="Calibri" w:hAnsi="Calibri"/>
        </w:rPr>
        <w:tab/>
      </w:r>
      <w:r w:rsidR="00E46BA8" w:rsidRPr="006E470A">
        <w:rPr>
          <w:rFonts w:ascii="Calibri" w:hAnsi="Calibri"/>
        </w:rPr>
        <w:t xml:space="preserve">e-mail: </w:t>
      </w:r>
      <w:proofErr w:type="spellStart"/>
      <w:r>
        <w:rPr>
          <w:rFonts w:ascii="Calibri" w:hAnsi="Calibri"/>
        </w:rPr>
        <w:t>xxx</w:t>
      </w:r>
      <w:proofErr w:type="spellEnd"/>
      <w:r w:rsidR="00B32EDF">
        <w:fldChar w:fldCharType="begin"/>
      </w:r>
      <w:r w:rsidR="00B32EDF">
        <w:instrText xml:space="preserve"> HYPERLINK "mailto:syba@bitservis.cz" </w:instrText>
      </w:r>
      <w:r w:rsidR="00B32EDF">
        <w:fldChar w:fldCharType="separate"/>
      </w:r>
      <w:r w:rsidR="00B32EDF">
        <w:rPr>
          <w:rFonts w:ascii="Calibri" w:hAnsi="Calibri"/>
        </w:rPr>
        <w:fldChar w:fldCharType="end"/>
      </w:r>
    </w:p>
    <w:p w14:paraId="10F20C76" w14:textId="271EA8A3" w:rsidR="00E46BA8" w:rsidRPr="006E470A" w:rsidRDefault="005B427E" w:rsidP="00E46BA8">
      <w:pPr>
        <w:widowControl w:val="0"/>
        <w:numPr>
          <w:ilvl w:val="1"/>
          <w:numId w:val="15"/>
        </w:numPr>
        <w:rPr>
          <w:rFonts w:ascii="Calibri" w:hAnsi="Calibri"/>
        </w:rPr>
      </w:pPr>
      <w:proofErr w:type="spellStart"/>
      <w:r>
        <w:rPr>
          <w:rFonts w:ascii="Calibri" w:hAnsi="Calibri"/>
        </w:rPr>
        <w:t>xxx</w:t>
      </w:r>
      <w:proofErr w:type="spellEnd"/>
      <w:r w:rsidR="00E46BA8" w:rsidRPr="006E470A">
        <w:rPr>
          <w:rFonts w:ascii="Calibri" w:hAnsi="Calibri"/>
        </w:rPr>
        <w:t xml:space="preserve">, </w:t>
      </w:r>
      <w:r w:rsidR="00923DA1">
        <w:rPr>
          <w:rFonts w:ascii="Calibri" w:hAnsi="Calibri"/>
        </w:rPr>
        <w:tab/>
      </w:r>
      <w:r w:rsidR="00E46BA8" w:rsidRPr="006E470A">
        <w:rPr>
          <w:rFonts w:ascii="Calibri" w:hAnsi="Calibri"/>
        </w:rPr>
        <w:t>jednatel,</w:t>
      </w:r>
      <w:r w:rsidR="00923DA1">
        <w:rPr>
          <w:rFonts w:ascii="Calibri" w:hAnsi="Calibri"/>
        </w:rPr>
        <w:tab/>
      </w:r>
      <w:r w:rsidR="00E46BA8" w:rsidRPr="006E470A">
        <w:rPr>
          <w:rFonts w:ascii="Calibri" w:hAnsi="Calibri"/>
        </w:rPr>
        <w:t xml:space="preserve">tel.: </w:t>
      </w:r>
      <w:proofErr w:type="spellStart"/>
      <w:r>
        <w:rPr>
          <w:rFonts w:ascii="Calibri" w:hAnsi="Calibri"/>
        </w:rPr>
        <w:t>xxx</w:t>
      </w:r>
      <w:proofErr w:type="spellEnd"/>
      <w:r w:rsidR="00E46BA8" w:rsidRPr="006E470A">
        <w:rPr>
          <w:rFonts w:ascii="Calibri" w:hAnsi="Calibri"/>
        </w:rPr>
        <w:t>,</w:t>
      </w:r>
      <w:r w:rsidR="00923DA1">
        <w:rPr>
          <w:rFonts w:ascii="Calibri" w:hAnsi="Calibri"/>
        </w:rPr>
        <w:tab/>
      </w:r>
      <w:r w:rsidR="00E46BA8" w:rsidRPr="006E470A">
        <w:rPr>
          <w:rFonts w:ascii="Calibri" w:hAnsi="Calibri"/>
        </w:rPr>
        <w:t xml:space="preserve">e-mail: </w:t>
      </w:r>
      <w:proofErr w:type="spellStart"/>
      <w:r>
        <w:rPr>
          <w:rFonts w:ascii="Calibri" w:hAnsi="Calibri"/>
        </w:rPr>
        <w:t>xxx</w:t>
      </w:r>
      <w:proofErr w:type="spellEnd"/>
      <w:r w:rsidR="00B32EDF">
        <w:fldChar w:fldCharType="begin"/>
      </w:r>
      <w:r w:rsidR="00B32EDF">
        <w:instrText xml:space="preserve"> HYPERLINK "mailto:koutsky@bitservis.cz" </w:instrText>
      </w:r>
      <w:r w:rsidR="00B32EDF">
        <w:fldChar w:fldCharType="separate"/>
      </w:r>
      <w:r w:rsidR="00B32EDF">
        <w:rPr>
          <w:rFonts w:ascii="Calibri" w:hAnsi="Calibri"/>
        </w:rPr>
        <w:fldChar w:fldCharType="end"/>
      </w:r>
    </w:p>
    <w:p w14:paraId="30D4CB15" w14:textId="21FCA73D" w:rsidR="00E46BA8" w:rsidRPr="006E470A" w:rsidRDefault="005B427E" w:rsidP="00E46BA8">
      <w:pPr>
        <w:widowControl w:val="0"/>
        <w:numPr>
          <w:ilvl w:val="1"/>
          <w:numId w:val="15"/>
        </w:numPr>
        <w:rPr>
          <w:rFonts w:ascii="Calibri" w:hAnsi="Calibri"/>
        </w:rPr>
      </w:pPr>
      <w:proofErr w:type="spellStart"/>
      <w:r>
        <w:rPr>
          <w:rFonts w:ascii="Calibri" w:hAnsi="Calibri"/>
        </w:rPr>
        <w:t>xxx</w:t>
      </w:r>
      <w:proofErr w:type="spellEnd"/>
      <w:r w:rsidR="00E46BA8" w:rsidRPr="006E470A">
        <w:rPr>
          <w:rFonts w:ascii="Calibri" w:hAnsi="Calibri"/>
        </w:rPr>
        <w:t xml:space="preserve">, </w:t>
      </w:r>
      <w:r>
        <w:rPr>
          <w:rFonts w:ascii="Calibri" w:hAnsi="Calibri"/>
        </w:rPr>
        <w:tab/>
      </w:r>
      <w:r w:rsidR="00E46BA8" w:rsidRPr="006E470A">
        <w:rPr>
          <w:rFonts w:ascii="Calibri" w:hAnsi="Calibri"/>
        </w:rPr>
        <w:t xml:space="preserve">technik, </w:t>
      </w:r>
      <w:r w:rsidR="00923DA1">
        <w:rPr>
          <w:rFonts w:ascii="Calibri" w:hAnsi="Calibri"/>
        </w:rPr>
        <w:tab/>
      </w:r>
      <w:r w:rsidR="00E46BA8" w:rsidRPr="006E470A">
        <w:rPr>
          <w:rFonts w:ascii="Calibri" w:hAnsi="Calibri"/>
        </w:rPr>
        <w:t xml:space="preserve">tel.: </w:t>
      </w:r>
      <w:proofErr w:type="spellStart"/>
      <w:r>
        <w:rPr>
          <w:rFonts w:ascii="Calibri" w:hAnsi="Calibri"/>
        </w:rPr>
        <w:t>xxx</w:t>
      </w:r>
      <w:proofErr w:type="spellEnd"/>
      <w:r w:rsidR="00E46BA8" w:rsidRPr="006E470A">
        <w:rPr>
          <w:rFonts w:ascii="Calibri" w:hAnsi="Calibri"/>
        </w:rPr>
        <w:t xml:space="preserve">, </w:t>
      </w:r>
      <w:r w:rsidR="00923DA1">
        <w:rPr>
          <w:rFonts w:ascii="Calibri" w:hAnsi="Calibri"/>
        </w:rPr>
        <w:tab/>
      </w:r>
      <w:r w:rsidR="00E46BA8" w:rsidRPr="006E470A">
        <w:rPr>
          <w:rFonts w:ascii="Calibri" w:hAnsi="Calibri"/>
        </w:rPr>
        <w:t xml:space="preserve">e-mail: </w:t>
      </w:r>
      <w:r>
        <w:rPr>
          <w:rFonts w:ascii="Calibri" w:hAnsi="Calibri"/>
        </w:rPr>
        <w:t>xxx</w:t>
      </w:r>
      <w:bookmarkStart w:id="0" w:name="_GoBack"/>
      <w:bookmarkEnd w:id="0"/>
    </w:p>
    <w:p w14:paraId="78C8F039" w14:textId="77777777" w:rsidR="00883F5F" w:rsidRPr="00883F5F" w:rsidRDefault="00883F5F" w:rsidP="00883F5F">
      <w:pPr>
        <w:pStyle w:val="Nadpis41"/>
        <w:numPr>
          <w:ilvl w:val="0"/>
          <w:numId w:val="15"/>
        </w:numPr>
        <w:jc w:val="both"/>
        <w:rPr>
          <w:rFonts w:ascii="Calibri" w:hAnsi="Calibri"/>
          <w:b w:val="0"/>
          <w:szCs w:val="22"/>
        </w:rPr>
      </w:pPr>
      <w:r w:rsidRPr="00883F5F">
        <w:rPr>
          <w:rFonts w:ascii="Calibri" w:hAnsi="Calibri"/>
          <w:b w:val="0"/>
          <w:szCs w:val="22"/>
        </w:rPr>
        <w:t>V případě, že dojde u některé ze smluvních stran ke změně odpovědné osoby, oznámí změnu této odpovědné osoby písemně druhé smluvní straně. Účinnost změny odpovědné osoby vůči druhé smluvní straně nastává okamžikem doručení tohoto oznámení. Oznámení o změně odpovědné osoby se nepovažuje za změnu této smlouvy.</w:t>
      </w:r>
    </w:p>
    <w:p w14:paraId="78C8F03A" w14:textId="77777777" w:rsidR="00047F0E" w:rsidRPr="006663BD" w:rsidRDefault="00047F0E" w:rsidP="00047F0E">
      <w:pPr>
        <w:pStyle w:val="Nadpis41"/>
        <w:jc w:val="both"/>
        <w:rPr>
          <w:rFonts w:ascii="Calibri" w:hAnsi="Calibri"/>
          <w:b w:val="0"/>
          <w:szCs w:val="22"/>
        </w:rPr>
      </w:pPr>
    </w:p>
    <w:p w14:paraId="78C8F03B" w14:textId="77777777" w:rsidR="003E2562" w:rsidRPr="00883F5F" w:rsidRDefault="003E2562" w:rsidP="003E2562">
      <w:pPr>
        <w:pStyle w:val="Nadpis41"/>
        <w:rPr>
          <w:rFonts w:ascii="Calibri" w:hAnsi="Calibri"/>
        </w:rPr>
      </w:pPr>
      <w:r w:rsidRPr="006663BD">
        <w:rPr>
          <w:rFonts w:ascii="Calibri" w:hAnsi="Calibri"/>
          <w:szCs w:val="22"/>
        </w:rPr>
        <w:t>Článek</w:t>
      </w:r>
      <w:r w:rsidRPr="00883F5F">
        <w:rPr>
          <w:rFonts w:ascii="Calibri" w:hAnsi="Calibri"/>
        </w:rPr>
        <w:t xml:space="preserve"> </w:t>
      </w:r>
      <w:r w:rsidR="00BE46D8">
        <w:rPr>
          <w:rFonts w:ascii="Calibri" w:hAnsi="Calibri"/>
        </w:rPr>
        <w:t>X</w:t>
      </w:r>
      <w:r w:rsidRPr="00883F5F">
        <w:rPr>
          <w:rFonts w:ascii="Calibri" w:hAnsi="Calibri"/>
        </w:rPr>
        <w:t>.</w:t>
      </w:r>
    </w:p>
    <w:p w14:paraId="78C8F03C" w14:textId="77777777" w:rsidR="00047F0E" w:rsidRPr="006663BD" w:rsidRDefault="00047F0E" w:rsidP="00047F0E">
      <w:pPr>
        <w:pStyle w:val="Nadpis41"/>
        <w:rPr>
          <w:rFonts w:ascii="Calibri" w:hAnsi="Calibri"/>
          <w:szCs w:val="22"/>
        </w:rPr>
      </w:pPr>
      <w:r w:rsidRPr="006663BD">
        <w:rPr>
          <w:rFonts w:ascii="Calibri" w:hAnsi="Calibri"/>
          <w:szCs w:val="22"/>
        </w:rPr>
        <w:t>Závěrečná ustanovení</w:t>
      </w:r>
    </w:p>
    <w:p w14:paraId="78C8F03D" w14:textId="77777777" w:rsidR="0035299A" w:rsidRPr="00BE46D8" w:rsidRDefault="00047F0E" w:rsidP="00047F0E">
      <w:pPr>
        <w:pStyle w:val="Zkladntext"/>
        <w:numPr>
          <w:ilvl w:val="1"/>
          <w:numId w:val="1"/>
        </w:numPr>
        <w:rPr>
          <w:rFonts w:ascii="Calibri" w:hAnsi="Calibri"/>
          <w:sz w:val="22"/>
          <w:szCs w:val="22"/>
        </w:rPr>
      </w:pPr>
      <w:r w:rsidRPr="00BE46D8">
        <w:rPr>
          <w:rFonts w:ascii="Calibri" w:hAnsi="Calibri"/>
          <w:sz w:val="22"/>
          <w:szCs w:val="22"/>
        </w:rPr>
        <w:t xml:space="preserve">Prodávající se vzdává svého práva namítat nepřiměřenou výši smluvní pokuty u soudu ve smyslu § 2051 zákona č. 89/2012 Sb., občanský zákoník, ve znění pozdějších předpisů. </w:t>
      </w:r>
    </w:p>
    <w:p w14:paraId="78C8F03E" w14:textId="77777777" w:rsidR="00047F0E" w:rsidRPr="00BE46D8" w:rsidRDefault="00047F0E" w:rsidP="00047F0E">
      <w:pPr>
        <w:pStyle w:val="Zkladntext"/>
        <w:numPr>
          <w:ilvl w:val="1"/>
          <w:numId w:val="1"/>
        </w:numPr>
        <w:rPr>
          <w:rFonts w:ascii="Calibri" w:hAnsi="Calibri"/>
          <w:sz w:val="22"/>
          <w:szCs w:val="22"/>
        </w:rPr>
      </w:pPr>
      <w:r w:rsidRPr="00BE46D8">
        <w:rPr>
          <w:rFonts w:ascii="Calibri" w:hAnsi="Calibri"/>
          <w:sz w:val="22"/>
          <w:szCs w:val="22"/>
        </w:rPr>
        <w:t>Tato smlouva byla sepsána ve dvou vyhotoveních. Každá ze smluvních stran obdržela po jednom totožném vyhotovení.</w:t>
      </w:r>
    </w:p>
    <w:p w14:paraId="78C8F03F" w14:textId="77777777" w:rsidR="00C77DB7" w:rsidRPr="00BE46D8" w:rsidRDefault="00C77DB7" w:rsidP="00047F0E">
      <w:pPr>
        <w:pStyle w:val="Zkladntext"/>
        <w:numPr>
          <w:ilvl w:val="1"/>
          <w:numId w:val="1"/>
        </w:numPr>
        <w:rPr>
          <w:rFonts w:ascii="Calibri" w:hAnsi="Calibri"/>
          <w:sz w:val="22"/>
          <w:szCs w:val="22"/>
        </w:rPr>
      </w:pPr>
      <w:r w:rsidRPr="00BE46D8">
        <w:rPr>
          <w:rFonts w:ascii="Calibri" w:hAnsi="Calibri"/>
          <w:sz w:val="22"/>
          <w:szCs w:val="22"/>
        </w:rPr>
        <w:t>Smluvní str</w:t>
      </w:r>
      <w:r w:rsidR="00963526">
        <w:rPr>
          <w:rFonts w:ascii="Calibri" w:hAnsi="Calibri"/>
          <w:sz w:val="22"/>
          <w:szCs w:val="22"/>
          <w:lang w:val="cs-CZ"/>
        </w:rPr>
        <w:t>a</w:t>
      </w:r>
      <w:proofErr w:type="spellStart"/>
      <w:r w:rsidRPr="00BE46D8">
        <w:rPr>
          <w:rFonts w:ascii="Calibri" w:hAnsi="Calibri"/>
          <w:sz w:val="22"/>
          <w:szCs w:val="22"/>
        </w:rPr>
        <w:t>n</w:t>
      </w:r>
      <w:r w:rsidR="00963526">
        <w:rPr>
          <w:rFonts w:ascii="Calibri" w:hAnsi="Calibri"/>
          <w:sz w:val="22"/>
          <w:szCs w:val="22"/>
          <w:lang w:val="cs-CZ"/>
        </w:rPr>
        <w:t>y</w:t>
      </w:r>
      <w:proofErr w:type="spellEnd"/>
      <w:r w:rsidRPr="00BE46D8">
        <w:rPr>
          <w:rFonts w:ascii="Calibri" w:hAnsi="Calibri"/>
          <w:sz w:val="22"/>
          <w:szCs w:val="22"/>
        </w:rPr>
        <w:t xml:space="preserve"> berou na vědomí, že tato</w:t>
      </w:r>
      <w:r w:rsidRPr="00BE46D8">
        <w:rPr>
          <w:rFonts w:ascii="Calibri" w:hAnsi="Calibri" w:cs="Calibri"/>
          <w:color w:val="000000"/>
          <w:sz w:val="22"/>
          <w:szCs w:val="22"/>
        </w:rPr>
        <w:t xml:space="preserve"> smlouva podléhá povinnosti uveřejnění </w:t>
      </w:r>
      <w:r w:rsidRPr="00BE46D8">
        <w:rPr>
          <w:rFonts w:ascii="Calibri" w:hAnsi="Calibri"/>
          <w:bCs/>
          <w:iCs/>
          <w:sz w:val="22"/>
          <w:szCs w:val="22"/>
        </w:rPr>
        <w:t xml:space="preserve">dle zákona č. 340/2015 Sb., o zvláštních podmínkách účinnosti některých smluv, uveřejňování těchto smluv a o registru smluv (zákon o registru smluv); povinnost uveřejnění zajistí kupující. </w:t>
      </w:r>
    </w:p>
    <w:p w14:paraId="78C8F040" w14:textId="77777777" w:rsidR="00C77DB7" w:rsidRPr="00BE46D8" w:rsidRDefault="00047F0E" w:rsidP="00047F0E">
      <w:pPr>
        <w:pStyle w:val="Zkladntext"/>
        <w:numPr>
          <w:ilvl w:val="1"/>
          <w:numId w:val="1"/>
        </w:numPr>
        <w:rPr>
          <w:rFonts w:ascii="Calibri" w:hAnsi="Calibri"/>
          <w:sz w:val="22"/>
          <w:szCs w:val="22"/>
        </w:rPr>
      </w:pPr>
      <w:r w:rsidRPr="00BE46D8">
        <w:rPr>
          <w:rFonts w:ascii="Calibri" w:hAnsi="Calibri"/>
          <w:sz w:val="22"/>
          <w:szCs w:val="22"/>
        </w:rPr>
        <w:t>Tato</w:t>
      </w:r>
      <w:r w:rsidRPr="00BE46D8">
        <w:rPr>
          <w:rFonts w:ascii="Calibri" w:hAnsi="Calibri" w:cs="Calibri"/>
          <w:color w:val="000000"/>
          <w:sz w:val="22"/>
          <w:szCs w:val="22"/>
        </w:rPr>
        <w:t xml:space="preserve"> smlouva nabývá </w:t>
      </w:r>
      <w:r w:rsidR="00C77DB7" w:rsidRPr="00BE46D8">
        <w:rPr>
          <w:rFonts w:ascii="Calibri" w:hAnsi="Calibri" w:cs="Calibri"/>
          <w:color w:val="000000"/>
          <w:sz w:val="22"/>
          <w:szCs w:val="22"/>
        </w:rPr>
        <w:t xml:space="preserve">platnosti </w:t>
      </w:r>
      <w:r w:rsidRPr="00BE46D8">
        <w:rPr>
          <w:rFonts w:ascii="Calibri" w:hAnsi="Calibri" w:cs="Calibri"/>
          <w:color w:val="000000"/>
          <w:sz w:val="22"/>
          <w:szCs w:val="22"/>
        </w:rPr>
        <w:t>dnem podpisu oběma smluvními stranami</w:t>
      </w:r>
      <w:r w:rsidR="00C77DB7" w:rsidRPr="00BE46D8">
        <w:rPr>
          <w:rFonts w:ascii="Calibri" w:hAnsi="Calibri" w:cs="Calibri"/>
          <w:color w:val="000000"/>
          <w:sz w:val="22"/>
          <w:szCs w:val="22"/>
        </w:rPr>
        <w:t xml:space="preserve"> a </w:t>
      </w:r>
      <w:r w:rsidRPr="00BE46D8">
        <w:rPr>
          <w:rFonts w:ascii="Calibri" w:hAnsi="Calibri" w:cs="Calibri"/>
          <w:color w:val="000000"/>
          <w:sz w:val="22"/>
          <w:szCs w:val="22"/>
        </w:rPr>
        <w:t>účinnosti dnem uveřejnění</w:t>
      </w:r>
      <w:r w:rsidR="00C77DB7" w:rsidRPr="00BE46D8">
        <w:rPr>
          <w:rFonts w:ascii="Calibri" w:hAnsi="Calibri" w:cs="Calibri"/>
          <w:color w:val="000000"/>
          <w:sz w:val="22"/>
          <w:szCs w:val="22"/>
        </w:rPr>
        <w:t xml:space="preserve"> v registru smluv</w:t>
      </w:r>
      <w:r w:rsidRPr="00BE46D8">
        <w:rPr>
          <w:rFonts w:ascii="Calibri" w:hAnsi="Calibri" w:cs="Calibri"/>
          <w:color w:val="000000"/>
          <w:sz w:val="22"/>
          <w:szCs w:val="22"/>
        </w:rPr>
        <w:t>.</w:t>
      </w:r>
    </w:p>
    <w:p w14:paraId="78C8F041" w14:textId="77777777" w:rsidR="00047F0E" w:rsidRPr="00BE46D8" w:rsidRDefault="00047F0E" w:rsidP="00047F0E">
      <w:pPr>
        <w:pStyle w:val="Zkladntext"/>
        <w:numPr>
          <w:ilvl w:val="1"/>
          <w:numId w:val="1"/>
        </w:numPr>
        <w:rPr>
          <w:rFonts w:ascii="Calibri" w:hAnsi="Calibri"/>
          <w:sz w:val="22"/>
          <w:szCs w:val="22"/>
        </w:rPr>
      </w:pPr>
      <w:r w:rsidRPr="00BE46D8">
        <w:rPr>
          <w:rFonts w:ascii="Calibri" w:hAnsi="Calibri"/>
          <w:snapToGrid w:val="0"/>
          <w:sz w:val="22"/>
          <w:szCs w:val="22"/>
        </w:rPr>
        <w:lastRenderedPageBreak/>
        <w:t>Smluvní strany berou na vědomí, že tato smlouva může být předmětem zveřejnění i dle jiných právních předpisů.</w:t>
      </w:r>
    </w:p>
    <w:p w14:paraId="78C8F042" w14:textId="77777777" w:rsidR="00047F0E" w:rsidRPr="00BE46D8" w:rsidRDefault="00047F0E" w:rsidP="00047F0E">
      <w:pPr>
        <w:widowControl w:val="0"/>
        <w:numPr>
          <w:ilvl w:val="1"/>
          <w:numId w:val="1"/>
        </w:numPr>
        <w:suppressAutoHyphens/>
        <w:spacing w:after="60"/>
        <w:rPr>
          <w:rFonts w:ascii="Calibri" w:hAnsi="Calibri" w:cs="Calibri"/>
          <w:color w:val="000000"/>
        </w:rPr>
      </w:pPr>
      <w:r w:rsidRPr="00BE46D8">
        <w:rPr>
          <w:rFonts w:ascii="Calibri" w:hAnsi="Calibri" w:cs="Calibri"/>
          <w:color w:val="000000"/>
        </w:rPr>
        <w:t>Smluvní strany se zavazují spolupůsobit jako osoba povinná v souladu se zákonem č. 320/2001 Sb., o finanční kontrole ve veřejné správě a o změně některých zákonů (zákon o finanční kontrole), ve znění pozdějších předpisů.</w:t>
      </w:r>
    </w:p>
    <w:p w14:paraId="78C8F043" w14:textId="77777777" w:rsidR="00DA046E" w:rsidRPr="00BE46D8" w:rsidRDefault="00DA046E" w:rsidP="00DA046E">
      <w:pPr>
        <w:pStyle w:val="Zkladntext"/>
        <w:numPr>
          <w:ilvl w:val="1"/>
          <w:numId w:val="1"/>
        </w:numPr>
        <w:rPr>
          <w:rFonts w:ascii="Calibri" w:hAnsi="Calibri"/>
          <w:sz w:val="22"/>
          <w:szCs w:val="22"/>
        </w:rPr>
      </w:pPr>
      <w:r w:rsidRPr="00BE46D8">
        <w:rPr>
          <w:rFonts w:ascii="Calibri" w:hAnsi="Calibri"/>
          <w:iCs/>
          <w:sz w:val="22"/>
          <w:szCs w:val="22"/>
        </w:rPr>
        <w:t xml:space="preserve">Informace k ochraně osobních údajů jsou ze strany NPÚ uveřejněny na webových stránkách </w:t>
      </w:r>
      <w:hyperlink r:id="rId7" w:history="1">
        <w:r w:rsidRPr="00BE46D8">
          <w:rPr>
            <w:rStyle w:val="Hypertextovodkaz"/>
            <w:rFonts w:ascii="Calibri" w:hAnsi="Calibri"/>
            <w:iCs/>
            <w:sz w:val="22"/>
            <w:szCs w:val="22"/>
          </w:rPr>
          <w:t>www.npu.cz</w:t>
        </w:r>
      </w:hyperlink>
      <w:r w:rsidRPr="00BE46D8">
        <w:rPr>
          <w:rFonts w:ascii="Calibri" w:hAnsi="Calibri"/>
          <w:iCs/>
          <w:sz w:val="22"/>
          <w:szCs w:val="22"/>
        </w:rPr>
        <w:t xml:space="preserve"> v sekci „Ochrana osobních údajů“.</w:t>
      </w:r>
    </w:p>
    <w:p w14:paraId="78C8F044" w14:textId="77777777" w:rsidR="00047F0E" w:rsidRPr="00BE46D8" w:rsidRDefault="00047F0E" w:rsidP="00047F0E">
      <w:pPr>
        <w:pStyle w:val="Zkladntext"/>
        <w:numPr>
          <w:ilvl w:val="1"/>
          <w:numId w:val="1"/>
        </w:numPr>
        <w:rPr>
          <w:rFonts w:ascii="Calibri" w:hAnsi="Calibri"/>
          <w:sz w:val="22"/>
          <w:szCs w:val="22"/>
        </w:rPr>
      </w:pPr>
      <w:r w:rsidRPr="00BE46D8">
        <w:rPr>
          <w:rFonts w:ascii="Calibri" w:hAnsi="Calibri"/>
          <w:sz w:val="22"/>
          <w:szCs w:val="22"/>
        </w:rPr>
        <w:t xml:space="preserve">Smlouvu je možno měnit či doplňovat výhradně písemnými číslovanými dodatky. </w:t>
      </w:r>
    </w:p>
    <w:p w14:paraId="78C8F045" w14:textId="77777777" w:rsidR="00047F0E" w:rsidRPr="00BE46D8" w:rsidRDefault="00047F0E" w:rsidP="00047F0E">
      <w:pPr>
        <w:pStyle w:val="Zkladntext"/>
        <w:numPr>
          <w:ilvl w:val="1"/>
          <w:numId w:val="1"/>
        </w:numPr>
        <w:rPr>
          <w:rFonts w:ascii="Calibri" w:hAnsi="Calibri"/>
          <w:sz w:val="22"/>
          <w:szCs w:val="22"/>
        </w:rPr>
      </w:pPr>
      <w:r w:rsidRPr="00BE46D8">
        <w:rPr>
          <w:rFonts w:ascii="Calibri" w:hAnsi="Calibri"/>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78C8F046" w14:textId="77777777" w:rsidR="00047F0E" w:rsidRPr="006663BD" w:rsidRDefault="00047F0E" w:rsidP="00047F0E">
      <w:pPr>
        <w:pStyle w:val="Zkladntext"/>
        <w:rPr>
          <w:rFonts w:ascii="Calibri" w:hAnsi="Calibri"/>
        </w:rPr>
      </w:pPr>
    </w:p>
    <w:p w14:paraId="78C8F047" w14:textId="77777777" w:rsidR="00047F0E" w:rsidRPr="006663BD" w:rsidRDefault="00047F0E" w:rsidP="00047F0E">
      <w:pPr>
        <w:pStyle w:val="Zkladntext"/>
        <w:rPr>
          <w:rFonts w:ascii="Calibri" w:hAnsi="Calibri"/>
        </w:rPr>
      </w:pPr>
    </w:p>
    <w:tbl>
      <w:tblPr>
        <w:tblW w:w="0" w:type="auto"/>
        <w:jc w:val="center"/>
        <w:tblLook w:val="04A0" w:firstRow="1" w:lastRow="0" w:firstColumn="1" w:lastColumn="0" w:noHBand="0" w:noVBand="1"/>
      </w:tblPr>
      <w:tblGrid>
        <w:gridCol w:w="4536"/>
        <w:gridCol w:w="4536"/>
      </w:tblGrid>
      <w:tr w:rsidR="00047F0E" w:rsidRPr="006663BD" w14:paraId="78C8F054" w14:textId="77777777" w:rsidTr="00C066BE">
        <w:trPr>
          <w:jc w:val="center"/>
        </w:trPr>
        <w:tc>
          <w:tcPr>
            <w:tcW w:w="4606" w:type="dxa"/>
          </w:tcPr>
          <w:p w14:paraId="78C8F048" w14:textId="792F65E7" w:rsidR="00047F0E" w:rsidRPr="006663BD" w:rsidRDefault="00047F0E" w:rsidP="00C066BE">
            <w:pPr>
              <w:jc w:val="center"/>
              <w:rPr>
                <w:rFonts w:ascii="Calibri" w:hAnsi="Calibri"/>
              </w:rPr>
            </w:pPr>
            <w:r w:rsidRPr="006663BD">
              <w:rPr>
                <w:rFonts w:ascii="Calibri" w:hAnsi="Calibri"/>
              </w:rPr>
              <w:t xml:space="preserve">V </w:t>
            </w:r>
            <w:r w:rsidR="00895AB5">
              <w:rPr>
                <w:rFonts w:ascii="Calibri" w:hAnsi="Calibri"/>
              </w:rPr>
              <w:t>Praze</w:t>
            </w:r>
            <w:r w:rsidR="00895AB5" w:rsidRPr="006663BD">
              <w:rPr>
                <w:rFonts w:ascii="Calibri" w:hAnsi="Calibri"/>
              </w:rPr>
              <w:t xml:space="preserve">, </w:t>
            </w:r>
            <w:r w:rsidRPr="006663BD">
              <w:rPr>
                <w:rFonts w:ascii="Calibri" w:hAnsi="Calibri"/>
              </w:rPr>
              <w:t xml:space="preserve">dne </w:t>
            </w:r>
            <w:r w:rsidR="00206D17" w:rsidRPr="006663BD">
              <w:rPr>
                <w:rFonts w:ascii="Calibri" w:hAnsi="Calibri"/>
              </w:rPr>
              <w:fldChar w:fldCharType="begin">
                <w:ffData>
                  <w:name w:val="Text21"/>
                  <w:enabled/>
                  <w:calcOnExit w:val="0"/>
                  <w:textInput/>
                </w:ffData>
              </w:fldChar>
            </w:r>
            <w:r w:rsidRPr="006663BD">
              <w:rPr>
                <w:rFonts w:ascii="Calibri" w:hAnsi="Calibri"/>
              </w:rPr>
              <w:instrText xml:space="preserve"> FORMTEXT </w:instrText>
            </w:r>
            <w:r w:rsidR="00206D17" w:rsidRPr="006663BD">
              <w:rPr>
                <w:rFonts w:ascii="Calibri" w:hAnsi="Calibri"/>
              </w:rPr>
            </w:r>
            <w:r w:rsidR="00206D17" w:rsidRPr="006663BD">
              <w:rPr>
                <w:rFonts w:ascii="Calibri" w:hAnsi="Calibri"/>
              </w:rPr>
              <w:fldChar w:fldCharType="separate"/>
            </w:r>
            <w:r w:rsidRPr="006663BD">
              <w:rPr>
                <w:rFonts w:ascii="Calibri" w:hAnsi="Calibri"/>
                <w:noProof/>
              </w:rPr>
              <w:t> </w:t>
            </w:r>
            <w:r w:rsidRPr="006663BD">
              <w:rPr>
                <w:rFonts w:ascii="Calibri" w:hAnsi="Calibri"/>
                <w:noProof/>
              </w:rPr>
              <w:t> </w:t>
            </w:r>
            <w:r w:rsidRPr="006663BD">
              <w:rPr>
                <w:rFonts w:ascii="Calibri" w:hAnsi="Calibri"/>
                <w:noProof/>
              </w:rPr>
              <w:t> </w:t>
            </w:r>
            <w:r w:rsidRPr="006663BD">
              <w:rPr>
                <w:rFonts w:ascii="Calibri" w:hAnsi="Calibri"/>
                <w:noProof/>
              </w:rPr>
              <w:t> </w:t>
            </w:r>
            <w:r w:rsidRPr="006663BD">
              <w:rPr>
                <w:rFonts w:ascii="Calibri" w:hAnsi="Calibri"/>
                <w:noProof/>
              </w:rPr>
              <w:t> </w:t>
            </w:r>
            <w:r w:rsidR="00206D17" w:rsidRPr="006663BD">
              <w:rPr>
                <w:rFonts w:ascii="Calibri" w:hAnsi="Calibri"/>
              </w:rPr>
              <w:fldChar w:fldCharType="end"/>
            </w:r>
          </w:p>
          <w:p w14:paraId="78C8F049" w14:textId="77777777" w:rsidR="00047F0E" w:rsidRPr="006663BD" w:rsidRDefault="00047F0E" w:rsidP="00C066BE">
            <w:pPr>
              <w:jc w:val="center"/>
              <w:rPr>
                <w:rFonts w:ascii="Calibri" w:hAnsi="Calibri"/>
              </w:rPr>
            </w:pPr>
          </w:p>
          <w:p w14:paraId="78C8F04A" w14:textId="77777777" w:rsidR="00047F0E" w:rsidRPr="006663BD" w:rsidRDefault="00047F0E" w:rsidP="00C066BE">
            <w:pPr>
              <w:jc w:val="center"/>
              <w:rPr>
                <w:rFonts w:ascii="Calibri" w:hAnsi="Calibri"/>
              </w:rPr>
            </w:pPr>
          </w:p>
          <w:p w14:paraId="78C8F04B" w14:textId="77777777" w:rsidR="00047F0E" w:rsidRPr="006663BD" w:rsidRDefault="00047F0E" w:rsidP="00C066BE">
            <w:pPr>
              <w:jc w:val="center"/>
              <w:rPr>
                <w:rFonts w:ascii="Calibri" w:hAnsi="Calibri"/>
              </w:rPr>
            </w:pPr>
            <w:r w:rsidRPr="006663BD">
              <w:rPr>
                <w:rFonts w:ascii="Calibri" w:hAnsi="Calibri"/>
              </w:rPr>
              <w:t>…………………………………………..</w:t>
            </w:r>
          </w:p>
          <w:p w14:paraId="4A76096C" w14:textId="77777777" w:rsidR="00895AB5" w:rsidRPr="00895AB5" w:rsidRDefault="00895AB5" w:rsidP="00895AB5">
            <w:pPr>
              <w:jc w:val="center"/>
              <w:rPr>
                <w:rFonts w:ascii="Calibri" w:hAnsi="Calibri"/>
              </w:rPr>
            </w:pPr>
            <w:r w:rsidRPr="00895AB5">
              <w:rPr>
                <w:rFonts w:ascii="Calibri" w:hAnsi="Calibri"/>
              </w:rPr>
              <w:t>v z. Mgr. et Mgr. Petr Spejchal</w:t>
            </w:r>
          </w:p>
          <w:p w14:paraId="2D5441B6" w14:textId="77777777" w:rsidR="00895AB5" w:rsidRPr="00895AB5" w:rsidRDefault="00895AB5" w:rsidP="00895AB5">
            <w:pPr>
              <w:jc w:val="center"/>
              <w:rPr>
                <w:rFonts w:ascii="Calibri" w:hAnsi="Calibri"/>
              </w:rPr>
            </w:pPr>
            <w:r w:rsidRPr="00895AB5">
              <w:rPr>
                <w:rFonts w:ascii="Calibri" w:hAnsi="Calibri"/>
              </w:rPr>
              <w:t>první náměstek generální ředitelky</w:t>
            </w:r>
          </w:p>
          <w:p w14:paraId="1469B5EA" w14:textId="77777777" w:rsidR="00895AB5" w:rsidRPr="00895AB5" w:rsidRDefault="00895AB5" w:rsidP="00895AB5">
            <w:pPr>
              <w:jc w:val="center"/>
              <w:rPr>
                <w:rFonts w:ascii="Calibri" w:hAnsi="Calibri"/>
              </w:rPr>
            </w:pPr>
          </w:p>
          <w:p w14:paraId="3674A0D5" w14:textId="77777777" w:rsidR="00895AB5" w:rsidRPr="00895AB5" w:rsidRDefault="00895AB5" w:rsidP="00895AB5">
            <w:pPr>
              <w:jc w:val="center"/>
              <w:rPr>
                <w:rFonts w:ascii="Calibri" w:hAnsi="Calibri"/>
              </w:rPr>
            </w:pPr>
            <w:r w:rsidRPr="00895AB5">
              <w:rPr>
                <w:rFonts w:ascii="Calibri" w:hAnsi="Calibri"/>
              </w:rPr>
              <w:t>Ing. arch. Naděžda Goryczková</w:t>
            </w:r>
          </w:p>
          <w:p w14:paraId="78C8F04D" w14:textId="68AF9C09" w:rsidR="00047F0E" w:rsidRPr="006663BD" w:rsidRDefault="00895AB5" w:rsidP="00C066BE">
            <w:pPr>
              <w:jc w:val="center"/>
              <w:rPr>
                <w:rFonts w:ascii="Calibri" w:hAnsi="Calibri"/>
              </w:rPr>
            </w:pPr>
            <w:r w:rsidRPr="00895AB5">
              <w:rPr>
                <w:rFonts w:ascii="Calibri" w:hAnsi="Calibri"/>
              </w:rPr>
              <w:t>generální ředitelka</w:t>
            </w:r>
          </w:p>
        </w:tc>
        <w:tc>
          <w:tcPr>
            <w:tcW w:w="4606" w:type="dxa"/>
          </w:tcPr>
          <w:p w14:paraId="78C8F04E" w14:textId="5615A2FB" w:rsidR="00047F0E" w:rsidRPr="006663BD" w:rsidRDefault="00047F0E" w:rsidP="00C066BE">
            <w:pPr>
              <w:jc w:val="center"/>
              <w:rPr>
                <w:rFonts w:ascii="Calibri" w:hAnsi="Calibri"/>
              </w:rPr>
            </w:pPr>
            <w:r w:rsidRPr="006663BD">
              <w:rPr>
                <w:rFonts w:ascii="Calibri" w:hAnsi="Calibri"/>
              </w:rPr>
              <w:t xml:space="preserve">V </w:t>
            </w:r>
            <w:r w:rsidR="00C5544E">
              <w:rPr>
                <w:rFonts w:ascii="Calibri" w:hAnsi="Calibri"/>
              </w:rPr>
              <w:t>Praze</w:t>
            </w:r>
            <w:r w:rsidR="00B4681A">
              <w:rPr>
                <w:rFonts w:ascii="Calibri" w:hAnsi="Calibri"/>
              </w:rPr>
              <w:t xml:space="preserve">, dne   </w:t>
            </w:r>
          </w:p>
          <w:p w14:paraId="78C8F04F" w14:textId="77777777" w:rsidR="00047F0E" w:rsidRPr="006663BD" w:rsidRDefault="00047F0E" w:rsidP="00C066BE">
            <w:pPr>
              <w:jc w:val="center"/>
              <w:rPr>
                <w:rFonts w:ascii="Calibri" w:hAnsi="Calibri"/>
              </w:rPr>
            </w:pPr>
          </w:p>
          <w:p w14:paraId="78C8F050" w14:textId="77777777" w:rsidR="00047F0E" w:rsidRPr="006663BD" w:rsidRDefault="00047F0E" w:rsidP="00C066BE">
            <w:pPr>
              <w:jc w:val="center"/>
              <w:rPr>
                <w:rFonts w:ascii="Calibri" w:hAnsi="Calibri"/>
              </w:rPr>
            </w:pPr>
          </w:p>
          <w:p w14:paraId="78C8F051" w14:textId="77777777" w:rsidR="00047F0E" w:rsidRPr="006663BD" w:rsidRDefault="00047F0E" w:rsidP="00C066BE">
            <w:pPr>
              <w:jc w:val="center"/>
              <w:rPr>
                <w:rFonts w:ascii="Calibri" w:hAnsi="Calibri"/>
              </w:rPr>
            </w:pPr>
            <w:r w:rsidRPr="006663BD">
              <w:rPr>
                <w:rFonts w:ascii="Calibri" w:hAnsi="Calibri"/>
              </w:rPr>
              <w:t>…………………………………………..</w:t>
            </w:r>
          </w:p>
          <w:p w14:paraId="78C8F052" w14:textId="4852B153" w:rsidR="00047F0E" w:rsidRPr="006663BD" w:rsidRDefault="00C5544E" w:rsidP="00C066BE">
            <w:pPr>
              <w:jc w:val="center"/>
              <w:rPr>
                <w:rFonts w:ascii="Calibri" w:hAnsi="Calibri"/>
              </w:rPr>
            </w:pPr>
            <w:r>
              <w:rPr>
                <w:rFonts w:ascii="Calibri" w:hAnsi="Calibri"/>
              </w:rPr>
              <w:t>Ondřej Koutský</w:t>
            </w:r>
          </w:p>
          <w:p w14:paraId="78C8F053" w14:textId="3AA422F9" w:rsidR="00047F0E" w:rsidRPr="006663BD" w:rsidRDefault="00DF1276" w:rsidP="00C066BE">
            <w:pPr>
              <w:jc w:val="center"/>
              <w:rPr>
                <w:rFonts w:ascii="Calibri" w:hAnsi="Calibri"/>
              </w:rPr>
            </w:pPr>
            <w:r>
              <w:rPr>
                <w:rFonts w:ascii="Calibri" w:hAnsi="Calibri"/>
              </w:rPr>
              <w:t>jednatel</w:t>
            </w:r>
          </w:p>
        </w:tc>
      </w:tr>
    </w:tbl>
    <w:p w14:paraId="78C8F055" w14:textId="77777777" w:rsidR="00047F0E" w:rsidRPr="006663BD" w:rsidRDefault="00047F0E" w:rsidP="00047F0E">
      <w:pPr>
        <w:rPr>
          <w:rFonts w:ascii="Calibri" w:hAnsi="Calibri"/>
        </w:rPr>
      </w:pPr>
    </w:p>
    <w:p w14:paraId="78C8F056" w14:textId="77777777" w:rsidR="00047F0E" w:rsidRPr="006663BD" w:rsidRDefault="00047F0E" w:rsidP="00047F0E">
      <w:pPr>
        <w:rPr>
          <w:rFonts w:ascii="Calibri" w:hAnsi="Calibri"/>
        </w:rPr>
      </w:pPr>
    </w:p>
    <w:p w14:paraId="78C8F057" w14:textId="77777777" w:rsidR="00047F0E" w:rsidRPr="006663BD" w:rsidRDefault="00047F0E" w:rsidP="00047F0E">
      <w:pPr>
        <w:rPr>
          <w:rFonts w:ascii="Calibri" w:hAnsi="Calibri"/>
        </w:rPr>
      </w:pPr>
    </w:p>
    <w:p w14:paraId="56B3E8AB" w14:textId="77777777" w:rsidR="005F1D75" w:rsidRDefault="005F1D75">
      <w:pPr>
        <w:sectPr w:rsidR="005F1D75" w:rsidSect="00206D17">
          <w:headerReference w:type="default" r:id="rId8"/>
          <w:footerReference w:type="default" r:id="rId9"/>
          <w:pgSz w:w="11906" w:h="16838"/>
          <w:pgMar w:top="1417" w:right="1417" w:bottom="719" w:left="1417" w:header="708" w:footer="708" w:gutter="0"/>
          <w:cols w:space="708"/>
        </w:sectPr>
      </w:pPr>
    </w:p>
    <w:p w14:paraId="4EF1DA9C" w14:textId="2F5C817E" w:rsidR="005F1D75" w:rsidRPr="00B4681A" w:rsidRDefault="005F1D75" w:rsidP="005F1D75">
      <w:pPr>
        <w:rPr>
          <w:rFonts w:ascii="Calibri" w:hAnsi="Calibri"/>
          <w:b/>
          <w:spacing w:val="12"/>
        </w:rPr>
      </w:pPr>
      <w:r w:rsidRPr="00B4681A">
        <w:rPr>
          <w:rFonts w:ascii="Calibri" w:hAnsi="Calibri"/>
          <w:b/>
          <w:spacing w:val="12"/>
        </w:rPr>
        <w:lastRenderedPageBreak/>
        <w:t>Příloha č. 1. Specifikace předmětu smlouvy</w:t>
      </w:r>
    </w:p>
    <w:p w14:paraId="78C8F058" w14:textId="3CC46DC5" w:rsidR="00C066BE" w:rsidRDefault="00C066BE"/>
    <w:p w14:paraId="0AE08B0E" w14:textId="0519B156" w:rsidR="005F1D75" w:rsidRDefault="005F1D75">
      <w:r w:rsidRPr="00091B62">
        <w:rPr>
          <w:rFonts w:ascii="Calibri" w:hAnsi="Calibri" w:cs="Times New Roman"/>
          <w:b/>
        </w:rPr>
        <w:t xml:space="preserve">Dodávka a implementace </w:t>
      </w:r>
      <w:r>
        <w:rPr>
          <w:rFonts w:ascii="Calibri" w:hAnsi="Calibri" w:cs="Times New Roman"/>
          <w:b/>
        </w:rPr>
        <w:t>firewallů:</w:t>
      </w:r>
    </w:p>
    <w:p w14:paraId="6343481D" w14:textId="77777777" w:rsidR="005F1D75" w:rsidRDefault="005F1D75"/>
    <w:tbl>
      <w:tblPr>
        <w:tblW w:w="15260" w:type="dxa"/>
        <w:tblCellMar>
          <w:left w:w="70" w:type="dxa"/>
          <w:right w:w="70" w:type="dxa"/>
        </w:tblCellMar>
        <w:tblLook w:val="04A0" w:firstRow="1" w:lastRow="0" w:firstColumn="1" w:lastColumn="0" w:noHBand="0" w:noVBand="1"/>
      </w:tblPr>
      <w:tblGrid>
        <w:gridCol w:w="2575"/>
        <w:gridCol w:w="8129"/>
        <w:gridCol w:w="211"/>
        <w:gridCol w:w="335"/>
        <w:gridCol w:w="1900"/>
        <w:gridCol w:w="2268"/>
      </w:tblGrid>
      <w:tr w:rsidR="005F1D75" w:rsidRPr="005F1D75" w14:paraId="512E59E2" w14:textId="77777777" w:rsidTr="005F1D75">
        <w:trPr>
          <w:trHeight w:val="210"/>
        </w:trPr>
        <w:tc>
          <w:tcPr>
            <w:tcW w:w="15260" w:type="dxa"/>
            <w:gridSpan w:val="6"/>
            <w:tcBorders>
              <w:top w:val="single" w:sz="8" w:space="0" w:color="auto"/>
              <w:left w:val="single" w:sz="8" w:space="0" w:color="auto"/>
              <w:bottom w:val="nil"/>
              <w:right w:val="single" w:sz="8" w:space="0" w:color="000000"/>
            </w:tcBorders>
            <w:shd w:val="clear" w:color="auto" w:fill="auto"/>
            <w:noWrap/>
            <w:hideMark/>
          </w:tcPr>
          <w:p w14:paraId="1201267E" w14:textId="77777777" w:rsidR="005F1D75" w:rsidRPr="005F1D75" w:rsidRDefault="005F1D75" w:rsidP="005F1D75">
            <w:pPr>
              <w:jc w:val="center"/>
              <w:rPr>
                <w:rFonts w:ascii="Verdana" w:hAnsi="Verdana" w:cs="Arial CE"/>
                <w:b/>
                <w:bCs/>
                <w:sz w:val="16"/>
                <w:szCs w:val="16"/>
              </w:rPr>
            </w:pPr>
            <w:r w:rsidRPr="005F1D75">
              <w:rPr>
                <w:rFonts w:ascii="Verdana" w:hAnsi="Verdana" w:cs="Arial CE"/>
                <w:b/>
                <w:bCs/>
                <w:sz w:val="16"/>
                <w:szCs w:val="16"/>
              </w:rPr>
              <w:t> </w:t>
            </w:r>
          </w:p>
        </w:tc>
      </w:tr>
      <w:tr w:rsidR="005F1D75" w:rsidRPr="005F1D75" w14:paraId="0CB7A245" w14:textId="77777777" w:rsidTr="005F1D75">
        <w:trPr>
          <w:trHeight w:val="210"/>
        </w:trPr>
        <w:tc>
          <w:tcPr>
            <w:tcW w:w="2575" w:type="dxa"/>
            <w:tcBorders>
              <w:top w:val="nil"/>
              <w:left w:val="single" w:sz="8" w:space="0" w:color="auto"/>
              <w:bottom w:val="nil"/>
              <w:right w:val="nil"/>
            </w:tcBorders>
            <w:shd w:val="clear" w:color="000000" w:fill="808080"/>
            <w:noWrap/>
            <w:vAlign w:val="bottom"/>
            <w:hideMark/>
          </w:tcPr>
          <w:p w14:paraId="7A3B1016" w14:textId="77777777" w:rsidR="005F1D75" w:rsidRPr="005F1D75" w:rsidRDefault="005F1D75" w:rsidP="005F1D75">
            <w:pPr>
              <w:jc w:val="center"/>
              <w:rPr>
                <w:rFonts w:ascii="Verdana" w:hAnsi="Verdana" w:cs="Arial CE"/>
                <w:color w:val="FFFFFF"/>
                <w:sz w:val="16"/>
                <w:szCs w:val="16"/>
              </w:rPr>
            </w:pPr>
            <w:r w:rsidRPr="005F1D75">
              <w:rPr>
                <w:rFonts w:ascii="Verdana" w:hAnsi="Verdana" w:cs="Arial CE"/>
                <w:color w:val="FFFFFF"/>
                <w:sz w:val="16"/>
                <w:szCs w:val="16"/>
              </w:rPr>
              <w:t>Kód</w:t>
            </w:r>
          </w:p>
        </w:tc>
        <w:tc>
          <w:tcPr>
            <w:tcW w:w="8129" w:type="dxa"/>
            <w:tcBorders>
              <w:top w:val="nil"/>
              <w:left w:val="nil"/>
              <w:bottom w:val="nil"/>
              <w:right w:val="nil"/>
            </w:tcBorders>
            <w:shd w:val="clear" w:color="000000" w:fill="808080"/>
            <w:noWrap/>
            <w:vAlign w:val="bottom"/>
            <w:hideMark/>
          </w:tcPr>
          <w:p w14:paraId="46E505CA" w14:textId="77777777" w:rsidR="005F1D75" w:rsidRPr="005F1D75" w:rsidRDefault="005F1D75" w:rsidP="005F1D75">
            <w:pPr>
              <w:jc w:val="center"/>
              <w:rPr>
                <w:rFonts w:ascii="Verdana" w:hAnsi="Verdana" w:cs="Arial CE"/>
                <w:color w:val="FFFFFF"/>
                <w:sz w:val="16"/>
                <w:szCs w:val="16"/>
              </w:rPr>
            </w:pPr>
            <w:r w:rsidRPr="005F1D75">
              <w:rPr>
                <w:rFonts w:ascii="Verdana" w:hAnsi="Verdana" w:cs="Arial CE"/>
                <w:color w:val="FFFFFF"/>
                <w:sz w:val="16"/>
                <w:szCs w:val="16"/>
              </w:rPr>
              <w:t>Popis produktu</w:t>
            </w:r>
          </w:p>
        </w:tc>
        <w:tc>
          <w:tcPr>
            <w:tcW w:w="120" w:type="dxa"/>
            <w:tcBorders>
              <w:top w:val="nil"/>
              <w:left w:val="nil"/>
              <w:bottom w:val="nil"/>
              <w:right w:val="nil"/>
            </w:tcBorders>
            <w:shd w:val="clear" w:color="000000" w:fill="808080"/>
            <w:noWrap/>
            <w:vAlign w:val="bottom"/>
            <w:hideMark/>
          </w:tcPr>
          <w:p w14:paraId="5B1C0281" w14:textId="77777777" w:rsidR="005F1D75" w:rsidRPr="005F1D75" w:rsidRDefault="005F1D75" w:rsidP="005F1D75">
            <w:pPr>
              <w:jc w:val="center"/>
              <w:rPr>
                <w:rFonts w:ascii="Verdana" w:hAnsi="Verdana" w:cs="Arial CE"/>
                <w:color w:val="FFFFFF"/>
                <w:sz w:val="16"/>
                <w:szCs w:val="16"/>
              </w:rPr>
            </w:pPr>
            <w:r w:rsidRPr="005F1D75">
              <w:rPr>
                <w:rFonts w:ascii="Verdana" w:hAnsi="Verdana" w:cs="Arial CE"/>
                <w:color w:val="FFFFFF"/>
                <w:sz w:val="16"/>
                <w:szCs w:val="16"/>
              </w:rPr>
              <w:t> </w:t>
            </w:r>
          </w:p>
        </w:tc>
        <w:tc>
          <w:tcPr>
            <w:tcW w:w="268" w:type="dxa"/>
            <w:tcBorders>
              <w:top w:val="nil"/>
              <w:left w:val="nil"/>
              <w:bottom w:val="nil"/>
              <w:right w:val="nil"/>
            </w:tcBorders>
            <w:shd w:val="clear" w:color="000000" w:fill="808080"/>
            <w:noWrap/>
            <w:vAlign w:val="bottom"/>
            <w:hideMark/>
          </w:tcPr>
          <w:p w14:paraId="5C98ECD2" w14:textId="77777777" w:rsidR="005F1D75" w:rsidRPr="005F1D75" w:rsidRDefault="005F1D75" w:rsidP="005F1D75">
            <w:pPr>
              <w:jc w:val="center"/>
              <w:rPr>
                <w:rFonts w:ascii="Verdana" w:hAnsi="Verdana" w:cs="Arial CE"/>
                <w:color w:val="FFFFFF"/>
                <w:sz w:val="16"/>
                <w:szCs w:val="16"/>
              </w:rPr>
            </w:pPr>
            <w:r w:rsidRPr="005F1D75">
              <w:rPr>
                <w:rFonts w:ascii="Verdana" w:hAnsi="Verdana" w:cs="Arial CE"/>
                <w:color w:val="FFFFFF"/>
                <w:sz w:val="16"/>
                <w:szCs w:val="16"/>
              </w:rPr>
              <w:t>Ks</w:t>
            </w:r>
          </w:p>
        </w:tc>
        <w:tc>
          <w:tcPr>
            <w:tcW w:w="1900" w:type="dxa"/>
            <w:tcBorders>
              <w:top w:val="nil"/>
              <w:left w:val="nil"/>
              <w:bottom w:val="nil"/>
              <w:right w:val="nil"/>
            </w:tcBorders>
            <w:shd w:val="clear" w:color="000000" w:fill="808080"/>
            <w:noWrap/>
            <w:vAlign w:val="bottom"/>
            <w:hideMark/>
          </w:tcPr>
          <w:p w14:paraId="71C22BF2" w14:textId="77777777" w:rsidR="005F1D75" w:rsidRPr="005F1D75" w:rsidRDefault="005F1D75" w:rsidP="005F1D75">
            <w:pPr>
              <w:jc w:val="right"/>
              <w:rPr>
                <w:rFonts w:ascii="Verdana" w:hAnsi="Verdana" w:cs="Arial CE"/>
                <w:color w:val="FFFFFF"/>
                <w:sz w:val="16"/>
                <w:szCs w:val="16"/>
              </w:rPr>
            </w:pPr>
            <w:r w:rsidRPr="005F1D75">
              <w:rPr>
                <w:rFonts w:ascii="Verdana" w:hAnsi="Verdana" w:cs="Arial CE"/>
                <w:color w:val="FFFFFF"/>
                <w:sz w:val="16"/>
                <w:szCs w:val="16"/>
              </w:rPr>
              <w:t> </w:t>
            </w:r>
          </w:p>
        </w:tc>
        <w:tc>
          <w:tcPr>
            <w:tcW w:w="2268" w:type="dxa"/>
            <w:tcBorders>
              <w:top w:val="nil"/>
              <w:left w:val="nil"/>
              <w:bottom w:val="nil"/>
              <w:right w:val="single" w:sz="8" w:space="0" w:color="auto"/>
            </w:tcBorders>
            <w:shd w:val="clear" w:color="000000" w:fill="808080"/>
            <w:noWrap/>
            <w:vAlign w:val="bottom"/>
            <w:hideMark/>
          </w:tcPr>
          <w:p w14:paraId="411CE630" w14:textId="77777777" w:rsidR="005F1D75" w:rsidRPr="005F1D75" w:rsidRDefault="005F1D75" w:rsidP="005F1D75">
            <w:pPr>
              <w:jc w:val="center"/>
              <w:rPr>
                <w:rFonts w:ascii="Verdana" w:hAnsi="Verdana" w:cs="Arial CE"/>
                <w:color w:val="FFFFFF"/>
                <w:sz w:val="16"/>
                <w:szCs w:val="16"/>
              </w:rPr>
            </w:pPr>
            <w:r w:rsidRPr="005F1D75">
              <w:rPr>
                <w:rFonts w:ascii="Verdana" w:hAnsi="Verdana" w:cs="Arial CE"/>
                <w:color w:val="FFFFFF"/>
                <w:sz w:val="16"/>
                <w:szCs w:val="16"/>
              </w:rPr>
              <w:t> </w:t>
            </w:r>
          </w:p>
        </w:tc>
      </w:tr>
      <w:tr w:rsidR="005F1D75" w:rsidRPr="005F1D75" w14:paraId="70ABD6CF" w14:textId="77777777" w:rsidTr="005F1D75">
        <w:trPr>
          <w:trHeight w:val="398"/>
        </w:trPr>
        <w:tc>
          <w:tcPr>
            <w:tcW w:w="11092" w:type="dxa"/>
            <w:gridSpan w:val="4"/>
            <w:tcBorders>
              <w:top w:val="nil"/>
              <w:left w:val="single" w:sz="8" w:space="0" w:color="auto"/>
              <w:bottom w:val="nil"/>
              <w:right w:val="nil"/>
            </w:tcBorders>
            <w:shd w:val="clear" w:color="000000" w:fill="D9D9D9"/>
            <w:vAlign w:val="center"/>
            <w:hideMark/>
          </w:tcPr>
          <w:p w14:paraId="7BD8FAF1" w14:textId="77777777" w:rsidR="005F1D75" w:rsidRPr="005F1D75" w:rsidRDefault="005F1D75" w:rsidP="005F1D75">
            <w:pPr>
              <w:jc w:val="center"/>
              <w:rPr>
                <w:rFonts w:ascii="Verdana" w:hAnsi="Verdana" w:cs="Arial CE"/>
                <w:b/>
                <w:bCs/>
              </w:rPr>
            </w:pPr>
            <w:r w:rsidRPr="005F1D75">
              <w:rPr>
                <w:rFonts w:ascii="Verdana" w:hAnsi="Verdana" w:cs="Arial CE"/>
                <w:b/>
                <w:bCs/>
              </w:rPr>
              <w:t>ŘEŠENÍ PRO DATOVÉ CENTRUM</w:t>
            </w:r>
          </w:p>
        </w:tc>
        <w:tc>
          <w:tcPr>
            <w:tcW w:w="1900" w:type="dxa"/>
            <w:tcBorders>
              <w:top w:val="nil"/>
              <w:left w:val="nil"/>
              <w:bottom w:val="nil"/>
              <w:right w:val="nil"/>
            </w:tcBorders>
            <w:shd w:val="clear" w:color="000000" w:fill="D9D9D9"/>
            <w:vAlign w:val="center"/>
            <w:hideMark/>
          </w:tcPr>
          <w:p w14:paraId="4E1FF380" w14:textId="77777777" w:rsidR="005F1D75" w:rsidRPr="005F1D75" w:rsidRDefault="005F1D75" w:rsidP="005F1D75">
            <w:pPr>
              <w:jc w:val="left"/>
              <w:rPr>
                <w:rFonts w:ascii="Verdana" w:hAnsi="Verdana" w:cs="Arial CE"/>
                <w:b/>
                <w:bCs/>
                <w:sz w:val="20"/>
                <w:szCs w:val="20"/>
              </w:rPr>
            </w:pPr>
            <w:r w:rsidRPr="005F1D75">
              <w:rPr>
                <w:rFonts w:ascii="Verdana" w:hAnsi="Verdana" w:cs="Arial CE"/>
                <w:b/>
                <w:bCs/>
                <w:sz w:val="20"/>
                <w:szCs w:val="20"/>
              </w:rPr>
              <w:t xml:space="preserve">    454 521 Kč </w:t>
            </w:r>
          </w:p>
        </w:tc>
        <w:tc>
          <w:tcPr>
            <w:tcW w:w="2268" w:type="dxa"/>
            <w:tcBorders>
              <w:top w:val="nil"/>
              <w:left w:val="nil"/>
              <w:bottom w:val="nil"/>
              <w:right w:val="single" w:sz="8" w:space="0" w:color="auto"/>
            </w:tcBorders>
            <w:shd w:val="clear" w:color="000000" w:fill="D9D9D9"/>
            <w:vAlign w:val="center"/>
            <w:hideMark/>
          </w:tcPr>
          <w:p w14:paraId="3ACD4A65" w14:textId="77777777" w:rsidR="005F1D75" w:rsidRPr="005F1D75" w:rsidRDefault="005F1D75" w:rsidP="005F1D75">
            <w:pPr>
              <w:jc w:val="left"/>
              <w:rPr>
                <w:rFonts w:ascii="Verdana" w:hAnsi="Verdana" w:cs="Arial CE"/>
                <w:b/>
                <w:bCs/>
                <w:sz w:val="20"/>
                <w:szCs w:val="20"/>
              </w:rPr>
            </w:pPr>
            <w:r w:rsidRPr="005F1D75">
              <w:rPr>
                <w:rFonts w:ascii="Verdana" w:hAnsi="Verdana" w:cs="Arial CE"/>
                <w:b/>
                <w:bCs/>
                <w:sz w:val="20"/>
                <w:szCs w:val="20"/>
              </w:rPr>
              <w:t>mezisoučet bez DPH</w:t>
            </w:r>
          </w:p>
        </w:tc>
      </w:tr>
      <w:tr w:rsidR="005F1D75" w:rsidRPr="005F1D75" w14:paraId="2AE25FA9" w14:textId="77777777" w:rsidTr="005F1D75">
        <w:trPr>
          <w:trHeight w:val="398"/>
        </w:trPr>
        <w:tc>
          <w:tcPr>
            <w:tcW w:w="2575" w:type="dxa"/>
            <w:tcBorders>
              <w:top w:val="nil"/>
              <w:left w:val="single" w:sz="8" w:space="0" w:color="auto"/>
              <w:bottom w:val="nil"/>
              <w:right w:val="nil"/>
            </w:tcBorders>
            <w:shd w:val="clear" w:color="auto" w:fill="auto"/>
            <w:noWrap/>
            <w:hideMark/>
          </w:tcPr>
          <w:p w14:paraId="0B5CC667" w14:textId="77777777" w:rsidR="005F1D75" w:rsidRPr="005F1D75" w:rsidRDefault="005F1D75" w:rsidP="005F1D75">
            <w:pPr>
              <w:jc w:val="left"/>
              <w:rPr>
                <w:rFonts w:ascii="Verdana" w:hAnsi="Verdana" w:cs="Arial CE"/>
                <w:sz w:val="16"/>
                <w:szCs w:val="16"/>
              </w:rPr>
            </w:pPr>
            <w:r w:rsidRPr="005F1D75">
              <w:rPr>
                <w:rFonts w:ascii="Verdana" w:hAnsi="Verdana" w:cs="Arial CE"/>
                <w:sz w:val="16"/>
                <w:szCs w:val="16"/>
              </w:rPr>
              <w:t>FG-500E</w:t>
            </w:r>
          </w:p>
        </w:tc>
        <w:tc>
          <w:tcPr>
            <w:tcW w:w="8129" w:type="dxa"/>
            <w:tcBorders>
              <w:top w:val="nil"/>
              <w:left w:val="nil"/>
              <w:bottom w:val="nil"/>
              <w:right w:val="nil"/>
            </w:tcBorders>
            <w:shd w:val="clear" w:color="auto" w:fill="auto"/>
            <w:hideMark/>
          </w:tcPr>
          <w:p w14:paraId="013412FF" w14:textId="77777777" w:rsidR="005F1D75" w:rsidRPr="005F1D75" w:rsidRDefault="005F1D75" w:rsidP="005F1D75">
            <w:pPr>
              <w:jc w:val="left"/>
              <w:rPr>
                <w:rFonts w:ascii="Verdana" w:hAnsi="Verdana" w:cs="Arial CE"/>
                <w:sz w:val="16"/>
                <w:szCs w:val="16"/>
              </w:rPr>
            </w:pPr>
            <w:proofErr w:type="spellStart"/>
            <w:r w:rsidRPr="005F1D75">
              <w:rPr>
                <w:rFonts w:ascii="Verdana" w:hAnsi="Verdana" w:cs="Arial CE"/>
                <w:sz w:val="16"/>
                <w:szCs w:val="16"/>
              </w:rPr>
              <w:t>FortiGate</w:t>
            </w:r>
            <w:proofErr w:type="spellEnd"/>
            <w:r w:rsidRPr="005F1D75">
              <w:rPr>
                <w:rFonts w:ascii="Verdana" w:hAnsi="Verdana" w:cs="Arial CE"/>
                <w:sz w:val="16"/>
                <w:szCs w:val="16"/>
              </w:rPr>
              <w:t xml:space="preserve"> 500E, HW </w:t>
            </w:r>
            <w:proofErr w:type="spellStart"/>
            <w:r w:rsidRPr="005F1D75">
              <w:rPr>
                <w:rFonts w:ascii="Verdana" w:hAnsi="Verdana" w:cs="Arial CE"/>
                <w:sz w:val="16"/>
                <w:szCs w:val="16"/>
              </w:rPr>
              <w:t>only</w:t>
            </w:r>
            <w:proofErr w:type="spellEnd"/>
          </w:p>
        </w:tc>
        <w:tc>
          <w:tcPr>
            <w:tcW w:w="120" w:type="dxa"/>
            <w:tcBorders>
              <w:top w:val="nil"/>
              <w:left w:val="nil"/>
              <w:bottom w:val="nil"/>
              <w:right w:val="nil"/>
            </w:tcBorders>
            <w:shd w:val="clear" w:color="auto" w:fill="auto"/>
            <w:noWrap/>
            <w:hideMark/>
          </w:tcPr>
          <w:p w14:paraId="45C96F3E" w14:textId="77777777" w:rsidR="005F1D75" w:rsidRPr="005F1D75" w:rsidRDefault="005F1D75" w:rsidP="005F1D75">
            <w:pPr>
              <w:jc w:val="left"/>
              <w:rPr>
                <w:rFonts w:ascii="Verdana" w:hAnsi="Verdana" w:cs="Arial CE"/>
                <w:sz w:val="16"/>
                <w:szCs w:val="16"/>
              </w:rPr>
            </w:pPr>
          </w:p>
        </w:tc>
        <w:tc>
          <w:tcPr>
            <w:tcW w:w="268" w:type="dxa"/>
            <w:tcBorders>
              <w:top w:val="nil"/>
              <w:left w:val="nil"/>
              <w:bottom w:val="nil"/>
              <w:right w:val="nil"/>
            </w:tcBorders>
            <w:shd w:val="clear" w:color="auto" w:fill="auto"/>
            <w:noWrap/>
            <w:hideMark/>
          </w:tcPr>
          <w:p w14:paraId="5BBD769D"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2</w:t>
            </w:r>
          </w:p>
        </w:tc>
        <w:tc>
          <w:tcPr>
            <w:tcW w:w="1900" w:type="dxa"/>
            <w:tcBorders>
              <w:top w:val="nil"/>
              <w:left w:val="nil"/>
              <w:bottom w:val="nil"/>
              <w:right w:val="nil"/>
            </w:tcBorders>
            <w:shd w:val="clear" w:color="auto" w:fill="auto"/>
            <w:noWrap/>
            <w:hideMark/>
          </w:tcPr>
          <w:p w14:paraId="0E7C4938" w14:textId="77777777" w:rsidR="005F1D75" w:rsidRPr="005F1D75" w:rsidRDefault="005F1D75" w:rsidP="005F1D75">
            <w:pPr>
              <w:jc w:val="center"/>
              <w:rPr>
                <w:rFonts w:ascii="Verdana" w:hAnsi="Verdana" w:cs="Arial CE"/>
                <w:sz w:val="16"/>
                <w:szCs w:val="16"/>
              </w:rPr>
            </w:pPr>
          </w:p>
        </w:tc>
        <w:tc>
          <w:tcPr>
            <w:tcW w:w="2268" w:type="dxa"/>
            <w:tcBorders>
              <w:top w:val="nil"/>
              <w:left w:val="nil"/>
              <w:bottom w:val="nil"/>
              <w:right w:val="single" w:sz="8" w:space="0" w:color="auto"/>
            </w:tcBorders>
            <w:shd w:val="clear" w:color="auto" w:fill="auto"/>
            <w:noWrap/>
            <w:hideMark/>
          </w:tcPr>
          <w:p w14:paraId="51119733"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 </w:t>
            </w:r>
          </w:p>
        </w:tc>
      </w:tr>
      <w:tr w:rsidR="005F1D75" w:rsidRPr="005F1D75" w14:paraId="163A41A9" w14:textId="77777777" w:rsidTr="005F1D75">
        <w:trPr>
          <w:trHeight w:val="518"/>
        </w:trPr>
        <w:tc>
          <w:tcPr>
            <w:tcW w:w="2575" w:type="dxa"/>
            <w:tcBorders>
              <w:top w:val="nil"/>
              <w:left w:val="single" w:sz="8" w:space="0" w:color="auto"/>
              <w:bottom w:val="nil"/>
              <w:right w:val="nil"/>
            </w:tcBorders>
            <w:shd w:val="clear" w:color="auto" w:fill="auto"/>
            <w:noWrap/>
            <w:hideMark/>
          </w:tcPr>
          <w:p w14:paraId="497CB1F5" w14:textId="77777777" w:rsidR="005F1D75" w:rsidRPr="005F1D75" w:rsidRDefault="005F1D75" w:rsidP="005F1D75">
            <w:pPr>
              <w:jc w:val="left"/>
              <w:rPr>
                <w:rFonts w:ascii="Verdana" w:hAnsi="Verdana" w:cs="Arial CE"/>
                <w:sz w:val="16"/>
                <w:szCs w:val="16"/>
              </w:rPr>
            </w:pPr>
            <w:r w:rsidRPr="005F1D75">
              <w:rPr>
                <w:rFonts w:ascii="Verdana" w:hAnsi="Verdana" w:cs="Arial CE"/>
                <w:sz w:val="16"/>
                <w:szCs w:val="16"/>
              </w:rPr>
              <w:t>FC-10-0500E-950-02-12</w:t>
            </w:r>
          </w:p>
        </w:tc>
        <w:tc>
          <w:tcPr>
            <w:tcW w:w="8129" w:type="dxa"/>
            <w:tcBorders>
              <w:top w:val="nil"/>
              <w:left w:val="nil"/>
              <w:bottom w:val="nil"/>
              <w:right w:val="nil"/>
            </w:tcBorders>
            <w:shd w:val="clear" w:color="auto" w:fill="auto"/>
            <w:hideMark/>
          </w:tcPr>
          <w:p w14:paraId="4FC3DC7E" w14:textId="77777777" w:rsidR="005F1D75" w:rsidRPr="005F1D75" w:rsidRDefault="005F1D75" w:rsidP="005F1D75">
            <w:pPr>
              <w:jc w:val="left"/>
              <w:rPr>
                <w:rFonts w:ascii="Verdana" w:hAnsi="Verdana" w:cs="Arial CE"/>
                <w:sz w:val="16"/>
                <w:szCs w:val="16"/>
              </w:rPr>
            </w:pPr>
            <w:proofErr w:type="spellStart"/>
            <w:r w:rsidRPr="005F1D75">
              <w:rPr>
                <w:rFonts w:ascii="Verdana" w:hAnsi="Verdana" w:cs="Arial CE"/>
                <w:sz w:val="16"/>
                <w:szCs w:val="16"/>
              </w:rPr>
              <w:t>FortiGate</w:t>
            </w:r>
            <w:proofErr w:type="spellEnd"/>
            <w:r w:rsidRPr="005F1D75">
              <w:rPr>
                <w:rFonts w:ascii="Verdana" w:hAnsi="Verdana" w:cs="Arial CE"/>
                <w:sz w:val="16"/>
                <w:szCs w:val="16"/>
              </w:rPr>
              <w:t xml:space="preserve"> 500E, 24x7 </w:t>
            </w:r>
            <w:proofErr w:type="spellStart"/>
            <w:r w:rsidRPr="005F1D75">
              <w:rPr>
                <w:rFonts w:ascii="Verdana" w:hAnsi="Verdana" w:cs="Arial CE"/>
                <w:sz w:val="16"/>
                <w:szCs w:val="16"/>
              </w:rPr>
              <w:t>Unified</w:t>
            </w:r>
            <w:proofErr w:type="spellEnd"/>
            <w:r w:rsidRPr="005F1D75">
              <w:rPr>
                <w:rFonts w:ascii="Verdana" w:hAnsi="Verdana" w:cs="Arial CE"/>
                <w:sz w:val="16"/>
                <w:szCs w:val="16"/>
              </w:rPr>
              <w:t xml:space="preserve"> (UTM) </w:t>
            </w:r>
            <w:proofErr w:type="spellStart"/>
            <w:r w:rsidRPr="005F1D75">
              <w:rPr>
                <w:rFonts w:ascii="Verdana" w:hAnsi="Verdana" w:cs="Arial CE"/>
                <w:sz w:val="16"/>
                <w:szCs w:val="16"/>
              </w:rPr>
              <w:t>Protection</w:t>
            </w:r>
            <w:proofErr w:type="spellEnd"/>
            <w:r w:rsidRPr="005F1D75">
              <w:rPr>
                <w:rFonts w:ascii="Verdana" w:hAnsi="Verdana" w:cs="Arial CE"/>
                <w:sz w:val="16"/>
                <w:szCs w:val="16"/>
              </w:rPr>
              <w:t xml:space="preserve"> 1YR (</w:t>
            </w:r>
            <w:proofErr w:type="spellStart"/>
            <w:r w:rsidRPr="005F1D75">
              <w:rPr>
                <w:rFonts w:ascii="Verdana" w:hAnsi="Verdana" w:cs="Arial CE"/>
                <w:sz w:val="16"/>
                <w:szCs w:val="16"/>
              </w:rPr>
              <w:t>FortiCare</w:t>
            </w:r>
            <w:proofErr w:type="spellEnd"/>
            <w:r w:rsidRPr="005F1D75">
              <w:rPr>
                <w:rFonts w:ascii="Verdana" w:hAnsi="Verdana" w:cs="Arial CE"/>
                <w:sz w:val="16"/>
                <w:szCs w:val="16"/>
              </w:rPr>
              <w:t xml:space="preserve"> plus </w:t>
            </w:r>
            <w:proofErr w:type="spellStart"/>
            <w:r w:rsidRPr="005F1D75">
              <w:rPr>
                <w:rFonts w:ascii="Verdana" w:hAnsi="Verdana" w:cs="Arial CE"/>
                <w:sz w:val="16"/>
                <w:szCs w:val="16"/>
              </w:rPr>
              <w:t>Application</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Control</w:t>
            </w:r>
            <w:proofErr w:type="spellEnd"/>
            <w:r w:rsidRPr="005F1D75">
              <w:rPr>
                <w:rFonts w:ascii="Verdana" w:hAnsi="Verdana" w:cs="Arial CE"/>
                <w:sz w:val="16"/>
                <w:szCs w:val="16"/>
              </w:rPr>
              <w:t xml:space="preserve">, IPS, AV, Web </w:t>
            </w:r>
            <w:proofErr w:type="spellStart"/>
            <w:r w:rsidRPr="005F1D75">
              <w:rPr>
                <w:rFonts w:ascii="Verdana" w:hAnsi="Verdana" w:cs="Arial CE"/>
                <w:sz w:val="16"/>
                <w:szCs w:val="16"/>
              </w:rPr>
              <w:t>Filtering</w:t>
            </w:r>
            <w:proofErr w:type="spellEnd"/>
            <w:r w:rsidRPr="005F1D75">
              <w:rPr>
                <w:rFonts w:ascii="Verdana" w:hAnsi="Verdana" w:cs="Arial CE"/>
                <w:sz w:val="16"/>
                <w:szCs w:val="16"/>
              </w:rPr>
              <w:t xml:space="preserve"> and </w:t>
            </w:r>
            <w:proofErr w:type="spellStart"/>
            <w:r w:rsidRPr="005F1D75">
              <w:rPr>
                <w:rFonts w:ascii="Verdana" w:hAnsi="Verdana" w:cs="Arial CE"/>
                <w:sz w:val="16"/>
                <w:szCs w:val="16"/>
              </w:rPr>
              <w:t>Antispam</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FortiSandbox</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Cloud</w:t>
            </w:r>
            <w:proofErr w:type="spellEnd"/>
            <w:r w:rsidRPr="005F1D75">
              <w:rPr>
                <w:rFonts w:ascii="Verdana" w:hAnsi="Verdana" w:cs="Arial CE"/>
                <w:sz w:val="16"/>
                <w:szCs w:val="16"/>
              </w:rPr>
              <w:t>)</w:t>
            </w:r>
          </w:p>
        </w:tc>
        <w:tc>
          <w:tcPr>
            <w:tcW w:w="120" w:type="dxa"/>
            <w:tcBorders>
              <w:top w:val="nil"/>
              <w:left w:val="nil"/>
              <w:bottom w:val="nil"/>
              <w:right w:val="nil"/>
            </w:tcBorders>
            <w:shd w:val="clear" w:color="auto" w:fill="auto"/>
            <w:noWrap/>
            <w:hideMark/>
          </w:tcPr>
          <w:p w14:paraId="27EEBB78" w14:textId="77777777" w:rsidR="005F1D75" w:rsidRPr="005F1D75" w:rsidRDefault="005F1D75" w:rsidP="005F1D75">
            <w:pPr>
              <w:jc w:val="left"/>
              <w:rPr>
                <w:rFonts w:ascii="Verdana" w:hAnsi="Verdana" w:cs="Arial CE"/>
                <w:sz w:val="16"/>
                <w:szCs w:val="16"/>
              </w:rPr>
            </w:pPr>
          </w:p>
        </w:tc>
        <w:tc>
          <w:tcPr>
            <w:tcW w:w="268" w:type="dxa"/>
            <w:tcBorders>
              <w:top w:val="nil"/>
              <w:left w:val="nil"/>
              <w:bottom w:val="nil"/>
              <w:right w:val="nil"/>
            </w:tcBorders>
            <w:shd w:val="clear" w:color="auto" w:fill="auto"/>
            <w:noWrap/>
            <w:hideMark/>
          </w:tcPr>
          <w:p w14:paraId="0C9AC170"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2</w:t>
            </w:r>
          </w:p>
        </w:tc>
        <w:tc>
          <w:tcPr>
            <w:tcW w:w="1900" w:type="dxa"/>
            <w:tcBorders>
              <w:top w:val="nil"/>
              <w:left w:val="nil"/>
              <w:bottom w:val="nil"/>
              <w:right w:val="nil"/>
            </w:tcBorders>
            <w:shd w:val="clear" w:color="auto" w:fill="auto"/>
            <w:noWrap/>
            <w:hideMark/>
          </w:tcPr>
          <w:p w14:paraId="27FBAD2C" w14:textId="77777777" w:rsidR="005F1D75" w:rsidRPr="005F1D75" w:rsidRDefault="005F1D75" w:rsidP="005F1D75">
            <w:pPr>
              <w:jc w:val="center"/>
              <w:rPr>
                <w:rFonts w:ascii="Verdana" w:hAnsi="Verdana" w:cs="Arial CE"/>
                <w:sz w:val="16"/>
                <w:szCs w:val="16"/>
              </w:rPr>
            </w:pPr>
          </w:p>
        </w:tc>
        <w:tc>
          <w:tcPr>
            <w:tcW w:w="2268" w:type="dxa"/>
            <w:tcBorders>
              <w:top w:val="nil"/>
              <w:left w:val="nil"/>
              <w:bottom w:val="nil"/>
              <w:right w:val="single" w:sz="8" w:space="0" w:color="auto"/>
            </w:tcBorders>
            <w:shd w:val="clear" w:color="auto" w:fill="auto"/>
            <w:noWrap/>
            <w:hideMark/>
          </w:tcPr>
          <w:p w14:paraId="7D2F2F65"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 </w:t>
            </w:r>
          </w:p>
        </w:tc>
      </w:tr>
      <w:tr w:rsidR="005F1D75" w:rsidRPr="005F1D75" w14:paraId="694D8696" w14:textId="77777777" w:rsidTr="005F1D75">
        <w:trPr>
          <w:trHeight w:val="398"/>
        </w:trPr>
        <w:tc>
          <w:tcPr>
            <w:tcW w:w="11092" w:type="dxa"/>
            <w:gridSpan w:val="4"/>
            <w:tcBorders>
              <w:top w:val="nil"/>
              <w:left w:val="single" w:sz="8" w:space="0" w:color="auto"/>
              <w:bottom w:val="nil"/>
              <w:right w:val="nil"/>
            </w:tcBorders>
            <w:shd w:val="clear" w:color="000000" w:fill="D9D9D9"/>
            <w:vAlign w:val="center"/>
            <w:hideMark/>
          </w:tcPr>
          <w:p w14:paraId="53F5AF8F" w14:textId="77777777" w:rsidR="005F1D75" w:rsidRPr="005F1D75" w:rsidRDefault="005F1D75" w:rsidP="005F1D75">
            <w:pPr>
              <w:jc w:val="center"/>
              <w:rPr>
                <w:rFonts w:ascii="Verdana" w:hAnsi="Verdana" w:cs="Arial CE"/>
                <w:b/>
                <w:bCs/>
              </w:rPr>
            </w:pPr>
            <w:r w:rsidRPr="005F1D75">
              <w:rPr>
                <w:rFonts w:ascii="Verdana" w:hAnsi="Verdana" w:cs="Arial CE"/>
                <w:b/>
                <w:bCs/>
              </w:rPr>
              <w:t>ŘEŠENÍ PRO GENERÁLNÍ ŘEDITELSTVÍ</w:t>
            </w:r>
          </w:p>
        </w:tc>
        <w:tc>
          <w:tcPr>
            <w:tcW w:w="1900" w:type="dxa"/>
            <w:tcBorders>
              <w:top w:val="nil"/>
              <w:left w:val="nil"/>
              <w:bottom w:val="nil"/>
              <w:right w:val="nil"/>
            </w:tcBorders>
            <w:shd w:val="clear" w:color="000000" w:fill="D9D9D9"/>
            <w:vAlign w:val="center"/>
            <w:hideMark/>
          </w:tcPr>
          <w:p w14:paraId="135CDF83" w14:textId="77777777" w:rsidR="005F1D75" w:rsidRPr="005F1D75" w:rsidRDefault="005F1D75" w:rsidP="005F1D75">
            <w:pPr>
              <w:jc w:val="left"/>
              <w:rPr>
                <w:rFonts w:ascii="Verdana" w:hAnsi="Verdana" w:cs="Arial CE"/>
                <w:b/>
                <w:bCs/>
                <w:sz w:val="20"/>
                <w:szCs w:val="20"/>
              </w:rPr>
            </w:pPr>
            <w:r w:rsidRPr="005F1D75">
              <w:rPr>
                <w:rFonts w:ascii="Verdana" w:hAnsi="Verdana" w:cs="Arial CE"/>
                <w:b/>
                <w:bCs/>
                <w:sz w:val="20"/>
                <w:szCs w:val="20"/>
              </w:rPr>
              <w:t xml:space="preserve">      80 367 Kč </w:t>
            </w:r>
          </w:p>
        </w:tc>
        <w:tc>
          <w:tcPr>
            <w:tcW w:w="2268" w:type="dxa"/>
            <w:tcBorders>
              <w:top w:val="nil"/>
              <w:left w:val="nil"/>
              <w:bottom w:val="nil"/>
              <w:right w:val="single" w:sz="8" w:space="0" w:color="auto"/>
            </w:tcBorders>
            <w:shd w:val="clear" w:color="000000" w:fill="D9D9D9"/>
            <w:vAlign w:val="center"/>
            <w:hideMark/>
          </w:tcPr>
          <w:p w14:paraId="6CF760E8" w14:textId="77777777" w:rsidR="005F1D75" w:rsidRPr="005F1D75" w:rsidRDefault="005F1D75" w:rsidP="005F1D75">
            <w:pPr>
              <w:jc w:val="left"/>
              <w:rPr>
                <w:rFonts w:ascii="Verdana" w:hAnsi="Verdana" w:cs="Arial CE"/>
                <w:b/>
                <w:bCs/>
                <w:sz w:val="20"/>
                <w:szCs w:val="20"/>
              </w:rPr>
            </w:pPr>
            <w:r w:rsidRPr="005F1D75">
              <w:rPr>
                <w:rFonts w:ascii="Verdana" w:hAnsi="Verdana" w:cs="Arial CE"/>
                <w:b/>
                <w:bCs/>
                <w:sz w:val="20"/>
                <w:szCs w:val="20"/>
              </w:rPr>
              <w:t>mezisoučet bez DPH</w:t>
            </w:r>
          </w:p>
        </w:tc>
      </w:tr>
      <w:tr w:rsidR="005F1D75" w:rsidRPr="005F1D75" w14:paraId="0FA54B22" w14:textId="77777777" w:rsidTr="005F1D75">
        <w:trPr>
          <w:trHeight w:val="398"/>
        </w:trPr>
        <w:tc>
          <w:tcPr>
            <w:tcW w:w="2575" w:type="dxa"/>
            <w:tcBorders>
              <w:top w:val="nil"/>
              <w:left w:val="single" w:sz="8" w:space="0" w:color="auto"/>
              <w:bottom w:val="nil"/>
              <w:right w:val="nil"/>
            </w:tcBorders>
            <w:shd w:val="clear" w:color="auto" w:fill="auto"/>
            <w:noWrap/>
            <w:hideMark/>
          </w:tcPr>
          <w:p w14:paraId="5E310E51" w14:textId="77777777" w:rsidR="005F1D75" w:rsidRPr="005F1D75" w:rsidRDefault="005F1D75" w:rsidP="005F1D75">
            <w:pPr>
              <w:jc w:val="left"/>
              <w:rPr>
                <w:rFonts w:ascii="Verdana" w:hAnsi="Verdana" w:cs="Arial CE"/>
                <w:sz w:val="16"/>
                <w:szCs w:val="16"/>
              </w:rPr>
            </w:pPr>
            <w:r w:rsidRPr="005F1D75">
              <w:rPr>
                <w:rFonts w:ascii="Verdana" w:hAnsi="Verdana" w:cs="Arial CE"/>
                <w:sz w:val="16"/>
                <w:szCs w:val="16"/>
              </w:rPr>
              <w:t>FG-100F</w:t>
            </w:r>
          </w:p>
        </w:tc>
        <w:tc>
          <w:tcPr>
            <w:tcW w:w="8129" w:type="dxa"/>
            <w:tcBorders>
              <w:top w:val="nil"/>
              <w:left w:val="nil"/>
              <w:bottom w:val="nil"/>
              <w:right w:val="nil"/>
            </w:tcBorders>
            <w:shd w:val="clear" w:color="auto" w:fill="auto"/>
            <w:hideMark/>
          </w:tcPr>
          <w:p w14:paraId="1AFF33DC" w14:textId="77777777" w:rsidR="005F1D75" w:rsidRPr="005F1D75" w:rsidRDefault="005F1D75" w:rsidP="005F1D75">
            <w:pPr>
              <w:jc w:val="left"/>
              <w:rPr>
                <w:rFonts w:ascii="Verdana" w:hAnsi="Verdana" w:cs="Arial CE"/>
                <w:sz w:val="16"/>
                <w:szCs w:val="16"/>
              </w:rPr>
            </w:pPr>
            <w:proofErr w:type="spellStart"/>
            <w:r w:rsidRPr="005F1D75">
              <w:rPr>
                <w:rFonts w:ascii="Verdana" w:hAnsi="Verdana" w:cs="Arial CE"/>
                <w:sz w:val="16"/>
                <w:szCs w:val="16"/>
              </w:rPr>
              <w:t>FortiGate</w:t>
            </w:r>
            <w:proofErr w:type="spellEnd"/>
            <w:r w:rsidRPr="005F1D75">
              <w:rPr>
                <w:rFonts w:ascii="Verdana" w:hAnsi="Verdana" w:cs="Arial CE"/>
                <w:sz w:val="16"/>
                <w:szCs w:val="16"/>
              </w:rPr>
              <w:t xml:space="preserve"> 100F, HW </w:t>
            </w:r>
            <w:proofErr w:type="spellStart"/>
            <w:r w:rsidRPr="005F1D75">
              <w:rPr>
                <w:rFonts w:ascii="Verdana" w:hAnsi="Verdana" w:cs="Arial CE"/>
                <w:sz w:val="16"/>
                <w:szCs w:val="16"/>
              </w:rPr>
              <w:t>only</w:t>
            </w:r>
            <w:proofErr w:type="spellEnd"/>
          </w:p>
        </w:tc>
        <w:tc>
          <w:tcPr>
            <w:tcW w:w="120" w:type="dxa"/>
            <w:tcBorders>
              <w:top w:val="nil"/>
              <w:left w:val="nil"/>
              <w:bottom w:val="nil"/>
              <w:right w:val="nil"/>
            </w:tcBorders>
            <w:shd w:val="clear" w:color="auto" w:fill="auto"/>
            <w:noWrap/>
            <w:hideMark/>
          </w:tcPr>
          <w:p w14:paraId="4B75511E" w14:textId="77777777" w:rsidR="005F1D75" w:rsidRPr="005F1D75" w:rsidRDefault="005F1D75" w:rsidP="005F1D75">
            <w:pPr>
              <w:jc w:val="left"/>
              <w:rPr>
                <w:rFonts w:ascii="Verdana" w:hAnsi="Verdana" w:cs="Arial CE"/>
                <w:sz w:val="16"/>
                <w:szCs w:val="16"/>
              </w:rPr>
            </w:pPr>
          </w:p>
        </w:tc>
        <w:tc>
          <w:tcPr>
            <w:tcW w:w="268" w:type="dxa"/>
            <w:tcBorders>
              <w:top w:val="nil"/>
              <w:left w:val="nil"/>
              <w:bottom w:val="nil"/>
              <w:right w:val="nil"/>
            </w:tcBorders>
            <w:shd w:val="clear" w:color="auto" w:fill="auto"/>
            <w:noWrap/>
            <w:hideMark/>
          </w:tcPr>
          <w:p w14:paraId="6EB5CFB3"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1</w:t>
            </w:r>
          </w:p>
        </w:tc>
        <w:tc>
          <w:tcPr>
            <w:tcW w:w="1900" w:type="dxa"/>
            <w:tcBorders>
              <w:top w:val="nil"/>
              <w:left w:val="nil"/>
              <w:bottom w:val="nil"/>
              <w:right w:val="nil"/>
            </w:tcBorders>
            <w:shd w:val="clear" w:color="auto" w:fill="auto"/>
            <w:noWrap/>
            <w:hideMark/>
          </w:tcPr>
          <w:p w14:paraId="4FEE0422" w14:textId="77777777" w:rsidR="005F1D75" w:rsidRPr="005F1D75" w:rsidRDefault="005F1D75" w:rsidP="005F1D75">
            <w:pPr>
              <w:jc w:val="center"/>
              <w:rPr>
                <w:rFonts w:ascii="Verdana" w:hAnsi="Verdana" w:cs="Arial CE"/>
                <w:sz w:val="16"/>
                <w:szCs w:val="16"/>
              </w:rPr>
            </w:pPr>
          </w:p>
        </w:tc>
        <w:tc>
          <w:tcPr>
            <w:tcW w:w="2268" w:type="dxa"/>
            <w:tcBorders>
              <w:top w:val="nil"/>
              <w:left w:val="nil"/>
              <w:bottom w:val="nil"/>
              <w:right w:val="single" w:sz="8" w:space="0" w:color="auto"/>
            </w:tcBorders>
            <w:shd w:val="clear" w:color="auto" w:fill="auto"/>
            <w:noWrap/>
            <w:hideMark/>
          </w:tcPr>
          <w:p w14:paraId="79215ACC"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 </w:t>
            </w:r>
          </w:p>
        </w:tc>
      </w:tr>
      <w:tr w:rsidR="005F1D75" w:rsidRPr="005F1D75" w14:paraId="3F525027" w14:textId="77777777" w:rsidTr="005F1D75">
        <w:trPr>
          <w:trHeight w:val="518"/>
        </w:trPr>
        <w:tc>
          <w:tcPr>
            <w:tcW w:w="2575" w:type="dxa"/>
            <w:tcBorders>
              <w:top w:val="nil"/>
              <w:left w:val="single" w:sz="8" w:space="0" w:color="auto"/>
              <w:bottom w:val="nil"/>
              <w:right w:val="nil"/>
            </w:tcBorders>
            <w:shd w:val="clear" w:color="auto" w:fill="auto"/>
            <w:noWrap/>
            <w:hideMark/>
          </w:tcPr>
          <w:p w14:paraId="5340171D" w14:textId="77777777" w:rsidR="005F1D75" w:rsidRPr="005F1D75" w:rsidRDefault="005F1D75" w:rsidP="005F1D75">
            <w:pPr>
              <w:jc w:val="left"/>
              <w:rPr>
                <w:rFonts w:ascii="Verdana" w:hAnsi="Verdana" w:cs="Arial CE"/>
                <w:sz w:val="16"/>
                <w:szCs w:val="16"/>
              </w:rPr>
            </w:pPr>
            <w:r w:rsidRPr="005F1D75">
              <w:rPr>
                <w:rFonts w:ascii="Verdana" w:hAnsi="Verdana" w:cs="Arial CE"/>
                <w:sz w:val="16"/>
                <w:szCs w:val="16"/>
              </w:rPr>
              <w:t>FC-10-F100F-950-02-12</w:t>
            </w:r>
          </w:p>
        </w:tc>
        <w:tc>
          <w:tcPr>
            <w:tcW w:w="8129" w:type="dxa"/>
            <w:tcBorders>
              <w:top w:val="nil"/>
              <w:left w:val="nil"/>
              <w:bottom w:val="nil"/>
              <w:right w:val="nil"/>
            </w:tcBorders>
            <w:shd w:val="clear" w:color="auto" w:fill="auto"/>
            <w:hideMark/>
          </w:tcPr>
          <w:p w14:paraId="5CC3A37A" w14:textId="77777777" w:rsidR="005F1D75" w:rsidRPr="005F1D75" w:rsidRDefault="005F1D75" w:rsidP="005F1D75">
            <w:pPr>
              <w:jc w:val="left"/>
              <w:rPr>
                <w:rFonts w:ascii="Verdana" w:hAnsi="Verdana" w:cs="Arial CE"/>
                <w:sz w:val="16"/>
                <w:szCs w:val="16"/>
              </w:rPr>
            </w:pPr>
            <w:proofErr w:type="spellStart"/>
            <w:r w:rsidRPr="005F1D75">
              <w:rPr>
                <w:rFonts w:ascii="Verdana" w:hAnsi="Verdana" w:cs="Arial CE"/>
                <w:sz w:val="16"/>
                <w:szCs w:val="16"/>
              </w:rPr>
              <w:t>FortiGate</w:t>
            </w:r>
            <w:proofErr w:type="spellEnd"/>
            <w:r w:rsidRPr="005F1D75">
              <w:rPr>
                <w:rFonts w:ascii="Verdana" w:hAnsi="Verdana" w:cs="Arial CE"/>
                <w:sz w:val="16"/>
                <w:szCs w:val="16"/>
              </w:rPr>
              <w:t xml:space="preserve"> 100F, 24x7 </w:t>
            </w:r>
            <w:proofErr w:type="spellStart"/>
            <w:r w:rsidRPr="005F1D75">
              <w:rPr>
                <w:rFonts w:ascii="Verdana" w:hAnsi="Verdana" w:cs="Arial CE"/>
                <w:sz w:val="16"/>
                <w:szCs w:val="16"/>
              </w:rPr>
              <w:t>Unified</w:t>
            </w:r>
            <w:proofErr w:type="spellEnd"/>
            <w:r w:rsidRPr="005F1D75">
              <w:rPr>
                <w:rFonts w:ascii="Verdana" w:hAnsi="Verdana" w:cs="Arial CE"/>
                <w:sz w:val="16"/>
                <w:szCs w:val="16"/>
              </w:rPr>
              <w:t xml:space="preserve"> (UTM) </w:t>
            </w:r>
            <w:proofErr w:type="spellStart"/>
            <w:r w:rsidRPr="005F1D75">
              <w:rPr>
                <w:rFonts w:ascii="Verdana" w:hAnsi="Verdana" w:cs="Arial CE"/>
                <w:sz w:val="16"/>
                <w:szCs w:val="16"/>
              </w:rPr>
              <w:t>Protection</w:t>
            </w:r>
            <w:proofErr w:type="spellEnd"/>
            <w:r w:rsidRPr="005F1D75">
              <w:rPr>
                <w:rFonts w:ascii="Verdana" w:hAnsi="Verdana" w:cs="Arial CE"/>
                <w:sz w:val="16"/>
                <w:szCs w:val="16"/>
              </w:rPr>
              <w:t xml:space="preserve"> 1YR (</w:t>
            </w:r>
            <w:proofErr w:type="spellStart"/>
            <w:r w:rsidRPr="005F1D75">
              <w:rPr>
                <w:rFonts w:ascii="Verdana" w:hAnsi="Verdana" w:cs="Arial CE"/>
                <w:sz w:val="16"/>
                <w:szCs w:val="16"/>
              </w:rPr>
              <w:t>FortiCare</w:t>
            </w:r>
            <w:proofErr w:type="spellEnd"/>
            <w:r w:rsidRPr="005F1D75">
              <w:rPr>
                <w:rFonts w:ascii="Verdana" w:hAnsi="Verdana" w:cs="Arial CE"/>
                <w:sz w:val="16"/>
                <w:szCs w:val="16"/>
              </w:rPr>
              <w:t xml:space="preserve"> plus </w:t>
            </w:r>
            <w:proofErr w:type="spellStart"/>
            <w:r w:rsidRPr="005F1D75">
              <w:rPr>
                <w:rFonts w:ascii="Verdana" w:hAnsi="Verdana" w:cs="Arial CE"/>
                <w:sz w:val="16"/>
                <w:szCs w:val="16"/>
              </w:rPr>
              <w:t>Application</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Control</w:t>
            </w:r>
            <w:proofErr w:type="spellEnd"/>
            <w:r w:rsidRPr="005F1D75">
              <w:rPr>
                <w:rFonts w:ascii="Verdana" w:hAnsi="Verdana" w:cs="Arial CE"/>
                <w:sz w:val="16"/>
                <w:szCs w:val="16"/>
              </w:rPr>
              <w:t xml:space="preserve">, IPS, AV, Web </w:t>
            </w:r>
            <w:proofErr w:type="spellStart"/>
            <w:r w:rsidRPr="005F1D75">
              <w:rPr>
                <w:rFonts w:ascii="Verdana" w:hAnsi="Verdana" w:cs="Arial CE"/>
                <w:sz w:val="16"/>
                <w:szCs w:val="16"/>
              </w:rPr>
              <w:t>Filtering</w:t>
            </w:r>
            <w:proofErr w:type="spellEnd"/>
            <w:r w:rsidRPr="005F1D75">
              <w:rPr>
                <w:rFonts w:ascii="Verdana" w:hAnsi="Verdana" w:cs="Arial CE"/>
                <w:sz w:val="16"/>
                <w:szCs w:val="16"/>
              </w:rPr>
              <w:t xml:space="preserve"> and </w:t>
            </w:r>
            <w:proofErr w:type="spellStart"/>
            <w:r w:rsidRPr="005F1D75">
              <w:rPr>
                <w:rFonts w:ascii="Verdana" w:hAnsi="Verdana" w:cs="Arial CE"/>
                <w:sz w:val="16"/>
                <w:szCs w:val="16"/>
              </w:rPr>
              <w:t>Antispam</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FortiSandbox</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Cloud</w:t>
            </w:r>
            <w:proofErr w:type="spellEnd"/>
            <w:r w:rsidRPr="005F1D75">
              <w:rPr>
                <w:rFonts w:ascii="Verdana" w:hAnsi="Verdana" w:cs="Arial CE"/>
                <w:sz w:val="16"/>
                <w:szCs w:val="16"/>
              </w:rPr>
              <w:t>)</w:t>
            </w:r>
          </w:p>
        </w:tc>
        <w:tc>
          <w:tcPr>
            <w:tcW w:w="120" w:type="dxa"/>
            <w:tcBorders>
              <w:top w:val="nil"/>
              <w:left w:val="nil"/>
              <w:bottom w:val="nil"/>
              <w:right w:val="nil"/>
            </w:tcBorders>
            <w:shd w:val="clear" w:color="auto" w:fill="auto"/>
            <w:noWrap/>
            <w:hideMark/>
          </w:tcPr>
          <w:p w14:paraId="58636765" w14:textId="77777777" w:rsidR="005F1D75" w:rsidRPr="005F1D75" w:rsidRDefault="005F1D75" w:rsidP="005F1D75">
            <w:pPr>
              <w:jc w:val="left"/>
              <w:rPr>
                <w:rFonts w:ascii="Verdana" w:hAnsi="Verdana" w:cs="Arial CE"/>
                <w:sz w:val="16"/>
                <w:szCs w:val="16"/>
              </w:rPr>
            </w:pPr>
          </w:p>
        </w:tc>
        <w:tc>
          <w:tcPr>
            <w:tcW w:w="268" w:type="dxa"/>
            <w:tcBorders>
              <w:top w:val="nil"/>
              <w:left w:val="nil"/>
              <w:bottom w:val="nil"/>
              <w:right w:val="nil"/>
            </w:tcBorders>
            <w:shd w:val="clear" w:color="auto" w:fill="auto"/>
            <w:noWrap/>
            <w:hideMark/>
          </w:tcPr>
          <w:p w14:paraId="788272FE"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1</w:t>
            </w:r>
          </w:p>
        </w:tc>
        <w:tc>
          <w:tcPr>
            <w:tcW w:w="1900" w:type="dxa"/>
            <w:tcBorders>
              <w:top w:val="nil"/>
              <w:left w:val="nil"/>
              <w:bottom w:val="nil"/>
              <w:right w:val="nil"/>
            </w:tcBorders>
            <w:shd w:val="clear" w:color="auto" w:fill="auto"/>
            <w:noWrap/>
            <w:hideMark/>
          </w:tcPr>
          <w:p w14:paraId="3F826A4B" w14:textId="77777777" w:rsidR="005F1D75" w:rsidRPr="005F1D75" w:rsidRDefault="005F1D75" w:rsidP="005F1D75">
            <w:pPr>
              <w:jc w:val="center"/>
              <w:rPr>
                <w:rFonts w:ascii="Verdana" w:hAnsi="Verdana" w:cs="Arial CE"/>
                <w:sz w:val="16"/>
                <w:szCs w:val="16"/>
              </w:rPr>
            </w:pPr>
          </w:p>
        </w:tc>
        <w:tc>
          <w:tcPr>
            <w:tcW w:w="2268" w:type="dxa"/>
            <w:tcBorders>
              <w:top w:val="nil"/>
              <w:left w:val="nil"/>
              <w:bottom w:val="nil"/>
              <w:right w:val="single" w:sz="8" w:space="0" w:color="auto"/>
            </w:tcBorders>
            <w:shd w:val="clear" w:color="auto" w:fill="auto"/>
            <w:noWrap/>
            <w:hideMark/>
          </w:tcPr>
          <w:p w14:paraId="09348801"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 </w:t>
            </w:r>
          </w:p>
        </w:tc>
      </w:tr>
      <w:tr w:rsidR="005F1D75" w:rsidRPr="005F1D75" w14:paraId="2B5A3FB4" w14:textId="77777777" w:rsidTr="005F1D75">
        <w:trPr>
          <w:trHeight w:val="323"/>
        </w:trPr>
        <w:tc>
          <w:tcPr>
            <w:tcW w:w="11092" w:type="dxa"/>
            <w:gridSpan w:val="4"/>
            <w:tcBorders>
              <w:top w:val="nil"/>
              <w:left w:val="single" w:sz="8" w:space="0" w:color="auto"/>
              <w:bottom w:val="nil"/>
              <w:right w:val="nil"/>
            </w:tcBorders>
            <w:shd w:val="clear" w:color="000000" w:fill="D9D9D9"/>
            <w:vAlign w:val="center"/>
            <w:hideMark/>
          </w:tcPr>
          <w:p w14:paraId="53D9AE13" w14:textId="77777777" w:rsidR="005F1D75" w:rsidRPr="005F1D75" w:rsidRDefault="005F1D75" w:rsidP="005F1D75">
            <w:pPr>
              <w:jc w:val="center"/>
              <w:rPr>
                <w:rFonts w:ascii="Verdana" w:hAnsi="Verdana" w:cs="Arial CE"/>
                <w:b/>
                <w:bCs/>
                <w:sz w:val="20"/>
                <w:szCs w:val="20"/>
              </w:rPr>
            </w:pPr>
            <w:r w:rsidRPr="005F1D75">
              <w:rPr>
                <w:rFonts w:ascii="Verdana" w:hAnsi="Verdana" w:cs="Arial CE"/>
                <w:b/>
                <w:bCs/>
                <w:sz w:val="20"/>
                <w:szCs w:val="20"/>
              </w:rPr>
              <w:t xml:space="preserve"> </w:t>
            </w:r>
            <w:proofErr w:type="spellStart"/>
            <w:r w:rsidRPr="005F1D75">
              <w:rPr>
                <w:rFonts w:ascii="Verdana" w:hAnsi="Verdana" w:cs="Arial CE"/>
                <w:b/>
                <w:bCs/>
                <w:sz w:val="20"/>
                <w:szCs w:val="20"/>
              </w:rPr>
              <w:t>FortiAnalyzer</w:t>
            </w:r>
            <w:proofErr w:type="spellEnd"/>
            <w:r w:rsidRPr="005F1D75">
              <w:rPr>
                <w:rFonts w:ascii="Verdana" w:hAnsi="Verdana" w:cs="Arial CE"/>
                <w:b/>
                <w:bCs/>
                <w:sz w:val="20"/>
                <w:szCs w:val="20"/>
              </w:rPr>
              <w:t>-VM</w:t>
            </w:r>
          </w:p>
        </w:tc>
        <w:tc>
          <w:tcPr>
            <w:tcW w:w="1900" w:type="dxa"/>
            <w:tcBorders>
              <w:top w:val="nil"/>
              <w:left w:val="nil"/>
              <w:bottom w:val="nil"/>
              <w:right w:val="nil"/>
            </w:tcBorders>
            <w:shd w:val="clear" w:color="000000" w:fill="D9D9D9"/>
            <w:vAlign w:val="center"/>
            <w:hideMark/>
          </w:tcPr>
          <w:p w14:paraId="60F7FACC" w14:textId="77777777" w:rsidR="005F1D75" w:rsidRPr="005F1D75" w:rsidRDefault="005F1D75" w:rsidP="005F1D75">
            <w:pPr>
              <w:jc w:val="left"/>
              <w:rPr>
                <w:rFonts w:ascii="Verdana" w:hAnsi="Verdana" w:cs="Arial CE"/>
                <w:b/>
                <w:bCs/>
                <w:sz w:val="20"/>
                <w:szCs w:val="20"/>
              </w:rPr>
            </w:pPr>
            <w:r w:rsidRPr="005F1D75">
              <w:rPr>
                <w:rFonts w:ascii="Verdana" w:hAnsi="Verdana" w:cs="Arial CE"/>
                <w:b/>
                <w:bCs/>
                <w:sz w:val="20"/>
                <w:szCs w:val="20"/>
              </w:rPr>
              <w:t xml:space="preserve">      60 423 Kč </w:t>
            </w:r>
          </w:p>
        </w:tc>
        <w:tc>
          <w:tcPr>
            <w:tcW w:w="2268" w:type="dxa"/>
            <w:tcBorders>
              <w:top w:val="nil"/>
              <w:left w:val="nil"/>
              <w:bottom w:val="nil"/>
              <w:right w:val="single" w:sz="8" w:space="0" w:color="auto"/>
            </w:tcBorders>
            <w:shd w:val="clear" w:color="000000" w:fill="D9D9D9"/>
            <w:vAlign w:val="center"/>
            <w:hideMark/>
          </w:tcPr>
          <w:p w14:paraId="245D5388" w14:textId="77777777" w:rsidR="005F1D75" w:rsidRPr="005F1D75" w:rsidRDefault="005F1D75" w:rsidP="005F1D75">
            <w:pPr>
              <w:jc w:val="left"/>
              <w:rPr>
                <w:rFonts w:ascii="Verdana" w:hAnsi="Verdana" w:cs="Arial CE"/>
                <w:b/>
                <w:bCs/>
                <w:sz w:val="20"/>
                <w:szCs w:val="20"/>
              </w:rPr>
            </w:pPr>
            <w:r w:rsidRPr="005F1D75">
              <w:rPr>
                <w:rFonts w:ascii="Verdana" w:hAnsi="Verdana" w:cs="Arial CE"/>
                <w:b/>
                <w:bCs/>
                <w:sz w:val="20"/>
                <w:szCs w:val="20"/>
              </w:rPr>
              <w:t>mezisoučet bez DPH</w:t>
            </w:r>
          </w:p>
        </w:tc>
      </w:tr>
      <w:tr w:rsidR="005F1D75" w:rsidRPr="005F1D75" w14:paraId="71D6C931" w14:textId="77777777" w:rsidTr="005F1D75">
        <w:trPr>
          <w:trHeight w:val="323"/>
        </w:trPr>
        <w:tc>
          <w:tcPr>
            <w:tcW w:w="2575" w:type="dxa"/>
            <w:tcBorders>
              <w:top w:val="nil"/>
              <w:left w:val="single" w:sz="8" w:space="0" w:color="auto"/>
              <w:bottom w:val="nil"/>
              <w:right w:val="nil"/>
            </w:tcBorders>
            <w:shd w:val="clear" w:color="auto" w:fill="auto"/>
            <w:noWrap/>
            <w:hideMark/>
          </w:tcPr>
          <w:p w14:paraId="404AB82E" w14:textId="77777777" w:rsidR="005F1D75" w:rsidRPr="005F1D75" w:rsidRDefault="005F1D75" w:rsidP="005F1D75">
            <w:pPr>
              <w:jc w:val="left"/>
              <w:rPr>
                <w:rFonts w:ascii="Verdana" w:hAnsi="Verdana" w:cs="Arial CE"/>
                <w:sz w:val="16"/>
                <w:szCs w:val="16"/>
              </w:rPr>
            </w:pPr>
            <w:r w:rsidRPr="005F1D75">
              <w:rPr>
                <w:rFonts w:ascii="Verdana" w:hAnsi="Verdana" w:cs="Arial CE"/>
                <w:sz w:val="16"/>
                <w:szCs w:val="16"/>
              </w:rPr>
              <w:t>FAZ-VM-BASE</w:t>
            </w:r>
          </w:p>
        </w:tc>
        <w:tc>
          <w:tcPr>
            <w:tcW w:w="8249" w:type="dxa"/>
            <w:gridSpan w:val="2"/>
            <w:tcBorders>
              <w:top w:val="nil"/>
              <w:left w:val="nil"/>
              <w:bottom w:val="nil"/>
              <w:right w:val="nil"/>
            </w:tcBorders>
            <w:shd w:val="clear" w:color="auto" w:fill="auto"/>
            <w:noWrap/>
            <w:hideMark/>
          </w:tcPr>
          <w:p w14:paraId="0D8883BF" w14:textId="77777777" w:rsidR="005F1D75" w:rsidRPr="005F1D75" w:rsidRDefault="005F1D75" w:rsidP="005F1D75">
            <w:pPr>
              <w:jc w:val="left"/>
              <w:rPr>
                <w:rFonts w:ascii="Verdana" w:hAnsi="Verdana" w:cs="Arial CE"/>
                <w:sz w:val="16"/>
                <w:szCs w:val="16"/>
              </w:rPr>
            </w:pPr>
            <w:r w:rsidRPr="005F1D75">
              <w:rPr>
                <w:rFonts w:ascii="Verdana" w:hAnsi="Verdana" w:cs="Arial CE"/>
                <w:sz w:val="16"/>
                <w:szCs w:val="16"/>
              </w:rPr>
              <w:t xml:space="preserve">Base </w:t>
            </w:r>
            <w:proofErr w:type="spellStart"/>
            <w:r w:rsidRPr="005F1D75">
              <w:rPr>
                <w:rFonts w:ascii="Verdana" w:hAnsi="Verdana" w:cs="Arial CE"/>
                <w:sz w:val="16"/>
                <w:szCs w:val="16"/>
              </w:rPr>
              <w:t>license</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for</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stackable</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FortiAnalyzer</w:t>
            </w:r>
            <w:proofErr w:type="spellEnd"/>
            <w:r w:rsidRPr="005F1D75">
              <w:rPr>
                <w:rFonts w:ascii="Verdana" w:hAnsi="Verdana" w:cs="Arial CE"/>
                <w:sz w:val="16"/>
                <w:szCs w:val="16"/>
              </w:rPr>
              <w:t>-VM; 1 GB/</w:t>
            </w:r>
            <w:proofErr w:type="spellStart"/>
            <w:r w:rsidRPr="005F1D75">
              <w:rPr>
                <w:rFonts w:ascii="Verdana" w:hAnsi="Verdana" w:cs="Arial CE"/>
                <w:sz w:val="16"/>
                <w:szCs w:val="16"/>
              </w:rPr>
              <w:t>Day</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of</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Logs</w:t>
            </w:r>
            <w:proofErr w:type="spellEnd"/>
            <w:r w:rsidRPr="005F1D75">
              <w:rPr>
                <w:rFonts w:ascii="Verdana" w:hAnsi="Verdana" w:cs="Arial CE"/>
                <w:sz w:val="16"/>
                <w:szCs w:val="16"/>
              </w:rPr>
              <w:t xml:space="preserve"> and 500 GB </w:t>
            </w:r>
            <w:proofErr w:type="spellStart"/>
            <w:r w:rsidRPr="005F1D75">
              <w:rPr>
                <w:rFonts w:ascii="Verdana" w:hAnsi="Verdana" w:cs="Arial CE"/>
                <w:sz w:val="16"/>
                <w:szCs w:val="16"/>
              </w:rPr>
              <w:t>storage</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capacity</w:t>
            </w:r>
            <w:proofErr w:type="spellEnd"/>
            <w:r w:rsidRPr="005F1D75">
              <w:rPr>
                <w:rFonts w:ascii="Verdana" w:hAnsi="Verdana" w:cs="Arial CE"/>
                <w:sz w:val="16"/>
                <w:szCs w:val="16"/>
              </w:rPr>
              <w:t>.</w:t>
            </w:r>
          </w:p>
        </w:tc>
        <w:tc>
          <w:tcPr>
            <w:tcW w:w="268" w:type="dxa"/>
            <w:tcBorders>
              <w:top w:val="nil"/>
              <w:left w:val="nil"/>
              <w:bottom w:val="nil"/>
              <w:right w:val="nil"/>
            </w:tcBorders>
            <w:shd w:val="clear" w:color="auto" w:fill="auto"/>
            <w:noWrap/>
            <w:hideMark/>
          </w:tcPr>
          <w:p w14:paraId="4932F15B"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1</w:t>
            </w:r>
          </w:p>
        </w:tc>
        <w:tc>
          <w:tcPr>
            <w:tcW w:w="1900" w:type="dxa"/>
            <w:tcBorders>
              <w:top w:val="nil"/>
              <w:left w:val="nil"/>
              <w:bottom w:val="nil"/>
              <w:right w:val="nil"/>
            </w:tcBorders>
            <w:shd w:val="clear" w:color="auto" w:fill="auto"/>
            <w:noWrap/>
            <w:hideMark/>
          </w:tcPr>
          <w:p w14:paraId="42620806" w14:textId="77777777" w:rsidR="005F1D75" w:rsidRPr="005F1D75" w:rsidRDefault="005F1D75" w:rsidP="005F1D75">
            <w:pPr>
              <w:jc w:val="center"/>
              <w:rPr>
                <w:rFonts w:ascii="Verdana" w:hAnsi="Verdana" w:cs="Arial CE"/>
                <w:sz w:val="16"/>
                <w:szCs w:val="16"/>
              </w:rPr>
            </w:pPr>
          </w:p>
        </w:tc>
        <w:tc>
          <w:tcPr>
            <w:tcW w:w="2268" w:type="dxa"/>
            <w:tcBorders>
              <w:top w:val="nil"/>
              <w:left w:val="nil"/>
              <w:bottom w:val="nil"/>
              <w:right w:val="single" w:sz="8" w:space="0" w:color="auto"/>
            </w:tcBorders>
            <w:shd w:val="clear" w:color="auto" w:fill="auto"/>
            <w:noWrap/>
            <w:hideMark/>
          </w:tcPr>
          <w:p w14:paraId="45DAB176"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 </w:t>
            </w:r>
          </w:p>
        </w:tc>
      </w:tr>
      <w:tr w:rsidR="005F1D75" w:rsidRPr="005F1D75" w14:paraId="252F0501" w14:textId="77777777" w:rsidTr="005F1D75">
        <w:trPr>
          <w:trHeight w:val="323"/>
        </w:trPr>
        <w:tc>
          <w:tcPr>
            <w:tcW w:w="2575" w:type="dxa"/>
            <w:tcBorders>
              <w:top w:val="nil"/>
              <w:left w:val="single" w:sz="8" w:space="0" w:color="auto"/>
              <w:bottom w:val="nil"/>
              <w:right w:val="nil"/>
            </w:tcBorders>
            <w:shd w:val="clear" w:color="auto" w:fill="auto"/>
            <w:noWrap/>
            <w:hideMark/>
          </w:tcPr>
          <w:p w14:paraId="57F14806" w14:textId="77777777" w:rsidR="005F1D75" w:rsidRPr="005F1D75" w:rsidRDefault="005F1D75" w:rsidP="005F1D75">
            <w:pPr>
              <w:jc w:val="left"/>
              <w:rPr>
                <w:rFonts w:ascii="Verdana" w:hAnsi="Verdana" w:cs="Arial CE"/>
                <w:sz w:val="16"/>
                <w:szCs w:val="16"/>
              </w:rPr>
            </w:pPr>
            <w:r w:rsidRPr="005F1D75">
              <w:rPr>
                <w:rFonts w:ascii="Verdana" w:hAnsi="Verdana" w:cs="Arial CE"/>
                <w:sz w:val="16"/>
                <w:szCs w:val="16"/>
              </w:rPr>
              <w:t>FAZ-VM-GB1</w:t>
            </w:r>
          </w:p>
        </w:tc>
        <w:tc>
          <w:tcPr>
            <w:tcW w:w="8129" w:type="dxa"/>
            <w:tcBorders>
              <w:top w:val="nil"/>
              <w:left w:val="nil"/>
              <w:bottom w:val="nil"/>
              <w:right w:val="nil"/>
            </w:tcBorders>
            <w:shd w:val="clear" w:color="auto" w:fill="auto"/>
            <w:noWrap/>
            <w:hideMark/>
          </w:tcPr>
          <w:p w14:paraId="5E64E552" w14:textId="77777777" w:rsidR="005F1D75" w:rsidRPr="005F1D75" w:rsidRDefault="005F1D75" w:rsidP="005F1D75">
            <w:pPr>
              <w:jc w:val="left"/>
              <w:rPr>
                <w:rFonts w:ascii="Verdana" w:hAnsi="Verdana" w:cs="Arial CE"/>
                <w:sz w:val="16"/>
                <w:szCs w:val="16"/>
              </w:rPr>
            </w:pPr>
            <w:r w:rsidRPr="005F1D75">
              <w:rPr>
                <w:rFonts w:ascii="Verdana" w:hAnsi="Verdana" w:cs="Arial CE"/>
                <w:sz w:val="16"/>
                <w:szCs w:val="16"/>
              </w:rPr>
              <w:t xml:space="preserve">Upgrade </w:t>
            </w:r>
            <w:proofErr w:type="spellStart"/>
            <w:r w:rsidRPr="005F1D75">
              <w:rPr>
                <w:rFonts w:ascii="Verdana" w:hAnsi="Verdana" w:cs="Arial CE"/>
                <w:sz w:val="16"/>
                <w:szCs w:val="16"/>
              </w:rPr>
              <w:t>license</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for</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adding</w:t>
            </w:r>
            <w:proofErr w:type="spellEnd"/>
            <w:r w:rsidRPr="005F1D75">
              <w:rPr>
                <w:rFonts w:ascii="Verdana" w:hAnsi="Verdana" w:cs="Arial CE"/>
                <w:sz w:val="16"/>
                <w:szCs w:val="16"/>
              </w:rPr>
              <w:t xml:space="preserve"> 1 GB/</w:t>
            </w:r>
            <w:proofErr w:type="spellStart"/>
            <w:r w:rsidRPr="005F1D75">
              <w:rPr>
                <w:rFonts w:ascii="Verdana" w:hAnsi="Verdana" w:cs="Arial CE"/>
                <w:sz w:val="16"/>
                <w:szCs w:val="16"/>
              </w:rPr>
              <w:t>Day</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of</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Logs</w:t>
            </w:r>
            <w:proofErr w:type="spellEnd"/>
            <w:r w:rsidRPr="005F1D75">
              <w:rPr>
                <w:rFonts w:ascii="Verdana" w:hAnsi="Verdana" w:cs="Arial CE"/>
                <w:sz w:val="16"/>
                <w:szCs w:val="16"/>
              </w:rPr>
              <w:t xml:space="preserve"> and 500 GB </w:t>
            </w:r>
            <w:proofErr w:type="spellStart"/>
            <w:r w:rsidRPr="005F1D75">
              <w:rPr>
                <w:rFonts w:ascii="Verdana" w:hAnsi="Verdana" w:cs="Arial CE"/>
                <w:sz w:val="16"/>
                <w:szCs w:val="16"/>
              </w:rPr>
              <w:t>storage</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capacity</w:t>
            </w:r>
            <w:proofErr w:type="spellEnd"/>
            <w:r w:rsidRPr="005F1D75">
              <w:rPr>
                <w:rFonts w:ascii="Verdana" w:hAnsi="Verdana" w:cs="Arial CE"/>
                <w:sz w:val="16"/>
                <w:szCs w:val="16"/>
              </w:rPr>
              <w:t>.</w:t>
            </w:r>
          </w:p>
        </w:tc>
        <w:tc>
          <w:tcPr>
            <w:tcW w:w="120" w:type="dxa"/>
            <w:tcBorders>
              <w:top w:val="nil"/>
              <w:left w:val="nil"/>
              <w:bottom w:val="nil"/>
              <w:right w:val="nil"/>
            </w:tcBorders>
            <w:shd w:val="clear" w:color="auto" w:fill="auto"/>
            <w:noWrap/>
            <w:hideMark/>
          </w:tcPr>
          <w:p w14:paraId="5FBE5E24" w14:textId="77777777" w:rsidR="005F1D75" w:rsidRPr="005F1D75" w:rsidRDefault="005F1D75" w:rsidP="005F1D75">
            <w:pPr>
              <w:jc w:val="left"/>
              <w:rPr>
                <w:rFonts w:ascii="Verdana" w:hAnsi="Verdana" w:cs="Arial CE"/>
                <w:sz w:val="16"/>
                <w:szCs w:val="16"/>
              </w:rPr>
            </w:pPr>
          </w:p>
        </w:tc>
        <w:tc>
          <w:tcPr>
            <w:tcW w:w="268" w:type="dxa"/>
            <w:tcBorders>
              <w:top w:val="nil"/>
              <w:left w:val="nil"/>
              <w:bottom w:val="nil"/>
              <w:right w:val="nil"/>
            </w:tcBorders>
            <w:shd w:val="clear" w:color="auto" w:fill="auto"/>
            <w:noWrap/>
            <w:hideMark/>
          </w:tcPr>
          <w:p w14:paraId="252E85BD"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1</w:t>
            </w:r>
          </w:p>
        </w:tc>
        <w:tc>
          <w:tcPr>
            <w:tcW w:w="1900" w:type="dxa"/>
            <w:tcBorders>
              <w:top w:val="nil"/>
              <w:left w:val="nil"/>
              <w:bottom w:val="nil"/>
              <w:right w:val="nil"/>
            </w:tcBorders>
            <w:shd w:val="clear" w:color="auto" w:fill="auto"/>
            <w:noWrap/>
            <w:hideMark/>
          </w:tcPr>
          <w:p w14:paraId="04CD6467" w14:textId="77777777" w:rsidR="005F1D75" w:rsidRPr="005F1D75" w:rsidRDefault="005F1D75" w:rsidP="005F1D75">
            <w:pPr>
              <w:jc w:val="center"/>
              <w:rPr>
                <w:rFonts w:ascii="Verdana" w:hAnsi="Verdana" w:cs="Arial CE"/>
                <w:sz w:val="16"/>
                <w:szCs w:val="16"/>
              </w:rPr>
            </w:pPr>
          </w:p>
        </w:tc>
        <w:tc>
          <w:tcPr>
            <w:tcW w:w="2268" w:type="dxa"/>
            <w:tcBorders>
              <w:top w:val="nil"/>
              <w:left w:val="nil"/>
              <w:bottom w:val="nil"/>
              <w:right w:val="single" w:sz="8" w:space="0" w:color="auto"/>
            </w:tcBorders>
            <w:shd w:val="clear" w:color="auto" w:fill="auto"/>
            <w:noWrap/>
            <w:hideMark/>
          </w:tcPr>
          <w:p w14:paraId="5691747F"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 </w:t>
            </w:r>
          </w:p>
        </w:tc>
      </w:tr>
      <w:tr w:rsidR="005F1D75" w:rsidRPr="005F1D75" w14:paraId="2424591E" w14:textId="77777777" w:rsidTr="005F1D75">
        <w:trPr>
          <w:trHeight w:val="323"/>
        </w:trPr>
        <w:tc>
          <w:tcPr>
            <w:tcW w:w="2575" w:type="dxa"/>
            <w:tcBorders>
              <w:top w:val="nil"/>
              <w:left w:val="single" w:sz="8" w:space="0" w:color="auto"/>
              <w:bottom w:val="nil"/>
              <w:right w:val="nil"/>
            </w:tcBorders>
            <w:shd w:val="clear" w:color="auto" w:fill="auto"/>
            <w:noWrap/>
            <w:hideMark/>
          </w:tcPr>
          <w:p w14:paraId="17DFBB2D" w14:textId="77777777" w:rsidR="005F1D75" w:rsidRPr="005F1D75" w:rsidRDefault="005F1D75" w:rsidP="005F1D75">
            <w:pPr>
              <w:jc w:val="left"/>
              <w:rPr>
                <w:rFonts w:ascii="Verdana" w:hAnsi="Verdana" w:cs="Arial CE"/>
                <w:sz w:val="16"/>
                <w:szCs w:val="16"/>
              </w:rPr>
            </w:pPr>
            <w:r w:rsidRPr="005F1D75">
              <w:rPr>
                <w:rFonts w:ascii="Verdana" w:hAnsi="Verdana" w:cs="Arial CE"/>
                <w:sz w:val="16"/>
                <w:szCs w:val="16"/>
              </w:rPr>
              <w:t>FC1-10-LV0VM-248-02-12</w:t>
            </w:r>
          </w:p>
        </w:tc>
        <w:tc>
          <w:tcPr>
            <w:tcW w:w="8129" w:type="dxa"/>
            <w:tcBorders>
              <w:top w:val="nil"/>
              <w:left w:val="nil"/>
              <w:bottom w:val="nil"/>
              <w:right w:val="nil"/>
            </w:tcBorders>
            <w:shd w:val="clear" w:color="auto" w:fill="auto"/>
            <w:noWrap/>
            <w:hideMark/>
          </w:tcPr>
          <w:p w14:paraId="7D1C6F95" w14:textId="77777777" w:rsidR="005F1D75" w:rsidRPr="005F1D75" w:rsidRDefault="005F1D75" w:rsidP="005F1D75">
            <w:pPr>
              <w:jc w:val="left"/>
              <w:rPr>
                <w:rFonts w:ascii="Verdana" w:hAnsi="Verdana" w:cs="Arial CE"/>
                <w:sz w:val="16"/>
                <w:szCs w:val="16"/>
              </w:rPr>
            </w:pPr>
            <w:proofErr w:type="spellStart"/>
            <w:r w:rsidRPr="005F1D75">
              <w:rPr>
                <w:rFonts w:ascii="Verdana" w:hAnsi="Verdana" w:cs="Arial CE"/>
                <w:sz w:val="16"/>
                <w:szCs w:val="16"/>
              </w:rPr>
              <w:t>FortiAnalyzer</w:t>
            </w:r>
            <w:proofErr w:type="spellEnd"/>
            <w:r w:rsidRPr="005F1D75">
              <w:rPr>
                <w:rFonts w:ascii="Verdana" w:hAnsi="Verdana" w:cs="Arial CE"/>
                <w:sz w:val="16"/>
                <w:szCs w:val="16"/>
              </w:rPr>
              <w:t xml:space="preserve"> VM, 24x7 </w:t>
            </w:r>
            <w:proofErr w:type="spellStart"/>
            <w:r w:rsidRPr="005F1D75">
              <w:rPr>
                <w:rFonts w:ascii="Verdana" w:hAnsi="Verdana" w:cs="Arial CE"/>
                <w:sz w:val="16"/>
                <w:szCs w:val="16"/>
              </w:rPr>
              <w:t>FortiCare</w:t>
            </w:r>
            <w:proofErr w:type="spellEnd"/>
            <w:r w:rsidRPr="005F1D75">
              <w:rPr>
                <w:rFonts w:ascii="Verdana" w:hAnsi="Verdana" w:cs="Arial CE"/>
                <w:sz w:val="16"/>
                <w:szCs w:val="16"/>
              </w:rPr>
              <w:t xml:space="preserve">  (</w:t>
            </w:r>
            <w:proofErr w:type="spellStart"/>
            <w:r w:rsidRPr="005F1D75">
              <w:rPr>
                <w:rFonts w:ascii="Verdana" w:hAnsi="Verdana" w:cs="Arial CE"/>
                <w:sz w:val="16"/>
                <w:szCs w:val="16"/>
              </w:rPr>
              <w:t>for</w:t>
            </w:r>
            <w:proofErr w:type="spellEnd"/>
            <w:r w:rsidRPr="005F1D75">
              <w:rPr>
                <w:rFonts w:ascii="Verdana" w:hAnsi="Verdana" w:cs="Arial CE"/>
                <w:sz w:val="16"/>
                <w:szCs w:val="16"/>
              </w:rPr>
              <w:t xml:space="preserve"> 1-6 GB </w:t>
            </w:r>
            <w:proofErr w:type="spellStart"/>
            <w:r w:rsidRPr="005F1D75">
              <w:rPr>
                <w:rFonts w:ascii="Verdana" w:hAnsi="Verdana" w:cs="Arial CE"/>
                <w:sz w:val="16"/>
                <w:szCs w:val="16"/>
              </w:rPr>
              <w:t>Logs</w:t>
            </w:r>
            <w:proofErr w:type="spellEnd"/>
            <w:r w:rsidRPr="005F1D75">
              <w:rPr>
                <w:rFonts w:ascii="Verdana" w:hAnsi="Verdana" w:cs="Arial CE"/>
                <w:sz w:val="16"/>
                <w:szCs w:val="16"/>
              </w:rPr>
              <w:t>/</w:t>
            </w:r>
            <w:proofErr w:type="spellStart"/>
            <w:r w:rsidRPr="005F1D75">
              <w:rPr>
                <w:rFonts w:ascii="Verdana" w:hAnsi="Verdana" w:cs="Arial CE"/>
                <w:sz w:val="16"/>
                <w:szCs w:val="16"/>
              </w:rPr>
              <w:t>Day</w:t>
            </w:r>
            <w:proofErr w:type="spellEnd"/>
            <w:r w:rsidRPr="005F1D75">
              <w:rPr>
                <w:rFonts w:ascii="Verdana" w:hAnsi="Verdana" w:cs="Arial CE"/>
                <w:sz w:val="16"/>
                <w:szCs w:val="16"/>
              </w:rPr>
              <w:t>) 1YR</w:t>
            </w:r>
          </w:p>
        </w:tc>
        <w:tc>
          <w:tcPr>
            <w:tcW w:w="120" w:type="dxa"/>
            <w:tcBorders>
              <w:top w:val="nil"/>
              <w:left w:val="nil"/>
              <w:bottom w:val="nil"/>
              <w:right w:val="nil"/>
            </w:tcBorders>
            <w:shd w:val="clear" w:color="auto" w:fill="auto"/>
            <w:noWrap/>
            <w:hideMark/>
          </w:tcPr>
          <w:p w14:paraId="46F196D9" w14:textId="77777777" w:rsidR="005F1D75" w:rsidRPr="005F1D75" w:rsidRDefault="005F1D75" w:rsidP="005F1D75">
            <w:pPr>
              <w:jc w:val="left"/>
              <w:rPr>
                <w:rFonts w:ascii="Verdana" w:hAnsi="Verdana" w:cs="Arial CE"/>
                <w:sz w:val="16"/>
                <w:szCs w:val="16"/>
              </w:rPr>
            </w:pPr>
          </w:p>
        </w:tc>
        <w:tc>
          <w:tcPr>
            <w:tcW w:w="268" w:type="dxa"/>
            <w:tcBorders>
              <w:top w:val="nil"/>
              <w:left w:val="nil"/>
              <w:bottom w:val="nil"/>
              <w:right w:val="nil"/>
            </w:tcBorders>
            <w:shd w:val="clear" w:color="auto" w:fill="auto"/>
            <w:noWrap/>
            <w:hideMark/>
          </w:tcPr>
          <w:p w14:paraId="3D34D614"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1</w:t>
            </w:r>
          </w:p>
        </w:tc>
        <w:tc>
          <w:tcPr>
            <w:tcW w:w="1900" w:type="dxa"/>
            <w:tcBorders>
              <w:top w:val="nil"/>
              <w:left w:val="nil"/>
              <w:bottom w:val="nil"/>
              <w:right w:val="nil"/>
            </w:tcBorders>
            <w:shd w:val="clear" w:color="auto" w:fill="auto"/>
            <w:noWrap/>
            <w:hideMark/>
          </w:tcPr>
          <w:p w14:paraId="2F058F8A" w14:textId="77777777" w:rsidR="005F1D75" w:rsidRPr="005F1D75" w:rsidRDefault="005F1D75" w:rsidP="005F1D75">
            <w:pPr>
              <w:jc w:val="center"/>
              <w:rPr>
                <w:rFonts w:ascii="Verdana" w:hAnsi="Verdana" w:cs="Arial CE"/>
                <w:sz w:val="16"/>
                <w:szCs w:val="16"/>
              </w:rPr>
            </w:pPr>
          </w:p>
        </w:tc>
        <w:tc>
          <w:tcPr>
            <w:tcW w:w="2268" w:type="dxa"/>
            <w:tcBorders>
              <w:top w:val="nil"/>
              <w:left w:val="nil"/>
              <w:bottom w:val="nil"/>
              <w:right w:val="single" w:sz="8" w:space="0" w:color="auto"/>
            </w:tcBorders>
            <w:shd w:val="clear" w:color="auto" w:fill="auto"/>
            <w:noWrap/>
            <w:hideMark/>
          </w:tcPr>
          <w:p w14:paraId="0360658C"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 </w:t>
            </w:r>
          </w:p>
        </w:tc>
      </w:tr>
      <w:tr w:rsidR="005F1D75" w:rsidRPr="005F1D75" w14:paraId="43FBEA48" w14:textId="77777777" w:rsidTr="005F1D75">
        <w:trPr>
          <w:trHeight w:val="398"/>
        </w:trPr>
        <w:tc>
          <w:tcPr>
            <w:tcW w:w="11092" w:type="dxa"/>
            <w:gridSpan w:val="4"/>
            <w:tcBorders>
              <w:top w:val="nil"/>
              <w:left w:val="single" w:sz="8" w:space="0" w:color="auto"/>
              <w:bottom w:val="nil"/>
              <w:right w:val="nil"/>
            </w:tcBorders>
            <w:shd w:val="clear" w:color="000000" w:fill="D9D9D9"/>
            <w:vAlign w:val="center"/>
            <w:hideMark/>
          </w:tcPr>
          <w:p w14:paraId="217BA2A6" w14:textId="77777777" w:rsidR="005F1D75" w:rsidRPr="005F1D75" w:rsidRDefault="005F1D75" w:rsidP="005F1D75">
            <w:pPr>
              <w:jc w:val="center"/>
              <w:rPr>
                <w:rFonts w:ascii="Verdana" w:hAnsi="Verdana" w:cs="Arial CE"/>
                <w:b/>
                <w:bCs/>
              </w:rPr>
            </w:pPr>
            <w:r w:rsidRPr="005F1D75">
              <w:rPr>
                <w:rFonts w:ascii="Verdana" w:hAnsi="Verdana" w:cs="Arial CE"/>
                <w:b/>
                <w:bCs/>
              </w:rPr>
              <w:t>Implementace</w:t>
            </w:r>
          </w:p>
        </w:tc>
        <w:tc>
          <w:tcPr>
            <w:tcW w:w="1900" w:type="dxa"/>
            <w:tcBorders>
              <w:top w:val="nil"/>
              <w:left w:val="nil"/>
              <w:bottom w:val="nil"/>
              <w:right w:val="nil"/>
            </w:tcBorders>
            <w:shd w:val="clear" w:color="000000" w:fill="D9D9D9"/>
            <w:vAlign w:val="center"/>
            <w:hideMark/>
          </w:tcPr>
          <w:p w14:paraId="1F1B9079" w14:textId="77777777" w:rsidR="005F1D75" w:rsidRPr="005F1D75" w:rsidRDefault="005F1D75" w:rsidP="005F1D75">
            <w:pPr>
              <w:jc w:val="left"/>
              <w:rPr>
                <w:rFonts w:ascii="Verdana" w:hAnsi="Verdana" w:cs="Arial CE"/>
                <w:b/>
                <w:bCs/>
                <w:sz w:val="20"/>
                <w:szCs w:val="20"/>
              </w:rPr>
            </w:pPr>
            <w:r w:rsidRPr="005F1D75">
              <w:rPr>
                <w:rFonts w:ascii="Verdana" w:hAnsi="Verdana" w:cs="Arial CE"/>
                <w:b/>
                <w:bCs/>
                <w:sz w:val="20"/>
                <w:szCs w:val="20"/>
              </w:rPr>
              <w:t xml:space="preserve">      60 000 Kč </w:t>
            </w:r>
          </w:p>
        </w:tc>
        <w:tc>
          <w:tcPr>
            <w:tcW w:w="2268" w:type="dxa"/>
            <w:tcBorders>
              <w:top w:val="nil"/>
              <w:left w:val="nil"/>
              <w:bottom w:val="nil"/>
              <w:right w:val="single" w:sz="8" w:space="0" w:color="auto"/>
            </w:tcBorders>
            <w:shd w:val="clear" w:color="000000" w:fill="D9D9D9"/>
            <w:vAlign w:val="center"/>
            <w:hideMark/>
          </w:tcPr>
          <w:p w14:paraId="7F824772" w14:textId="77777777" w:rsidR="005F1D75" w:rsidRPr="005F1D75" w:rsidRDefault="005F1D75" w:rsidP="005F1D75">
            <w:pPr>
              <w:jc w:val="left"/>
              <w:rPr>
                <w:rFonts w:ascii="Verdana" w:hAnsi="Verdana" w:cs="Arial CE"/>
                <w:b/>
                <w:bCs/>
                <w:sz w:val="20"/>
                <w:szCs w:val="20"/>
              </w:rPr>
            </w:pPr>
            <w:r w:rsidRPr="005F1D75">
              <w:rPr>
                <w:rFonts w:ascii="Verdana" w:hAnsi="Verdana" w:cs="Arial CE"/>
                <w:b/>
                <w:bCs/>
                <w:sz w:val="20"/>
                <w:szCs w:val="20"/>
              </w:rPr>
              <w:t>mezisoučet bez DPH</w:t>
            </w:r>
          </w:p>
        </w:tc>
      </w:tr>
      <w:tr w:rsidR="005F1D75" w:rsidRPr="005F1D75" w14:paraId="17D09672" w14:textId="77777777" w:rsidTr="005F1D75">
        <w:trPr>
          <w:trHeight w:val="398"/>
        </w:trPr>
        <w:tc>
          <w:tcPr>
            <w:tcW w:w="2575" w:type="dxa"/>
            <w:tcBorders>
              <w:top w:val="nil"/>
              <w:left w:val="single" w:sz="8" w:space="0" w:color="auto"/>
              <w:bottom w:val="single" w:sz="8" w:space="0" w:color="auto"/>
              <w:right w:val="nil"/>
            </w:tcBorders>
            <w:shd w:val="clear" w:color="auto" w:fill="auto"/>
            <w:noWrap/>
            <w:hideMark/>
          </w:tcPr>
          <w:p w14:paraId="3257AE63" w14:textId="77777777" w:rsidR="005F1D75" w:rsidRPr="005F1D75" w:rsidRDefault="005F1D75" w:rsidP="005F1D75">
            <w:pPr>
              <w:jc w:val="left"/>
              <w:rPr>
                <w:rFonts w:ascii="Verdana" w:hAnsi="Verdana" w:cs="Arial CE"/>
                <w:sz w:val="16"/>
                <w:szCs w:val="16"/>
              </w:rPr>
            </w:pPr>
            <w:r w:rsidRPr="005F1D75">
              <w:rPr>
                <w:rFonts w:ascii="Verdana" w:hAnsi="Verdana" w:cs="Arial CE"/>
                <w:sz w:val="16"/>
                <w:szCs w:val="16"/>
              </w:rPr>
              <w:t>BS práce</w:t>
            </w:r>
          </w:p>
        </w:tc>
        <w:tc>
          <w:tcPr>
            <w:tcW w:w="8129" w:type="dxa"/>
            <w:tcBorders>
              <w:top w:val="nil"/>
              <w:left w:val="nil"/>
              <w:bottom w:val="single" w:sz="8" w:space="0" w:color="auto"/>
              <w:right w:val="nil"/>
            </w:tcBorders>
            <w:shd w:val="clear" w:color="auto" w:fill="auto"/>
            <w:hideMark/>
          </w:tcPr>
          <w:p w14:paraId="68C9EAD2" w14:textId="77777777" w:rsidR="005F1D75" w:rsidRPr="005F1D75" w:rsidRDefault="005F1D75" w:rsidP="005F1D75">
            <w:pPr>
              <w:jc w:val="left"/>
              <w:rPr>
                <w:rFonts w:ascii="Verdana" w:hAnsi="Verdana" w:cs="Arial CE"/>
                <w:sz w:val="16"/>
                <w:szCs w:val="16"/>
              </w:rPr>
            </w:pPr>
            <w:r w:rsidRPr="005F1D75">
              <w:rPr>
                <w:rFonts w:ascii="Verdana" w:hAnsi="Verdana" w:cs="Arial CE"/>
                <w:sz w:val="16"/>
                <w:szCs w:val="16"/>
              </w:rPr>
              <w:t xml:space="preserve">Kompletní instalace dle požadavku v ZD a článku IV. Smlouvy </w:t>
            </w:r>
          </w:p>
        </w:tc>
        <w:tc>
          <w:tcPr>
            <w:tcW w:w="120" w:type="dxa"/>
            <w:tcBorders>
              <w:top w:val="nil"/>
              <w:left w:val="nil"/>
              <w:bottom w:val="single" w:sz="8" w:space="0" w:color="auto"/>
              <w:right w:val="nil"/>
            </w:tcBorders>
            <w:shd w:val="clear" w:color="auto" w:fill="auto"/>
            <w:noWrap/>
            <w:hideMark/>
          </w:tcPr>
          <w:p w14:paraId="254278D8"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 </w:t>
            </w:r>
          </w:p>
        </w:tc>
        <w:tc>
          <w:tcPr>
            <w:tcW w:w="268" w:type="dxa"/>
            <w:tcBorders>
              <w:top w:val="nil"/>
              <w:left w:val="nil"/>
              <w:bottom w:val="single" w:sz="8" w:space="0" w:color="auto"/>
              <w:right w:val="nil"/>
            </w:tcBorders>
            <w:shd w:val="clear" w:color="auto" w:fill="auto"/>
            <w:noWrap/>
            <w:hideMark/>
          </w:tcPr>
          <w:p w14:paraId="0222C84B"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1</w:t>
            </w:r>
          </w:p>
        </w:tc>
        <w:tc>
          <w:tcPr>
            <w:tcW w:w="1900" w:type="dxa"/>
            <w:tcBorders>
              <w:top w:val="nil"/>
              <w:left w:val="nil"/>
              <w:bottom w:val="single" w:sz="8" w:space="0" w:color="auto"/>
              <w:right w:val="nil"/>
            </w:tcBorders>
            <w:shd w:val="clear" w:color="auto" w:fill="auto"/>
            <w:noWrap/>
            <w:hideMark/>
          </w:tcPr>
          <w:p w14:paraId="0B6AA636" w14:textId="77777777" w:rsidR="005F1D75" w:rsidRPr="005F1D75" w:rsidRDefault="005F1D75" w:rsidP="005F1D75">
            <w:pPr>
              <w:jc w:val="right"/>
              <w:rPr>
                <w:rFonts w:ascii="Verdana" w:hAnsi="Verdana" w:cs="Arial CE"/>
                <w:sz w:val="16"/>
                <w:szCs w:val="16"/>
              </w:rPr>
            </w:pPr>
            <w:r w:rsidRPr="005F1D75">
              <w:rPr>
                <w:rFonts w:ascii="Verdana" w:hAnsi="Verdana" w:cs="Arial CE"/>
                <w:sz w:val="16"/>
                <w:szCs w:val="16"/>
              </w:rPr>
              <w:t> </w:t>
            </w:r>
          </w:p>
        </w:tc>
        <w:tc>
          <w:tcPr>
            <w:tcW w:w="2268" w:type="dxa"/>
            <w:tcBorders>
              <w:top w:val="nil"/>
              <w:left w:val="nil"/>
              <w:bottom w:val="single" w:sz="8" w:space="0" w:color="auto"/>
              <w:right w:val="single" w:sz="8" w:space="0" w:color="auto"/>
            </w:tcBorders>
            <w:shd w:val="clear" w:color="auto" w:fill="auto"/>
            <w:noWrap/>
            <w:hideMark/>
          </w:tcPr>
          <w:p w14:paraId="15772B9B" w14:textId="77777777" w:rsidR="005F1D75" w:rsidRPr="005F1D75" w:rsidRDefault="005F1D75" w:rsidP="005F1D75">
            <w:pPr>
              <w:jc w:val="center"/>
              <w:rPr>
                <w:rFonts w:ascii="Verdana" w:hAnsi="Verdana" w:cs="Arial CE"/>
                <w:sz w:val="16"/>
                <w:szCs w:val="16"/>
              </w:rPr>
            </w:pPr>
            <w:r w:rsidRPr="005F1D75">
              <w:rPr>
                <w:rFonts w:ascii="Verdana" w:hAnsi="Verdana" w:cs="Arial CE"/>
                <w:sz w:val="16"/>
                <w:szCs w:val="16"/>
              </w:rPr>
              <w:t> </w:t>
            </w:r>
          </w:p>
        </w:tc>
      </w:tr>
      <w:tr w:rsidR="005F1D75" w:rsidRPr="005F1D75" w14:paraId="71CD9277" w14:textId="77777777" w:rsidTr="005F1D75">
        <w:trPr>
          <w:trHeight w:val="300"/>
        </w:trPr>
        <w:tc>
          <w:tcPr>
            <w:tcW w:w="2575" w:type="dxa"/>
            <w:tcBorders>
              <w:top w:val="nil"/>
              <w:left w:val="single" w:sz="8" w:space="0" w:color="auto"/>
              <w:bottom w:val="nil"/>
              <w:right w:val="nil"/>
            </w:tcBorders>
            <w:shd w:val="clear" w:color="000000" w:fill="0070C0"/>
            <w:noWrap/>
            <w:vAlign w:val="center"/>
            <w:hideMark/>
          </w:tcPr>
          <w:p w14:paraId="38284009" w14:textId="77777777" w:rsidR="005F1D75" w:rsidRPr="005F1D75" w:rsidRDefault="005F1D75" w:rsidP="005F1D75">
            <w:pPr>
              <w:jc w:val="left"/>
              <w:rPr>
                <w:rFonts w:ascii="Verdana" w:hAnsi="Verdana" w:cs="Arial CE"/>
                <w:b/>
                <w:bCs/>
                <w:color w:val="FFFFFF"/>
                <w:sz w:val="20"/>
                <w:szCs w:val="20"/>
              </w:rPr>
            </w:pPr>
            <w:r w:rsidRPr="005F1D75">
              <w:rPr>
                <w:rFonts w:ascii="Verdana" w:hAnsi="Verdana" w:cs="Arial CE"/>
                <w:b/>
                <w:bCs/>
                <w:color w:val="FFFFFF"/>
                <w:sz w:val="20"/>
                <w:szCs w:val="20"/>
              </w:rPr>
              <w:t>Celkem bez DPH:</w:t>
            </w:r>
          </w:p>
        </w:tc>
        <w:tc>
          <w:tcPr>
            <w:tcW w:w="8129" w:type="dxa"/>
            <w:tcBorders>
              <w:top w:val="nil"/>
              <w:left w:val="nil"/>
              <w:bottom w:val="nil"/>
              <w:right w:val="nil"/>
            </w:tcBorders>
            <w:shd w:val="clear" w:color="000000" w:fill="0070C0"/>
            <w:noWrap/>
            <w:vAlign w:val="center"/>
            <w:hideMark/>
          </w:tcPr>
          <w:p w14:paraId="7B2D6654" w14:textId="77777777" w:rsidR="005F1D75" w:rsidRPr="005F1D75" w:rsidRDefault="005F1D75" w:rsidP="005F1D75">
            <w:pPr>
              <w:jc w:val="left"/>
              <w:rPr>
                <w:rFonts w:ascii="Verdana" w:hAnsi="Verdana" w:cs="Arial CE"/>
                <w:b/>
                <w:bCs/>
                <w:color w:val="FFFFFF"/>
                <w:sz w:val="20"/>
                <w:szCs w:val="20"/>
              </w:rPr>
            </w:pPr>
            <w:r w:rsidRPr="005F1D75">
              <w:rPr>
                <w:rFonts w:ascii="Verdana" w:hAnsi="Verdana" w:cs="Arial CE"/>
                <w:b/>
                <w:bCs/>
                <w:color w:val="FFFFFF"/>
                <w:sz w:val="20"/>
                <w:szCs w:val="20"/>
              </w:rPr>
              <w:t> </w:t>
            </w:r>
          </w:p>
        </w:tc>
        <w:tc>
          <w:tcPr>
            <w:tcW w:w="120" w:type="dxa"/>
            <w:tcBorders>
              <w:top w:val="nil"/>
              <w:left w:val="nil"/>
              <w:bottom w:val="nil"/>
              <w:right w:val="nil"/>
            </w:tcBorders>
            <w:shd w:val="clear" w:color="000000" w:fill="0070C0"/>
            <w:noWrap/>
            <w:vAlign w:val="center"/>
            <w:hideMark/>
          </w:tcPr>
          <w:p w14:paraId="17BBB0EF" w14:textId="77777777" w:rsidR="005F1D75" w:rsidRPr="005F1D75" w:rsidRDefault="005F1D75" w:rsidP="005F1D75">
            <w:pPr>
              <w:jc w:val="left"/>
              <w:rPr>
                <w:rFonts w:ascii="Verdana" w:hAnsi="Verdana" w:cs="Arial CE"/>
                <w:b/>
                <w:bCs/>
                <w:color w:val="FFFFFF"/>
                <w:sz w:val="20"/>
                <w:szCs w:val="20"/>
              </w:rPr>
            </w:pPr>
            <w:r w:rsidRPr="005F1D75">
              <w:rPr>
                <w:rFonts w:ascii="Verdana" w:hAnsi="Verdana" w:cs="Arial CE"/>
                <w:b/>
                <w:bCs/>
                <w:color w:val="FFFFFF"/>
                <w:sz w:val="20"/>
                <w:szCs w:val="20"/>
              </w:rPr>
              <w:t> </w:t>
            </w:r>
          </w:p>
        </w:tc>
        <w:tc>
          <w:tcPr>
            <w:tcW w:w="268" w:type="dxa"/>
            <w:tcBorders>
              <w:top w:val="nil"/>
              <w:left w:val="nil"/>
              <w:bottom w:val="nil"/>
              <w:right w:val="nil"/>
            </w:tcBorders>
            <w:shd w:val="clear" w:color="000000" w:fill="0070C0"/>
            <w:noWrap/>
            <w:vAlign w:val="center"/>
            <w:hideMark/>
          </w:tcPr>
          <w:p w14:paraId="167F8397" w14:textId="77777777" w:rsidR="005F1D75" w:rsidRPr="005F1D75" w:rsidRDefault="005F1D75" w:rsidP="005F1D75">
            <w:pPr>
              <w:jc w:val="left"/>
              <w:rPr>
                <w:rFonts w:ascii="Verdana" w:hAnsi="Verdana" w:cs="Arial CE"/>
                <w:b/>
                <w:bCs/>
                <w:color w:val="FFFFFF"/>
                <w:sz w:val="20"/>
                <w:szCs w:val="20"/>
              </w:rPr>
            </w:pPr>
            <w:r w:rsidRPr="005F1D75">
              <w:rPr>
                <w:rFonts w:ascii="Verdana" w:hAnsi="Verdana" w:cs="Arial CE"/>
                <w:b/>
                <w:bCs/>
                <w:color w:val="FFFFFF"/>
                <w:sz w:val="20"/>
                <w:szCs w:val="20"/>
              </w:rPr>
              <w:t> </w:t>
            </w:r>
          </w:p>
        </w:tc>
        <w:tc>
          <w:tcPr>
            <w:tcW w:w="1900" w:type="dxa"/>
            <w:tcBorders>
              <w:top w:val="nil"/>
              <w:left w:val="nil"/>
              <w:bottom w:val="nil"/>
              <w:right w:val="nil"/>
            </w:tcBorders>
            <w:shd w:val="clear" w:color="000000" w:fill="0070C0"/>
            <w:noWrap/>
            <w:vAlign w:val="center"/>
            <w:hideMark/>
          </w:tcPr>
          <w:p w14:paraId="34E7E543" w14:textId="77777777" w:rsidR="005F1D75" w:rsidRPr="005F1D75" w:rsidRDefault="005F1D75" w:rsidP="005F1D75">
            <w:pPr>
              <w:jc w:val="left"/>
              <w:rPr>
                <w:rFonts w:ascii="Verdana" w:hAnsi="Verdana" w:cs="Arial CE"/>
                <w:b/>
                <w:bCs/>
                <w:color w:val="FFFFFF"/>
                <w:sz w:val="20"/>
                <w:szCs w:val="20"/>
              </w:rPr>
            </w:pPr>
            <w:r w:rsidRPr="005F1D75">
              <w:rPr>
                <w:rFonts w:ascii="Verdana" w:hAnsi="Verdana" w:cs="Arial CE"/>
                <w:b/>
                <w:bCs/>
                <w:color w:val="FFFFFF"/>
                <w:sz w:val="20"/>
                <w:szCs w:val="20"/>
              </w:rPr>
              <w:t xml:space="preserve">    655 311 Kč </w:t>
            </w:r>
          </w:p>
        </w:tc>
        <w:tc>
          <w:tcPr>
            <w:tcW w:w="2268" w:type="dxa"/>
            <w:tcBorders>
              <w:top w:val="nil"/>
              <w:left w:val="nil"/>
              <w:bottom w:val="nil"/>
              <w:right w:val="single" w:sz="8" w:space="0" w:color="auto"/>
            </w:tcBorders>
            <w:shd w:val="clear" w:color="000000" w:fill="0070C0"/>
            <w:noWrap/>
            <w:vAlign w:val="center"/>
            <w:hideMark/>
          </w:tcPr>
          <w:p w14:paraId="3F531807" w14:textId="77777777" w:rsidR="005F1D75" w:rsidRPr="005F1D75" w:rsidRDefault="005F1D75" w:rsidP="005F1D75">
            <w:pPr>
              <w:jc w:val="left"/>
              <w:rPr>
                <w:rFonts w:ascii="Verdana" w:hAnsi="Verdana" w:cs="Arial CE"/>
                <w:b/>
                <w:bCs/>
                <w:color w:val="FFFFFF"/>
                <w:sz w:val="20"/>
                <w:szCs w:val="20"/>
              </w:rPr>
            </w:pPr>
            <w:r w:rsidRPr="005F1D75">
              <w:rPr>
                <w:rFonts w:ascii="Verdana" w:hAnsi="Verdana" w:cs="Arial CE"/>
                <w:b/>
                <w:bCs/>
                <w:color w:val="FFFFFF"/>
                <w:sz w:val="20"/>
                <w:szCs w:val="20"/>
              </w:rPr>
              <w:t> </w:t>
            </w:r>
          </w:p>
        </w:tc>
      </w:tr>
      <w:tr w:rsidR="005F1D75" w:rsidRPr="005F1D75" w14:paraId="36F91CF3" w14:textId="77777777" w:rsidTr="005F1D75">
        <w:trPr>
          <w:trHeight w:val="300"/>
        </w:trPr>
        <w:tc>
          <w:tcPr>
            <w:tcW w:w="2575" w:type="dxa"/>
            <w:tcBorders>
              <w:top w:val="nil"/>
              <w:left w:val="single" w:sz="8" w:space="0" w:color="auto"/>
              <w:bottom w:val="nil"/>
              <w:right w:val="nil"/>
            </w:tcBorders>
            <w:shd w:val="clear" w:color="000000" w:fill="0070C0"/>
            <w:noWrap/>
            <w:vAlign w:val="center"/>
            <w:hideMark/>
          </w:tcPr>
          <w:p w14:paraId="7678DBD5" w14:textId="77777777" w:rsidR="005F1D75" w:rsidRPr="005F1D75" w:rsidRDefault="005F1D75" w:rsidP="005F1D75">
            <w:pPr>
              <w:jc w:val="left"/>
              <w:rPr>
                <w:rFonts w:ascii="Verdana" w:hAnsi="Verdana" w:cs="Arial CE"/>
                <w:color w:val="FFFFFF"/>
                <w:sz w:val="20"/>
                <w:szCs w:val="20"/>
              </w:rPr>
            </w:pPr>
            <w:r w:rsidRPr="005F1D75">
              <w:rPr>
                <w:rFonts w:ascii="Verdana" w:hAnsi="Verdana" w:cs="Arial CE"/>
                <w:color w:val="FFFFFF"/>
                <w:sz w:val="20"/>
                <w:szCs w:val="20"/>
              </w:rPr>
              <w:t>DPH 21%:</w:t>
            </w:r>
          </w:p>
        </w:tc>
        <w:tc>
          <w:tcPr>
            <w:tcW w:w="8129" w:type="dxa"/>
            <w:tcBorders>
              <w:top w:val="nil"/>
              <w:left w:val="nil"/>
              <w:bottom w:val="nil"/>
              <w:right w:val="nil"/>
            </w:tcBorders>
            <w:shd w:val="clear" w:color="000000" w:fill="0070C0"/>
            <w:noWrap/>
            <w:vAlign w:val="center"/>
            <w:hideMark/>
          </w:tcPr>
          <w:p w14:paraId="15967D48" w14:textId="77777777" w:rsidR="005F1D75" w:rsidRPr="005F1D75" w:rsidRDefault="005F1D75" w:rsidP="005F1D75">
            <w:pPr>
              <w:jc w:val="left"/>
              <w:rPr>
                <w:rFonts w:ascii="Verdana" w:hAnsi="Verdana" w:cs="Arial CE"/>
                <w:color w:val="FFFFFF"/>
                <w:sz w:val="20"/>
                <w:szCs w:val="20"/>
              </w:rPr>
            </w:pPr>
            <w:r w:rsidRPr="005F1D75">
              <w:rPr>
                <w:rFonts w:ascii="Verdana" w:hAnsi="Verdana" w:cs="Arial CE"/>
                <w:color w:val="FFFFFF"/>
                <w:sz w:val="20"/>
                <w:szCs w:val="20"/>
              </w:rPr>
              <w:t> </w:t>
            </w:r>
          </w:p>
        </w:tc>
        <w:tc>
          <w:tcPr>
            <w:tcW w:w="120" w:type="dxa"/>
            <w:tcBorders>
              <w:top w:val="nil"/>
              <w:left w:val="nil"/>
              <w:bottom w:val="nil"/>
              <w:right w:val="nil"/>
            </w:tcBorders>
            <w:shd w:val="clear" w:color="000000" w:fill="0070C0"/>
            <w:noWrap/>
            <w:vAlign w:val="center"/>
            <w:hideMark/>
          </w:tcPr>
          <w:p w14:paraId="4950F338" w14:textId="77777777" w:rsidR="005F1D75" w:rsidRPr="005F1D75" w:rsidRDefault="005F1D75" w:rsidP="005F1D75">
            <w:pPr>
              <w:jc w:val="left"/>
              <w:rPr>
                <w:rFonts w:ascii="Verdana" w:hAnsi="Verdana" w:cs="Arial CE"/>
                <w:color w:val="FFFFFF"/>
                <w:sz w:val="20"/>
                <w:szCs w:val="20"/>
              </w:rPr>
            </w:pPr>
            <w:r w:rsidRPr="005F1D75">
              <w:rPr>
                <w:rFonts w:ascii="Verdana" w:hAnsi="Verdana" w:cs="Arial CE"/>
                <w:color w:val="FFFFFF"/>
                <w:sz w:val="20"/>
                <w:szCs w:val="20"/>
              </w:rPr>
              <w:t> </w:t>
            </w:r>
          </w:p>
        </w:tc>
        <w:tc>
          <w:tcPr>
            <w:tcW w:w="268" w:type="dxa"/>
            <w:tcBorders>
              <w:top w:val="nil"/>
              <w:left w:val="nil"/>
              <w:bottom w:val="nil"/>
              <w:right w:val="nil"/>
            </w:tcBorders>
            <w:shd w:val="clear" w:color="000000" w:fill="0070C0"/>
            <w:noWrap/>
            <w:vAlign w:val="center"/>
            <w:hideMark/>
          </w:tcPr>
          <w:p w14:paraId="418F90CC" w14:textId="77777777" w:rsidR="005F1D75" w:rsidRPr="005F1D75" w:rsidRDefault="005F1D75" w:rsidP="005F1D75">
            <w:pPr>
              <w:jc w:val="left"/>
              <w:rPr>
                <w:rFonts w:ascii="Verdana" w:hAnsi="Verdana" w:cs="Arial CE"/>
                <w:color w:val="FFFFFF"/>
                <w:sz w:val="20"/>
                <w:szCs w:val="20"/>
              </w:rPr>
            </w:pPr>
            <w:r w:rsidRPr="005F1D75">
              <w:rPr>
                <w:rFonts w:ascii="Verdana" w:hAnsi="Verdana" w:cs="Arial CE"/>
                <w:color w:val="FFFFFF"/>
                <w:sz w:val="20"/>
                <w:szCs w:val="20"/>
              </w:rPr>
              <w:t> </w:t>
            </w:r>
          </w:p>
        </w:tc>
        <w:tc>
          <w:tcPr>
            <w:tcW w:w="1900" w:type="dxa"/>
            <w:tcBorders>
              <w:top w:val="nil"/>
              <w:left w:val="nil"/>
              <w:bottom w:val="nil"/>
              <w:right w:val="nil"/>
            </w:tcBorders>
            <w:shd w:val="clear" w:color="000000" w:fill="0070C0"/>
            <w:noWrap/>
            <w:vAlign w:val="center"/>
            <w:hideMark/>
          </w:tcPr>
          <w:p w14:paraId="3BB2B9B3" w14:textId="77777777" w:rsidR="005F1D75" w:rsidRPr="005F1D75" w:rsidRDefault="005F1D75" w:rsidP="005F1D75">
            <w:pPr>
              <w:jc w:val="left"/>
              <w:rPr>
                <w:rFonts w:ascii="Verdana" w:hAnsi="Verdana" w:cs="Arial CE"/>
                <w:color w:val="FFFFFF"/>
                <w:sz w:val="20"/>
                <w:szCs w:val="20"/>
              </w:rPr>
            </w:pPr>
            <w:r w:rsidRPr="005F1D75">
              <w:rPr>
                <w:rFonts w:ascii="Verdana" w:hAnsi="Verdana" w:cs="Arial CE"/>
                <w:color w:val="FFFFFF"/>
                <w:sz w:val="20"/>
                <w:szCs w:val="20"/>
              </w:rPr>
              <w:t xml:space="preserve">    137 615 Kč </w:t>
            </w:r>
          </w:p>
        </w:tc>
        <w:tc>
          <w:tcPr>
            <w:tcW w:w="2268" w:type="dxa"/>
            <w:tcBorders>
              <w:top w:val="nil"/>
              <w:left w:val="nil"/>
              <w:bottom w:val="nil"/>
              <w:right w:val="single" w:sz="8" w:space="0" w:color="auto"/>
            </w:tcBorders>
            <w:shd w:val="clear" w:color="000000" w:fill="0070C0"/>
            <w:noWrap/>
            <w:vAlign w:val="center"/>
            <w:hideMark/>
          </w:tcPr>
          <w:p w14:paraId="528AEED4" w14:textId="77777777" w:rsidR="005F1D75" w:rsidRPr="005F1D75" w:rsidRDefault="005F1D75" w:rsidP="005F1D75">
            <w:pPr>
              <w:jc w:val="left"/>
              <w:rPr>
                <w:rFonts w:ascii="Verdana" w:hAnsi="Verdana" w:cs="Arial CE"/>
                <w:color w:val="FFFFFF"/>
                <w:sz w:val="20"/>
                <w:szCs w:val="20"/>
              </w:rPr>
            </w:pPr>
            <w:r w:rsidRPr="005F1D75">
              <w:rPr>
                <w:rFonts w:ascii="Verdana" w:hAnsi="Verdana" w:cs="Arial CE"/>
                <w:color w:val="FFFFFF"/>
                <w:sz w:val="20"/>
                <w:szCs w:val="20"/>
              </w:rPr>
              <w:t> </w:t>
            </w:r>
          </w:p>
        </w:tc>
      </w:tr>
      <w:tr w:rsidR="005F1D75" w:rsidRPr="005F1D75" w14:paraId="64EB6C11" w14:textId="77777777" w:rsidTr="005F1D75">
        <w:trPr>
          <w:trHeight w:val="300"/>
        </w:trPr>
        <w:tc>
          <w:tcPr>
            <w:tcW w:w="2575" w:type="dxa"/>
            <w:tcBorders>
              <w:top w:val="nil"/>
              <w:left w:val="single" w:sz="8" w:space="0" w:color="auto"/>
              <w:bottom w:val="single" w:sz="8" w:space="0" w:color="auto"/>
              <w:right w:val="nil"/>
            </w:tcBorders>
            <w:shd w:val="clear" w:color="000000" w:fill="0070C0"/>
            <w:noWrap/>
            <w:vAlign w:val="center"/>
            <w:hideMark/>
          </w:tcPr>
          <w:p w14:paraId="0DD85944" w14:textId="77777777" w:rsidR="005F1D75" w:rsidRPr="005F1D75" w:rsidRDefault="005F1D75" w:rsidP="005F1D75">
            <w:pPr>
              <w:jc w:val="left"/>
              <w:rPr>
                <w:rFonts w:ascii="Verdana" w:hAnsi="Verdana" w:cs="Arial CE"/>
                <w:color w:val="FFFFFF"/>
                <w:sz w:val="20"/>
                <w:szCs w:val="20"/>
              </w:rPr>
            </w:pPr>
            <w:r w:rsidRPr="005F1D75">
              <w:rPr>
                <w:rFonts w:ascii="Verdana" w:hAnsi="Verdana" w:cs="Arial CE"/>
                <w:color w:val="FFFFFF"/>
                <w:sz w:val="20"/>
                <w:szCs w:val="20"/>
              </w:rPr>
              <w:t>Celkem včetně DPH:</w:t>
            </w:r>
          </w:p>
        </w:tc>
        <w:tc>
          <w:tcPr>
            <w:tcW w:w="8129" w:type="dxa"/>
            <w:tcBorders>
              <w:top w:val="nil"/>
              <w:left w:val="nil"/>
              <w:bottom w:val="single" w:sz="8" w:space="0" w:color="auto"/>
              <w:right w:val="nil"/>
            </w:tcBorders>
            <w:shd w:val="clear" w:color="000000" w:fill="0070C0"/>
            <w:noWrap/>
            <w:vAlign w:val="center"/>
            <w:hideMark/>
          </w:tcPr>
          <w:p w14:paraId="3FE54804" w14:textId="77777777" w:rsidR="005F1D75" w:rsidRPr="005F1D75" w:rsidRDefault="005F1D75" w:rsidP="005F1D75">
            <w:pPr>
              <w:jc w:val="left"/>
              <w:rPr>
                <w:rFonts w:ascii="Verdana" w:hAnsi="Verdana" w:cs="Arial CE"/>
                <w:color w:val="FFFFFF"/>
                <w:sz w:val="20"/>
                <w:szCs w:val="20"/>
              </w:rPr>
            </w:pPr>
            <w:r w:rsidRPr="005F1D75">
              <w:rPr>
                <w:rFonts w:ascii="Verdana" w:hAnsi="Verdana" w:cs="Arial CE"/>
                <w:color w:val="FFFFFF"/>
                <w:sz w:val="20"/>
                <w:szCs w:val="20"/>
              </w:rPr>
              <w:t> </w:t>
            </w:r>
          </w:p>
        </w:tc>
        <w:tc>
          <w:tcPr>
            <w:tcW w:w="120" w:type="dxa"/>
            <w:tcBorders>
              <w:top w:val="nil"/>
              <w:left w:val="nil"/>
              <w:bottom w:val="single" w:sz="8" w:space="0" w:color="auto"/>
              <w:right w:val="nil"/>
            </w:tcBorders>
            <w:shd w:val="clear" w:color="000000" w:fill="0070C0"/>
            <w:noWrap/>
            <w:vAlign w:val="center"/>
            <w:hideMark/>
          </w:tcPr>
          <w:p w14:paraId="5A0891C6" w14:textId="77777777" w:rsidR="005F1D75" w:rsidRPr="005F1D75" w:rsidRDefault="005F1D75" w:rsidP="005F1D75">
            <w:pPr>
              <w:jc w:val="left"/>
              <w:rPr>
                <w:rFonts w:ascii="Verdana" w:hAnsi="Verdana" w:cs="Arial CE"/>
                <w:color w:val="FFFFFF"/>
                <w:sz w:val="20"/>
                <w:szCs w:val="20"/>
              </w:rPr>
            </w:pPr>
            <w:r w:rsidRPr="005F1D75">
              <w:rPr>
                <w:rFonts w:ascii="Verdana" w:hAnsi="Verdana" w:cs="Arial CE"/>
                <w:color w:val="FFFFFF"/>
                <w:sz w:val="20"/>
                <w:szCs w:val="20"/>
              </w:rPr>
              <w:t> </w:t>
            </w:r>
          </w:p>
        </w:tc>
        <w:tc>
          <w:tcPr>
            <w:tcW w:w="268" w:type="dxa"/>
            <w:tcBorders>
              <w:top w:val="nil"/>
              <w:left w:val="nil"/>
              <w:bottom w:val="single" w:sz="8" w:space="0" w:color="auto"/>
              <w:right w:val="nil"/>
            </w:tcBorders>
            <w:shd w:val="clear" w:color="000000" w:fill="0070C0"/>
            <w:noWrap/>
            <w:vAlign w:val="center"/>
            <w:hideMark/>
          </w:tcPr>
          <w:p w14:paraId="15CD4E58" w14:textId="77777777" w:rsidR="005F1D75" w:rsidRPr="005F1D75" w:rsidRDefault="005F1D75" w:rsidP="005F1D75">
            <w:pPr>
              <w:jc w:val="left"/>
              <w:rPr>
                <w:rFonts w:ascii="Verdana" w:hAnsi="Verdana" w:cs="Arial CE"/>
                <w:color w:val="FFFFFF"/>
                <w:sz w:val="20"/>
                <w:szCs w:val="20"/>
              </w:rPr>
            </w:pPr>
            <w:r w:rsidRPr="005F1D75">
              <w:rPr>
                <w:rFonts w:ascii="Verdana" w:hAnsi="Verdana" w:cs="Arial CE"/>
                <w:color w:val="FFFFFF"/>
                <w:sz w:val="20"/>
                <w:szCs w:val="20"/>
              </w:rPr>
              <w:t> </w:t>
            </w:r>
          </w:p>
        </w:tc>
        <w:tc>
          <w:tcPr>
            <w:tcW w:w="1900" w:type="dxa"/>
            <w:tcBorders>
              <w:top w:val="nil"/>
              <w:left w:val="nil"/>
              <w:bottom w:val="single" w:sz="8" w:space="0" w:color="auto"/>
              <w:right w:val="nil"/>
            </w:tcBorders>
            <w:shd w:val="clear" w:color="000000" w:fill="0070C0"/>
            <w:noWrap/>
            <w:vAlign w:val="center"/>
            <w:hideMark/>
          </w:tcPr>
          <w:p w14:paraId="004351A7" w14:textId="77777777" w:rsidR="005F1D75" w:rsidRPr="005F1D75" w:rsidRDefault="005F1D75" w:rsidP="005F1D75">
            <w:pPr>
              <w:jc w:val="left"/>
              <w:rPr>
                <w:rFonts w:ascii="Verdana" w:hAnsi="Verdana" w:cs="Arial CE"/>
                <w:color w:val="FFFFFF"/>
                <w:sz w:val="20"/>
                <w:szCs w:val="20"/>
              </w:rPr>
            </w:pPr>
            <w:r w:rsidRPr="005F1D75">
              <w:rPr>
                <w:rFonts w:ascii="Verdana" w:hAnsi="Verdana" w:cs="Arial CE"/>
                <w:color w:val="FFFFFF"/>
                <w:sz w:val="20"/>
                <w:szCs w:val="20"/>
              </w:rPr>
              <w:t xml:space="preserve">    792 926 Kč </w:t>
            </w:r>
          </w:p>
        </w:tc>
        <w:tc>
          <w:tcPr>
            <w:tcW w:w="2268" w:type="dxa"/>
            <w:tcBorders>
              <w:top w:val="nil"/>
              <w:left w:val="nil"/>
              <w:bottom w:val="single" w:sz="8" w:space="0" w:color="auto"/>
              <w:right w:val="single" w:sz="8" w:space="0" w:color="auto"/>
            </w:tcBorders>
            <w:shd w:val="clear" w:color="000000" w:fill="0070C0"/>
            <w:noWrap/>
            <w:vAlign w:val="center"/>
            <w:hideMark/>
          </w:tcPr>
          <w:p w14:paraId="31A01251" w14:textId="77777777" w:rsidR="005F1D75" w:rsidRPr="005F1D75" w:rsidRDefault="005F1D75" w:rsidP="005F1D75">
            <w:pPr>
              <w:jc w:val="left"/>
              <w:rPr>
                <w:rFonts w:ascii="Verdana" w:hAnsi="Verdana" w:cs="Arial CE"/>
                <w:color w:val="FFFFFF"/>
                <w:sz w:val="20"/>
                <w:szCs w:val="20"/>
              </w:rPr>
            </w:pPr>
            <w:r w:rsidRPr="005F1D75">
              <w:rPr>
                <w:rFonts w:ascii="Verdana" w:hAnsi="Verdana" w:cs="Arial CE"/>
                <w:color w:val="FFFFFF"/>
                <w:sz w:val="20"/>
                <w:szCs w:val="20"/>
              </w:rPr>
              <w:t> </w:t>
            </w:r>
          </w:p>
        </w:tc>
      </w:tr>
    </w:tbl>
    <w:p w14:paraId="27326AEF" w14:textId="77777777" w:rsidR="005F1D75" w:rsidRDefault="005F1D75"/>
    <w:sectPr w:rsidR="005F1D75" w:rsidSect="00B4681A">
      <w:pgSz w:w="16838" w:h="11906" w:orient="landscape"/>
      <w:pgMar w:top="1418" w:right="1418" w:bottom="1418" w:left="72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DCCC8" w14:textId="77777777" w:rsidR="00B32EDF" w:rsidRDefault="00B32EDF" w:rsidP="00206D17">
      <w:r>
        <w:separator/>
      </w:r>
    </w:p>
  </w:endnote>
  <w:endnote w:type="continuationSeparator" w:id="0">
    <w:p w14:paraId="30C2592E" w14:textId="77777777" w:rsidR="00B32EDF" w:rsidRDefault="00B32EDF" w:rsidP="0020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
    <w:altName w:val="MS Gothic"/>
    <w:charset w:val="80"/>
    <w:family w:val="auto"/>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8F05E" w14:textId="2A41ACA6" w:rsidR="00C066BE" w:rsidRPr="002004F0" w:rsidRDefault="00BD4A83" w:rsidP="00C066BE">
    <w:pPr>
      <w:pStyle w:val="Zpat"/>
      <w:jc w:val="center"/>
      <w:rPr>
        <w:rFonts w:ascii="Calibri" w:hAnsi="Calibri"/>
      </w:rPr>
    </w:pPr>
    <w:r w:rsidRPr="002004F0">
      <w:rPr>
        <w:rFonts w:ascii="Calibri" w:hAnsi="Calibri"/>
      </w:rPr>
      <w:t xml:space="preserve">strana </w:t>
    </w:r>
    <w:r w:rsidR="00206D17" w:rsidRPr="002004F0">
      <w:rPr>
        <w:rFonts w:ascii="Calibri" w:hAnsi="Calibri"/>
      </w:rPr>
      <w:fldChar w:fldCharType="begin"/>
    </w:r>
    <w:r w:rsidRPr="002004F0">
      <w:rPr>
        <w:rFonts w:ascii="Calibri" w:hAnsi="Calibri"/>
      </w:rPr>
      <w:instrText xml:space="preserve"> PAGE   \* MERGEFORMAT </w:instrText>
    </w:r>
    <w:r w:rsidR="00206D17" w:rsidRPr="002004F0">
      <w:rPr>
        <w:rFonts w:ascii="Calibri" w:hAnsi="Calibri"/>
      </w:rPr>
      <w:fldChar w:fldCharType="separate"/>
    </w:r>
    <w:r w:rsidR="005B427E">
      <w:rPr>
        <w:rFonts w:ascii="Calibri" w:hAnsi="Calibri"/>
        <w:noProof/>
      </w:rPr>
      <w:t>5</w:t>
    </w:r>
    <w:r w:rsidR="00206D17" w:rsidRPr="002004F0">
      <w:rPr>
        <w:rFonts w:ascii="Calibri" w:hAnsi="Calibri"/>
      </w:rPr>
      <w:fldChar w:fldCharType="end"/>
    </w:r>
    <w:r w:rsidRPr="002004F0">
      <w:rPr>
        <w:rFonts w:ascii="Calibri" w:hAnsi="Calibri"/>
      </w:rPr>
      <w:t xml:space="preserve"> (celkem </w:t>
    </w:r>
    <w:r w:rsidR="00114AE8">
      <w:rPr>
        <w:rFonts w:ascii="Calibri" w:hAnsi="Calibri"/>
        <w:noProof/>
      </w:rPr>
      <w:fldChar w:fldCharType="begin"/>
    </w:r>
    <w:r w:rsidR="00114AE8">
      <w:rPr>
        <w:rFonts w:ascii="Calibri" w:hAnsi="Calibri"/>
        <w:noProof/>
      </w:rPr>
      <w:instrText xml:space="preserve"> SECTIONPAGES   \* MERGEFORMAT </w:instrText>
    </w:r>
    <w:r w:rsidR="00114AE8">
      <w:rPr>
        <w:rFonts w:ascii="Calibri" w:hAnsi="Calibri"/>
        <w:noProof/>
      </w:rPr>
      <w:fldChar w:fldCharType="separate"/>
    </w:r>
    <w:r w:rsidR="005B427E">
      <w:rPr>
        <w:rFonts w:ascii="Calibri" w:hAnsi="Calibri"/>
        <w:noProof/>
      </w:rPr>
      <w:t>5</w:t>
    </w:r>
    <w:r w:rsidR="00114AE8">
      <w:rPr>
        <w:rFonts w:ascii="Calibri" w:hAnsi="Calibri"/>
        <w:noProof/>
      </w:rPr>
      <w:fldChar w:fldCharType="end"/>
    </w:r>
    <w:r w:rsidRPr="002004F0">
      <w:rPr>
        <w:rFonts w:ascii="Calibri" w:hAnsi="Calibri"/>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CFB38" w14:textId="77777777" w:rsidR="00B32EDF" w:rsidRDefault="00B32EDF" w:rsidP="00206D17">
      <w:r>
        <w:separator/>
      </w:r>
    </w:p>
  </w:footnote>
  <w:footnote w:type="continuationSeparator" w:id="0">
    <w:p w14:paraId="72337E22" w14:textId="77777777" w:rsidR="00B32EDF" w:rsidRDefault="00B32EDF" w:rsidP="00206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8F05D" w14:textId="77777777" w:rsidR="00C066BE" w:rsidRPr="00D432D5" w:rsidRDefault="00C066BE" w:rsidP="00C066BE">
    <w:pPr>
      <w:jc w:val="right"/>
      <w:rPr>
        <w:rFonts w:ascii="Calibri" w:hAnsi="Calibri"/>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E1BC2"/>
    <w:multiLevelType w:val="hybridMultilevel"/>
    <w:tmpl w:val="C854E1F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8DA5509"/>
    <w:multiLevelType w:val="hybridMultilevel"/>
    <w:tmpl w:val="11BEE4CA"/>
    <w:lvl w:ilvl="0" w:tplc="392A5BF6">
      <w:start w:val="1"/>
      <w:numFmt w:val="decimal"/>
      <w:lvlText w:val="%1."/>
      <w:lvlJc w:val="left"/>
      <w:pPr>
        <w:ind w:left="720" w:hanging="360"/>
      </w:pPr>
      <w:rPr>
        <w:rFonts w:ascii="Calibri" w:hAnsi="Calibri"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1D71F15"/>
    <w:multiLevelType w:val="multilevel"/>
    <w:tmpl w:val="603656B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145B2D77"/>
    <w:multiLevelType w:val="hybridMultilevel"/>
    <w:tmpl w:val="344461F2"/>
    <w:lvl w:ilvl="0" w:tplc="3036E53E">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1A0B5A08"/>
    <w:multiLevelType w:val="hybridMultilevel"/>
    <w:tmpl w:val="630C5AE4"/>
    <w:lvl w:ilvl="0" w:tplc="392A5BF6">
      <w:start w:val="1"/>
      <w:numFmt w:val="decimal"/>
      <w:lvlText w:val="%1."/>
      <w:lvlJc w:val="left"/>
      <w:pPr>
        <w:ind w:left="720" w:hanging="360"/>
      </w:pPr>
      <w:rPr>
        <w:rFonts w:ascii="Calibri" w:hAnsi="Calibri"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6205FF4"/>
    <w:multiLevelType w:val="multilevel"/>
    <w:tmpl w:val="CDF6DB5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nsid w:val="2B17507E"/>
    <w:multiLevelType w:val="multilevel"/>
    <w:tmpl w:val="5B924D4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nsid w:val="3CD03603"/>
    <w:multiLevelType w:val="hybridMultilevel"/>
    <w:tmpl w:val="C854E1F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47147B8B"/>
    <w:multiLevelType w:val="hybridMultilevel"/>
    <w:tmpl w:val="C854E1F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49260432"/>
    <w:multiLevelType w:val="hybridMultilevel"/>
    <w:tmpl w:val="5D6A0E0E"/>
    <w:lvl w:ilvl="0" w:tplc="18B6690C">
      <w:numFmt w:val="bullet"/>
      <w:lvlText w:val="-"/>
      <w:lvlJc w:val="left"/>
      <w:pPr>
        <w:ind w:left="360" w:hanging="360"/>
      </w:pPr>
      <w:rPr>
        <w:rFonts w:ascii="Calibri" w:eastAsia="Calibri" w:hAnsi="Calibri" w:cs="Calibri" w:hint="default"/>
      </w:rPr>
    </w:lvl>
    <w:lvl w:ilvl="1" w:tplc="18B6690C">
      <w:numFmt w:val="bullet"/>
      <w:lvlText w:val="-"/>
      <w:lvlJc w:val="left"/>
      <w:pPr>
        <w:ind w:left="1425" w:hanging="705"/>
      </w:pPr>
      <w:rPr>
        <w:rFonts w:ascii="Calibri" w:eastAsia="Calibri" w:hAnsi="Calibri" w:cs="Calibri"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4CED67FF"/>
    <w:multiLevelType w:val="multilevel"/>
    <w:tmpl w:val="C32E725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nsid w:val="53B93074"/>
    <w:multiLevelType w:val="hybridMultilevel"/>
    <w:tmpl w:val="AC64FE3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61DF7DA5"/>
    <w:multiLevelType w:val="hybridMultilevel"/>
    <w:tmpl w:val="A140C58E"/>
    <w:lvl w:ilvl="0" w:tplc="A8925F04">
      <w:start w:val="4"/>
      <w:numFmt w:val="bullet"/>
      <w:lvlText w:val="-"/>
      <w:lvlJc w:val="left"/>
      <w:pPr>
        <w:ind w:left="720" w:hanging="360"/>
      </w:pPr>
      <w:rPr>
        <w:rFonts w:ascii="Arial" w:eastAsia="MS ??"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76D1C1D"/>
    <w:multiLevelType w:val="multilevel"/>
    <w:tmpl w:val="81FAD75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6CCD4DEC"/>
    <w:multiLevelType w:val="hybridMultilevel"/>
    <w:tmpl w:val="F79CDA94"/>
    <w:lvl w:ilvl="0" w:tplc="0405000F">
      <w:start w:val="1"/>
      <w:numFmt w:val="decimal"/>
      <w:lvlText w:val="%1."/>
      <w:lvlJc w:val="left"/>
      <w:pPr>
        <w:ind w:left="360" w:hanging="360"/>
      </w:pPr>
      <w:rPr>
        <w:rFonts w:ascii="Calibri" w:eastAsia="Times New Roman" w:hAnsi="Calibri"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76B42B51"/>
    <w:multiLevelType w:val="hybridMultilevel"/>
    <w:tmpl w:val="CD0E2A5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790E6853"/>
    <w:multiLevelType w:val="hybridMultilevel"/>
    <w:tmpl w:val="630C5AE4"/>
    <w:lvl w:ilvl="0" w:tplc="392A5BF6">
      <w:start w:val="1"/>
      <w:numFmt w:val="decimal"/>
      <w:lvlText w:val="%1."/>
      <w:lvlJc w:val="left"/>
      <w:pPr>
        <w:ind w:left="720" w:hanging="360"/>
      </w:pPr>
      <w:rPr>
        <w:rFonts w:ascii="Calibri" w:hAnsi="Calibri"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A7647C3"/>
    <w:multiLevelType w:val="multilevel"/>
    <w:tmpl w:val="9C30805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5"/>
  </w:num>
  <w:num w:numId="2">
    <w:abstractNumId w:val="12"/>
  </w:num>
  <w:num w:numId="3">
    <w:abstractNumId w:val="16"/>
  </w:num>
  <w:num w:numId="4">
    <w:abstractNumId w:val="8"/>
  </w:num>
  <w:num w:numId="5">
    <w:abstractNumId w:val="15"/>
  </w:num>
  <w:num w:numId="6">
    <w:abstractNumId w:val="17"/>
  </w:num>
  <w:num w:numId="7">
    <w:abstractNumId w:val="14"/>
  </w:num>
  <w:num w:numId="8">
    <w:abstractNumId w:val="10"/>
  </w:num>
  <w:num w:numId="9">
    <w:abstractNumId w:val="4"/>
  </w:num>
  <w:num w:numId="10">
    <w:abstractNumId w:val="1"/>
  </w:num>
  <w:num w:numId="11">
    <w:abstractNumId w:val="0"/>
  </w:num>
  <w:num w:numId="12">
    <w:abstractNumId w:val="18"/>
  </w:num>
  <w:num w:numId="13">
    <w:abstractNumId w:val="11"/>
  </w:num>
  <w:num w:numId="14">
    <w:abstractNumId w:val="9"/>
  </w:num>
  <w:num w:numId="15">
    <w:abstractNumId w:val="2"/>
  </w:num>
  <w:num w:numId="16">
    <w:abstractNumId w:val="7"/>
  </w:num>
  <w:num w:numId="17">
    <w:abstractNumId w:val="6"/>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0E"/>
    <w:rsid w:val="000035E0"/>
    <w:rsid w:val="000063DF"/>
    <w:rsid w:val="00010795"/>
    <w:rsid w:val="00016C34"/>
    <w:rsid w:val="000278E4"/>
    <w:rsid w:val="00030BCA"/>
    <w:rsid w:val="00040768"/>
    <w:rsid w:val="00042838"/>
    <w:rsid w:val="000437E0"/>
    <w:rsid w:val="00047F0E"/>
    <w:rsid w:val="00065F99"/>
    <w:rsid w:val="00073D73"/>
    <w:rsid w:val="00086F68"/>
    <w:rsid w:val="0008700B"/>
    <w:rsid w:val="00091B62"/>
    <w:rsid w:val="000A1DAB"/>
    <w:rsid w:val="000A3408"/>
    <w:rsid w:val="000A434C"/>
    <w:rsid w:val="000A4B9D"/>
    <w:rsid w:val="000B1E31"/>
    <w:rsid w:val="000B3D5C"/>
    <w:rsid w:val="000C02C6"/>
    <w:rsid w:val="000C654D"/>
    <w:rsid w:val="000C6FAE"/>
    <w:rsid w:val="000E61E2"/>
    <w:rsid w:val="000F50A8"/>
    <w:rsid w:val="00103ED7"/>
    <w:rsid w:val="001139A3"/>
    <w:rsid w:val="00114AE8"/>
    <w:rsid w:val="00116D83"/>
    <w:rsid w:val="001200A9"/>
    <w:rsid w:val="0014183C"/>
    <w:rsid w:val="00152572"/>
    <w:rsid w:val="00160105"/>
    <w:rsid w:val="0016289D"/>
    <w:rsid w:val="00165032"/>
    <w:rsid w:val="00171EAD"/>
    <w:rsid w:val="0018016F"/>
    <w:rsid w:val="00181E10"/>
    <w:rsid w:val="00182029"/>
    <w:rsid w:val="0019303E"/>
    <w:rsid w:val="00195C8A"/>
    <w:rsid w:val="00196E48"/>
    <w:rsid w:val="001A612A"/>
    <w:rsid w:val="001A7EB6"/>
    <w:rsid w:val="001B6D0A"/>
    <w:rsid w:val="001C42FF"/>
    <w:rsid w:val="001C4FC5"/>
    <w:rsid w:val="001C74FC"/>
    <w:rsid w:val="001E541B"/>
    <w:rsid w:val="001F6125"/>
    <w:rsid w:val="00206D17"/>
    <w:rsid w:val="00213B3D"/>
    <w:rsid w:val="00214DF4"/>
    <w:rsid w:val="002172B7"/>
    <w:rsid w:val="0022734A"/>
    <w:rsid w:val="00227FAD"/>
    <w:rsid w:val="00237A39"/>
    <w:rsid w:val="002525AE"/>
    <w:rsid w:val="00256C41"/>
    <w:rsid w:val="002723BE"/>
    <w:rsid w:val="00276B93"/>
    <w:rsid w:val="00280F15"/>
    <w:rsid w:val="00281AD9"/>
    <w:rsid w:val="00286B84"/>
    <w:rsid w:val="002B65CD"/>
    <w:rsid w:val="002B6C01"/>
    <w:rsid w:val="002C5ACD"/>
    <w:rsid w:val="002D05BF"/>
    <w:rsid w:val="002D135F"/>
    <w:rsid w:val="002D23C3"/>
    <w:rsid w:val="002E0A25"/>
    <w:rsid w:val="002F09CC"/>
    <w:rsid w:val="002F4399"/>
    <w:rsid w:val="002F4918"/>
    <w:rsid w:val="00303FA7"/>
    <w:rsid w:val="00310A2D"/>
    <w:rsid w:val="00314452"/>
    <w:rsid w:val="00323A0E"/>
    <w:rsid w:val="0033355F"/>
    <w:rsid w:val="00340157"/>
    <w:rsid w:val="003413DC"/>
    <w:rsid w:val="00343123"/>
    <w:rsid w:val="0035299A"/>
    <w:rsid w:val="003607F4"/>
    <w:rsid w:val="0037151B"/>
    <w:rsid w:val="00373A65"/>
    <w:rsid w:val="00373AC9"/>
    <w:rsid w:val="00374223"/>
    <w:rsid w:val="00381F4B"/>
    <w:rsid w:val="00394717"/>
    <w:rsid w:val="003976D0"/>
    <w:rsid w:val="003A134B"/>
    <w:rsid w:val="003A6917"/>
    <w:rsid w:val="003C0A0F"/>
    <w:rsid w:val="003C1B29"/>
    <w:rsid w:val="003C3FDF"/>
    <w:rsid w:val="003C6B08"/>
    <w:rsid w:val="003D73CA"/>
    <w:rsid w:val="003E2562"/>
    <w:rsid w:val="003E5362"/>
    <w:rsid w:val="003F2E61"/>
    <w:rsid w:val="003F6025"/>
    <w:rsid w:val="00401C7B"/>
    <w:rsid w:val="004172D4"/>
    <w:rsid w:val="004201A6"/>
    <w:rsid w:val="00426411"/>
    <w:rsid w:val="004316C5"/>
    <w:rsid w:val="00433E5D"/>
    <w:rsid w:val="004365D8"/>
    <w:rsid w:val="00436BA1"/>
    <w:rsid w:val="00444D7E"/>
    <w:rsid w:val="004471ED"/>
    <w:rsid w:val="0046180D"/>
    <w:rsid w:val="00467ACF"/>
    <w:rsid w:val="00472DE9"/>
    <w:rsid w:val="004744AA"/>
    <w:rsid w:val="00485764"/>
    <w:rsid w:val="0049350E"/>
    <w:rsid w:val="004B00D7"/>
    <w:rsid w:val="004B0A16"/>
    <w:rsid w:val="004B7E02"/>
    <w:rsid w:val="004C0E71"/>
    <w:rsid w:val="004C17E0"/>
    <w:rsid w:val="004F3BB4"/>
    <w:rsid w:val="004F3BD5"/>
    <w:rsid w:val="004F61AC"/>
    <w:rsid w:val="0051280C"/>
    <w:rsid w:val="005263EA"/>
    <w:rsid w:val="005357DD"/>
    <w:rsid w:val="005373CD"/>
    <w:rsid w:val="00544171"/>
    <w:rsid w:val="00546632"/>
    <w:rsid w:val="005603DC"/>
    <w:rsid w:val="005726A5"/>
    <w:rsid w:val="00573606"/>
    <w:rsid w:val="00577DA9"/>
    <w:rsid w:val="005832FC"/>
    <w:rsid w:val="00583B2A"/>
    <w:rsid w:val="005869EF"/>
    <w:rsid w:val="00592EAE"/>
    <w:rsid w:val="00595E8F"/>
    <w:rsid w:val="00596C57"/>
    <w:rsid w:val="005B2C92"/>
    <w:rsid w:val="005B427E"/>
    <w:rsid w:val="005B4F93"/>
    <w:rsid w:val="005C185A"/>
    <w:rsid w:val="005E15AC"/>
    <w:rsid w:val="005E315D"/>
    <w:rsid w:val="005E5BD9"/>
    <w:rsid w:val="005F1D75"/>
    <w:rsid w:val="005F66CA"/>
    <w:rsid w:val="00631FCA"/>
    <w:rsid w:val="006420E1"/>
    <w:rsid w:val="00655B3F"/>
    <w:rsid w:val="006607D0"/>
    <w:rsid w:val="00672954"/>
    <w:rsid w:val="006742A5"/>
    <w:rsid w:val="00680E1D"/>
    <w:rsid w:val="006A6525"/>
    <w:rsid w:val="006A76B1"/>
    <w:rsid w:val="006A77B9"/>
    <w:rsid w:val="006B3AFE"/>
    <w:rsid w:val="006C3A3C"/>
    <w:rsid w:val="006C72D1"/>
    <w:rsid w:val="006D3201"/>
    <w:rsid w:val="006D6FF4"/>
    <w:rsid w:val="006E5B12"/>
    <w:rsid w:val="006E6FFB"/>
    <w:rsid w:val="006F4E34"/>
    <w:rsid w:val="006F79E7"/>
    <w:rsid w:val="00714790"/>
    <w:rsid w:val="00720E2A"/>
    <w:rsid w:val="00724F9B"/>
    <w:rsid w:val="007268D5"/>
    <w:rsid w:val="00734079"/>
    <w:rsid w:val="00740445"/>
    <w:rsid w:val="007441A9"/>
    <w:rsid w:val="00744612"/>
    <w:rsid w:val="007455B1"/>
    <w:rsid w:val="00757DF7"/>
    <w:rsid w:val="00760FEA"/>
    <w:rsid w:val="007616D2"/>
    <w:rsid w:val="00765859"/>
    <w:rsid w:val="00765F88"/>
    <w:rsid w:val="00766E4D"/>
    <w:rsid w:val="00782231"/>
    <w:rsid w:val="007840FC"/>
    <w:rsid w:val="00786DA6"/>
    <w:rsid w:val="007872C3"/>
    <w:rsid w:val="00792DBC"/>
    <w:rsid w:val="007A30F7"/>
    <w:rsid w:val="007A47E7"/>
    <w:rsid w:val="007A5E08"/>
    <w:rsid w:val="007B450E"/>
    <w:rsid w:val="007B7234"/>
    <w:rsid w:val="007E31A7"/>
    <w:rsid w:val="007E4EB2"/>
    <w:rsid w:val="00802BEE"/>
    <w:rsid w:val="0080743C"/>
    <w:rsid w:val="00822FA0"/>
    <w:rsid w:val="008307F6"/>
    <w:rsid w:val="00833E5B"/>
    <w:rsid w:val="008370CD"/>
    <w:rsid w:val="00842755"/>
    <w:rsid w:val="008433A7"/>
    <w:rsid w:val="00847AED"/>
    <w:rsid w:val="00850006"/>
    <w:rsid w:val="008605C4"/>
    <w:rsid w:val="00871D0F"/>
    <w:rsid w:val="00871F9C"/>
    <w:rsid w:val="00872751"/>
    <w:rsid w:val="00872C1B"/>
    <w:rsid w:val="00883F5F"/>
    <w:rsid w:val="00887947"/>
    <w:rsid w:val="00887E0C"/>
    <w:rsid w:val="008937A2"/>
    <w:rsid w:val="008938DF"/>
    <w:rsid w:val="00895A2E"/>
    <w:rsid w:val="00895AB5"/>
    <w:rsid w:val="0089685B"/>
    <w:rsid w:val="00896AB2"/>
    <w:rsid w:val="00896DCA"/>
    <w:rsid w:val="008A426A"/>
    <w:rsid w:val="008A6FE0"/>
    <w:rsid w:val="008A796F"/>
    <w:rsid w:val="008B211F"/>
    <w:rsid w:val="008C1A61"/>
    <w:rsid w:val="008C5D48"/>
    <w:rsid w:val="008D059A"/>
    <w:rsid w:val="008D0CDA"/>
    <w:rsid w:val="008D59E4"/>
    <w:rsid w:val="008D6E91"/>
    <w:rsid w:val="008E41F8"/>
    <w:rsid w:val="008E76A5"/>
    <w:rsid w:val="009026D8"/>
    <w:rsid w:val="00902A7D"/>
    <w:rsid w:val="0090327C"/>
    <w:rsid w:val="00911D85"/>
    <w:rsid w:val="009219C4"/>
    <w:rsid w:val="00923DA1"/>
    <w:rsid w:val="009258DF"/>
    <w:rsid w:val="009341CF"/>
    <w:rsid w:val="00944023"/>
    <w:rsid w:val="00944420"/>
    <w:rsid w:val="00963526"/>
    <w:rsid w:val="00975DB0"/>
    <w:rsid w:val="00976453"/>
    <w:rsid w:val="009911D5"/>
    <w:rsid w:val="00994F39"/>
    <w:rsid w:val="009C1C7B"/>
    <w:rsid w:val="009C4C51"/>
    <w:rsid w:val="009E2620"/>
    <w:rsid w:val="009F5CDF"/>
    <w:rsid w:val="00A3641B"/>
    <w:rsid w:val="00A412FB"/>
    <w:rsid w:val="00A601CF"/>
    <w:rsid w:val="00A66B14"/>
    <w:rsid w:val="00A66EC8"/>
    <w:rsid w:val="00A67E75"/>
    <w:rsid w:val="00A77F6C"/>
    <w:rsid w:val="00A87A48"/>
    <w:rsid w:val="00A9154C"/>
    <w:rsid w:val="00A937CA"/>
    <w:rsid w:val="00A9687A"/>
    <w:rsid w:val="00AA16A4"/>
    <w:rsid w:val="00AA4086"/>
    <w:rsid w:val="00AB45B7"/>
    <w:rsid w:val="00AC1A35"/>
    <w:rsid w:val="00AE109A"/>
    <w:rsid w:val="00AE3C15"/>
    <w:rsid w:val="00AE7D42"/>
    <w:rsid w:val="00AF0745"/>
    <w:rsid w:val="00AF1E4A"/>
    <w:rsid w:val="00AF427C"/>
    <w:rsid w:val="00B0008B"/>
    <w:rsid w:val="00B004E9"/>
    <w:rsid w:val="00B02CBC"/>
    <w:rsid w:val="00B10AA1"/>
    <w:rsid w:val="00B129AC"/>
    <w:rsid w:val="00B16ED5"/>
    <w:rsid w:val="00B32EDF"/>
    <w:rsid w:val="00B33532"/>
    <w:rsid w:val="00B4399B"/>
    <w:rsid w:val="00B44149"/>
    <w:rsid w:val="00B45768"/>
    <w:rsid w:val="00B4681A"/>
    <w:rsid w:val="00B5420A"/>
    <w:rsid w:val="00B709BC"/>
    <w:rsid w:val="00B85D75"/>
    <w:rsid w:val="00B9097A"/>
    <w:rsid w:val="00B930A0"/>
    <w:rsid w:val="00BB2A0D"/>
    <w:rsid w:val="00BB534B"/>
    <w:rsid w:val="00BC68FC"/>
    <w:rsid w:val="00BD3290"/>
    <w:rsid w:val="00BD4A83"/>
    <w:rsid w:val="00BE46D8"/>
    <w:rsid w:val="00BF48D4"/>
    <w:rsid w:val="00C002AE"/>
    <w:rsid w:val="00C014A0"/>
    <w:rsid w:val="00C066BE"/>
    <w:rsid w:val="00C1405F"/>
    <w:rsid w:val="00C23298"/>
    <w:rsid w:val="00C34FE3"/>
    <w:rsid w:val="00C46F9F"/>
    <w:rsid w:val="00C53156"/>
    <w:rsid w:val="00C5544E"/>
    <w:rsid w:val="00C628AF"/>
    <w:rsid w:val="00C656CA"/>
    <w:rsid w:val="00C66D5E"/>
    <w:rsid w:val="00C74827"/>
    <w:rsid w:val="00C77DB7"/>
    <w:rsid w:val="00C87FA8"/>
    <w:rsid w:val="00CA5F34"/>
    <w:rsid w:val="00CB2E7D"/>
    <w:rsid w:val="00CB39FA"/>
    <w:rsid w:val="00CB4FF4"/>
    <w:rsid w:val="00CC6A22"/>
    <w:rsid w:val="00CE1571"/>
    <w:rsid w:val="00CE1D1C"/>
    <w:rsid w:val="00CE480A"/>
    <w:rsid w:val="00CF2842"/>
    <w:rsid w:val="00D02CDD"/>
    <w:rsid w:val="00D04A9A"/>
    <w:rsid w:val="00D05A0A"/>
    <w:rsid w:val="00D060D8"/>
    <w:rsid w:val="00D0791E"/>
    <w:rsid w:val="00D1467A"/>
    <w:rsid w:val="00D20B7B"/>
    <w:rsid w:val="00D30772"/>
    <w:rsid w:val="00D3375B"/>
    <w:rsid w:val="00D36FEB"/>
    <w:rsid w:val="00D43F1A"/>
    <w:rsid w:val="00D47E92"/>
    <w:rsid w:val="00D50352"/>
    <w:rsid w:val="00D600E8"/>
    <w:rsid w:val="00D61ADC"/>
    <w:rsid w:val="00D65203"/>
    <w:rsid w:val="00D73B61"/>
    <w:rsid w:val="00D87716"/>
    <w:rsid w:val="00D91118"/>
    <w:rsid w:val="00D96695"/>
    <w:rsid w:val="00DA046E"/>
    <w:rsid w:val="00DA7ACE"/>
    <w:rsid w:val="00DA7B2C"/>
    <w:rsid w:val="00DB265E"/>
    <w:rsid w:val="00DB4FEC"/>
    <w:rsid w:val="00DC27CE"/>
    <w:rsid w:val="00DD162A"/>
    <w:rsid w:val="00DD2999"/>
    <w:rsid w:val="00DE19B7"/>
    <w:rsid w:val="00DE3846"/>
    <w:rsid w:val="00DE4EC4"/>
    <w:rsid w:val="00DF1276"/>
    <w:rsid w:val="00DF41AB"/>
    <w:rsid w:val="00DF51BF"/>
    <w:rsid w:val="00E077D5"/>
    <w:rsid w:val="00E14368"/>
    <w:rsid w:val="00E16866"/>
    <w:rsid w:val="00E16F64"/>
    <w:rsid w:val="00E30C50"/>
    <w:rsid w:val="00E30F17"/>
    <w:rsid w:val="00E3632A"/>
    <w:rsid w:val="00E46BA8"/>
    <w:rsid w:val="00E64CEC"/>
    <w:rsid w:val="00E669D1"/>
    <w:rsid w:val="00E71EEF"/>
    <w:rsid w:val="00E7300E"/>
    <w:rsid w:val="00E735A9"/>
    <w:rsid w:val="00EA39D1"/>
    <w:rsid w:val="00EA63AD"/>
    <w:rsid w:val="00EB176D"/>
    <w:rsid w:val="00EB5100"/>
    <w:rsid w:val="00ED158B"/>
    <w:rsid w:val="00EE4B20"/>
    <w:rsid w:val="00F01A6D"/>
    <w:rsid w:val="00F2166F"/>
    <w:rsid w:val="00F3293E"/>
    <w:rsid w:val="00F44AA9"/>
    <w:rsid w:val="00F500B3"/>
    <w:rsid w:val="00F52CD0"/>
    <w:rsid w:val="00F60E9F"/>
    <w:rsid w:val="00F7215C"/>
    <w:rsid w:val="00F744D4"/>
    <w:rsid w:val="00F826D2"/>
    <w:rsid w:val="00F90139"/>
    <w:rsid w:val="00F94FDD"/>
    <w:rsid w:val="00FB3256"/>
    <w:rsid w:val="00FC1952"/>
    <w:rsid w:val="00FC6BF3"/>
    <w:rsid w:val="00FE18F7"/>
    <w:rsid w:val="00FE789D"/>
    <w:rsid w:val="00FF23C8"/>
    <w:rsid w:val="00FF35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C8EFC8"/>
  <w15:chartTrackingRefBased/>
  <w15:docId w15:val="{B41FADDA-5255-45F8-8C7B-ABE62C01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47F0E"/>
    <w:pPr>
      <w:jc w:val="both"/>
    </w:pPr>
    <w:rPr>
      <w:rFonts w:ascii="Arial" w:eastAsia="Times New Roman"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047F0E"/>
    <w:pPr>
      <w:tabs>
        <w:tab w:val="center" w:pos="4536"/>
        <w:tab w:val="right" w:pos="9072"/>
      </w:tabs>
    </w:pPr>
    <w:rPr>
      <w:rFonts w:cs="Times New Roman"/>
      <w:sz w:val="20"/>
      <w:szCs w:val="20"/>
      <w:lang w:val="x-none"/>
    </w:rPr>
  </w:style>
  <w:style w:type="character" w:customStyle="1" w:styleId="ZpatChar">
    <w:name w:val="Zápatí Char"/>
    <w:link w:val="Zpat"/>
    <w:semiHidden/>
    <w:rsid w:val="00047F0E"/>
    <w:rPr>
      <w:rFonts w:ascii="Arial" w:eastAsia="Times New Roman" w:hAnsi="Arial" w:cs="Arial"/>
      <w:lang w:eastAsia="cs-CZ"/>
    </w:rPr>
  </w:style>
  <w:style w:type="character" w:styleId="Siln">
    <w:name w:val="Strong"/>
    <w:uiPriority w:val="22"/>
    <w:qFormat/>
    <w:rsid w:val="00047F0E"/>
    <w:rPr>
      <w:b/>
      <w:bCs/>
    </w:rPr>
  </w:style>
  <w:style w:type="paragraph" w:customStyle="1" w:styleId="Nadpis41">
    <w:name w:val="Nadpis 41"/>
    <w:basedOn w:val="Normln"/>
    <w:next w:val="Normln"/>
    <w:rsid w:val="00047F0E"/>
    <w:pPr>
      <w:widowControl w:val="0"/>
      <w:jc w:val="center"/>
    </w:pPr>
    <w:rPr>
      <w:b/>
      <w:szCs w:val="20"/>
    </w:rPr>
  </w:style>
  <w:style w:type="paragraph" w:customStyle="1" w:styleId="Normln0">
    <w:name w:val="Normální~"/>
    <w:basedOn w:val="Normln"/>
    <w:rsid w:val="00047F0E"/>
    <w:pPr>
      <w:widowControl w:val="0"/>
    </w:pPr>
    <w:rPr>
      <w:szCs w:val="20"/>
    </w:rPr>
  </w:style>
  <w:style w:type="paragraph" w:styleId="Zkladntext">
    <w:name w:val="Body Text"/>
    <w:basedOn w:val="Normln"/>
    <w:link w:val="ZkladntextChar"/>
    <w:semiHidden/>
    <w:rsid w:val="00047F0E"/>
    <w:rPr>
      <w:rFonts w:cs="Times New Roman"/>
      <w:sz w:val="20"/>
      <w:szCs w:val="20"/>
      <w:lang w:val="x-none"/>
    </w:rPr>
  </w:style>
  <w:style w:type="character" w:customStyle="1" w:styleId="ZkladntextChar">
    <w:name w:val="Základní text Char"/>
    <w:link w:val="Zkladntext"/>
    <w:semiHidden/>
    <w:rsid w:val="00047F0E"/>
    <w:rPr>
      <w:rFonts w:ascii="Arial" w:eastAsia="Times New Roman" w:hAnsi="Arial" w:cs="Arial"/>
      <w:lang w:eastAsia="cs-CZ"/>
    </w:rPr>
  </w:style>
  <w:style w:type="paragraph" w:customStyle="1" w:styleId="Default">
    <w:name w:val="Default"/>
    <w:uiPriority w:val="99"/>
    <w:rsid w:val="00047F0E"/>
    <w:pPr>
      <w:autoSpaceDE w:val="0"/>
      <w:autoSpaceDN w:val="0"/>
      <w:adjustRightInd w:val="0"/>
    </w:pPr>
    <w:rPr>
      <w:rFonts w:ascii="Arial" w:hAnsi="Arial" w:cs="Arial"/>
      <w:color w:val="000000"/>
      <w:sz w:val="24"/>
      <w:szCs w:val="24"/>
      <w:lang w:eastAsia="en-US"/>
    </w:rPr>
  </w:style>
  <w:style w:type="character" w:styleId="Odkaznakoment">
    <w:name w:val="annotation reference"/>
    <w:uiPriority w:val="99"/>
    <w:semiHidden/>
    <w:unhideWhenUsed/>
    <w:rsid w:val="007616D2"/>
    <w:rPr>
      <w:sz w:val="16"/>
      <w:szCs w:val="16"/>
    </w:rPr>
  </w:style>
  <w:style w:type="paragraph" w:styleId="Textkomente">
    <w:name w:val="annotation text"/>
    <w:basedOn w:val="Normln"/>
    <w:link w:val="TextkomenteChar"/>
    <w:uiPriority w:val="99"/>
    <w:semiHidden/>
    <w:unhideWhenUsed/>
    <w:rsid w:val="007616D2"/>
    <w:rPr>
      <w:rFonts w:cs="Times New Roman"/>
      <w:sz w:val="20"/>
      <w:szCs w:val="20"/>
      <w:lang w:val="x-none"/>
    </w:rPr>
  </w:style>
  <w:style w:type="character" w:customStyle="1" w:styleId="TextkomenteChar">
    <w:name w:val="Text komentáře Char"/>
    <w:link w:val="Textkomente"/>
    <w:uiPriority w:val="99"/>
    <w:semiHidden/>
    <w:rsid w:val="007616D2"/>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7616D2"/>
    <w:rPr>
      <w:b/>
      <w:bCs/>
    </w:rPr>
  </w:style>
  <w:style w:type="character" w:customStyle="1" w:styleId="PedmtkomenteChar">
    <w:name w:val="Předmět komentáře Char"/>
    <w:link w:val="Pedmtkomente"/>
    <w:uiPriority w:val="99"/>
    <w:semiHidden/>
    <w:rsid w:val="007616D2"/>
    <w:rPr>
      <w:rFonts w:ascii="Arial" w:eastAsia="Times New Roman" w:hAnsi="Arial" w:cs="Arial"/>
      <w:b/>
      <w:bCs/>
      <w:sz w:val="20"/>
      <w:szCs w:val="20"/>
      <w:lang w:eastAsia="cs-CZ"/>
    </w:rPr>
  </w:style>
  <w:style w:type="paragraph" w:styleId="Textbubliny">
    <w:name w:val="Balloon Text"/>
    <w:basedOn w:val="Normln"/>
    <w:link w:val="TextbublinyChar"/>
    <w:uiPriority w:val="99"/>
    <w:semiHidden/>
    <w:unhideWhenUsed/>
    <w:rsid w:val="007616D2"/>
    <w:rPr>
      <w:rFonts w:ascii="Tahoma" w:hAnsi="Tahoma" w:cs="Times New Roman"/>
      <w:sz w:val="16"/>
      <w:szCs w:val="16"/>
      <w:lang w:val="x-none"/>
    </w:rPr>
  </w:style>
  <w:style w:type="character" w:customStyle="1" w:styleId="TextbublinyChar">
    <w:name w:val="Text bubliny Char"/>
    <w:link w:val="Textbubliny"/>
    <w:uiPriority w:val="99"/>
    <w:semiHidden/>
    <w:rsid w:val="007616D2"/>
    <w:rPr>
      <w:rFonts w:ascii="Tahoma" w:eastAsia="Times New Roman" w:hAnsi="Tahoma" w:cs="Tahoma"/>
      <w:sz w:val="16"/>
      <w:szCs w:val="16"/>
      <w:lang w:eastAsia="cs-CZ"/>
    </w:rPr>
  </w:style>
  <w:style w:type="character" w:styleId="Hypertextovodkaz">
    <w:name w:val="Hyperlink"/>
    <w:uiPriority w:val="99"/>
    <w:unhideWhenUsed/>
    <w:rsid w:val="00883F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5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2077</Words>
  <Characters>12260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14309</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ondrackova</dc:creator>
  <cp:keywords/>
  <cp:lastModifiedBy>Janouchová Miroslava</cp:lastModifiedBy>
  <cp:revision>3</cp:revision>
  <cp:lastPrinted>2018-07-04T09:20:00Z</cp:lastPrinted>
  <dcterms:created xsi:type="dcterms:W3CDTF">2019-11-28T13:21:00Z</dcterms:created>
  <dcterms:modified xsi:type="dcterms:W3CDTF">2019-12-04T11:20:00Z</dcterms:modified>
</cp:coreProperties>
</file>