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0"/>
        <w:rPr>
          <w:b/>
          <w:kern w:val="36"/>
          <w:sz w:val="28"/>
          <w:szCs w:val="28"/>
          <w:lang w:eastAsia="cs-CZ"/>
        </w:rPr>
      </w:pPr>
      <w:r w:rsidRPr="00C71186">
        <w:rPr>
          <w:b/>
          <w:kern w:val="36"/>
          <w:sz w:val="28"/>
          <w:szCs w:val="28"/>
          <w:lang w:eastAsia="cs-CZ"/>
        </w:rPr>
        <w:t>Kupní smlouva</w:t>
      </w:r>
    </w:p>
    <w:p w:rsidR="00552442" w:rsidRPr="00C71186" w:rsidRDefault="00552442" w:rsidP="000C258D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uzavřená na základě dohody smluvních stran podle ustanovení § </w:t>
      </w:r>
      <w:smartTag w:uri="urn:schemas-microsoft-com:office:smarttags" w:element="metricconverter">
        <w:smartTagPr>
          <w:attr w:name="ProductID" w:val="2079 a"/>
        </w:smartTagPr>
        <w:r w:rsidRPr="00C71186">
          <w:rPr>
            <w:sz w:val="20"/>
            <w:szCs w:val="20"/>
            <w:lang w:eastAsia="cs-CZ"/>
          </w:rPr>
          <w:t>2079 a</w:t>
        </w:r>
      </w:smartTag>
      <w:r w:rsidRPr="00C71186">
        <w:rPr>
          <w:sz w:val="20"/>
          <w:szCs w:val="20"/>
          <w:lang w:eastAsia="cs-CZ"/>
        </w:rPr>
        <w:t xml:space="preserve"> následujících zákona č. </w:t>
      </w:r>
      <w:r>
        <w:rPr>
          <w:sz w:val="20"/>
          <w:szCs w:val="20"/>
          <w:lang w:eastAsia="cs-CZ"/>
        </w:rPr>
        <w:t>89/2012 Sb., občanský zákoník (</w:t>
      </w:r>
      <w:r w:rsidRPr="00C71186">
        <w:rPr>
          <w:sz w:val="20"/>
          <w:szCs w:val="20"/>
          <w:lang w:eastAsia="cs-CZ"/>
        </w:rPr>
        <w:t>dále jen „občanský zákoník“)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I.</w:t>
      </w:r>
      <w:r w:rsidRPr="00C71186">
        <w:rPr>
          <w:sz w:val="20"/>
          <w:szCs w:val="20"/>
          <w:lang w:eastAsia="cs-CZ"/>
        </w:rPr>
        <w:br/>
        <w:t>Smluvní strany</w:t>
      </w:r>
    </w:p>
    <w:p w:rsidR="00552442" w:rsidRPr="00C71186" w:rsidRDefault="00552442" w:rsidP="000C258D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b/>
          <w:bCs/>
          <w:sz w:val="20"/>
          <w:szCs w:val="20"/>
          <w:lang w:eastAsia="cs-CZ"/>
        </w:rPr>
        <w:t>Prodávající:</w:t>
      </w:r>
    </w:p>
    <w:p w:rsidR="00552442" w:rsidRPr="00C71186" w:rsidRDefault="00552442" w:rsidP="00E242B5">
      <w:pPr>
        <w:shd w:val="clear" w:color="auto" w:fill="FFFFFF"/>
        <w:spacing w:after="150" w:line="240" w:lineRule="auto"/>
        <w:rPr>
          <w:bCs/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Název:  </w:t>
      </w:r>
      <w:r w:rsidRPr="00C71186">
        <w:rPr>
          <w:sz w:val="20"/>
          <w:szCs w:val="20"/>
          <w:lang w:eastAsia="cs-CZ"/>
        </w:rPr>
        <w:tab/>
        <w:t>Gambero s.r.o.</w:t>
      </w:r>
      <w:r w:rsidRPr="00C71186">
        <w:rPr>
          <w:sz w:val="20"/>
          <w:szCs w:val="20"/>
          <w:lang w:eastAsia="cs-CZ"/>
        </w:rPr>
        <w:br/>
        <w:t xml:space="preserve">Sídlo:   </w:t>
      </w:r>
      <w:r w:rsidRPr="00C71186">
        <w:rPr>
          <w:sz w:val="20"/>
          <w:szCs w:val="20"/>
          <w:lang w:eastAsia="cs-CZ"/>
        </w:rPr>
        <w:tab/>
        <w:t>Rančířov 127, 586 01 Jihlava</w:t>
      </w:r>
      <w:r w:rsidRPr="00C71186">
        <w:rPr>
          <w:sz w:val="20"/>
          <w:szCs w:val="20"/>
          <w:lang w:eastAsia="cs-CZ"/>
        </w:rPr>
        <w:tab/>
      </w:r>
    </w:p>
    <w:p w:rsidR="00552442" w:rsidRPr="00C71186" w:rsidRDefault="00552442" w:rsidP="00E242B5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Provozovna: </w:t>
      </w:r>
      <w:r w:rsidRPr="00C71186">
        <w:rPr>
          <w:sz w:val="20"/>
          <w:szCs w:val="20"/>
          <w:lang w:eastAsia="cs-CZ"/>
        </w:rPr>
        <w:tab/>
      </w:r>
      <w:r w:rsidRPr="00C71186">
        <w:rPr>
          <w:b/>
          <w:sz w:val="20"/>
          <w:szCs w:val="20"/>
          <w:lang w:eastAsia="cs-CZ"/>
        </w:rPr>
        <w:br/>
      </w:r>
      <w:r w:rsidRPr="00C71186">
        <w:rPr>
          <w:sz w:val="20"/>
          <w:szCs w:val="20"/>
          <w:lang w:eastAsia="cs-CZ"/>
        </w:rPr>
        <w:t>IČ:       28816439</w:t>
      </w:r>
      <w:r w:rsidRPr="00C71186">
        <w:rPr>
          <w:sz w:val="20"/>
          <w:szCs w:val="20"/>
          <w:lang w:eastAsia="cs-CZ"/>
        </w:rPr>
        <w:br/>
        <w:t>DIČ:</w:t>
      </w:r>
      <w:r w:rsidRPr="00C71186">
        <w:rPr>
          <w:sz w:val="20"/>
          <w:szCs w:val="20"/>
          <w:lang w:eastAsia="cs-CZ"/>
        </w:rPr>
        <w:tab/>
        <w:t>CZ28816439</w:t>
      </w:r>
      <w:r w:rsidRPr="00C71186">
        <w:rPr>
          <w:sz w:val="20"/>
          <w:szCs w:val="20"/>
          <w:lang w:eastAsia="cs-CZ"/>
        </w:rPr>
        <w:tab/>
      </w:r>
    </w:p>
    <w:p w:rsidR="00552442" w:rsidRPr="00DD44D4" w:rsidRDefault="00552442" w:rsidP="00E242B5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Údaje o zápisu v příslušném rejstříku:  </w:t>
      </w:r>
      <w:r w:rsidRPr="00C71186">
        <w:rPr>
          <w:sz w:val="20"/>
          <w:szCs w:val="20"/>
          <w:lang w:eastAsia="cs-CZ"/>
        </w:rPr>
        <w:br/>
      </w:r>
      <w:r w:rsidRPr="00C71186">
        <w:rPr>
          <w:sz w:val="20"/>
          <w:szCs w:val="20"/>
          <w:lang w:eastAsia="cs-CZ"/>
        </w:rPr>
        <w:br/>
      </w:r>
      <w:r w:rsidRPr="00DD44D4">
        <w:rPr>
          <w:i/>
          <w:iCs/>
          <w:sz w:val="20"/>
          <w:szCs w:val="20"/>
          <w:lang w:eastAsia="cs-CZ"/>
        </w:rPr>
        <w:t>Zastoupený:</w:t>
      </w:r>
      <w:r w:rsidRPr="00DD44D4">
        <w:rPr>
          <w:sz w:val="20"/>
          <w:szCs w:val="20"/>
          <w:lang w:eastAsia="cs-CZ"/>
        </w:rPr>
        <w:br/>
        <w:t>Jméno a příjmení:  Ivonou Neuwirtovou</w:t>
      </w:r>
      <w:r w:rsidRPr="00DD44D4">
        <w:rPr>
          <w:sz w:val="20"/>
          <w:szCs w:val="20"/>
          <w:lang w:eastAsia="cs-CZ"/>
        </w:rPr>
        <w:br/>
        <w:t>Funkce:  jednatelka</w:t>
      </w:r>
      <w:r w:rsidRPr="00DD44D4">
        <w:rPr>
          <w:sz w:val="20"/>
          <w:szCs w:val="20"/>
          <w:lang w:eastAsia="cs-CZ"/>
        </w:rPr>
        <w:br/>
        <w:t>Číslo účtu</w:t>
      </w:r>
      <w:r w:rsidRPr="003A38E1">
        <w:rPr>
          <w:sz w:val="20"/>
          <w:szCs w:val="20"/>
          <w:lang w:eastAsia="cs-CZ"/>
        </w:rPr>
        <w:t>: </w:t>
      </w:r>
    </w:p>
    <w:p w:rsidR="00552442" w:rsidRPr="00DD44D4" w:rsidRDefault="00552442" w:rsidP="000C258D">
      <w:pPr>
        <w:shd w:val="clear" w:color="auto" w:fill="FFFFFF"/>
        <w:spacing w:after="150" w:line="240" w:lineRule="auto"/>
        <w:rPr>
          <w:b/>
          <w:bCs/>
          <w:sz w:val="20"/>
          <w:szCs w:val="20"/>
          <w:lang w:eastAsia="cs-CZ"/>
        </w:rPr>
      </w:pPr>
      <w:r w:rsidRPr="00DD44D4">
        <w:rPr>
          <w:b/>
          <w:bCs/>
          <w:sz w:val="20"/>
          <w:szCs w:val="20"/>
          <w:lang w:eastAsia="cs-CZ"/>
        </w:rPr>
        <w:t>Kupující:</w:t>
      </w:r>
      <w:bookmarkStart w:id="0" w:name="_GoBack"/>
      <w:bookmarkEnd w:id="0"/>
    </w:p>
    <w:p w:rsidR="00552442" w:rsidRPr="00DD44D4" w:rsidRDefault="00552442" w:rsidP="00E242B5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DD44D4">
        <w:rPr>
          <w:sz w:val="20"/>
          <w:szCs w:val="20"/>
          <w:lang w:eastAsia="cs-CZ"/>
        </w:rPr>
        <w:t xml:space="preserve">Název:  </w:t>
      </w:r>
      <w:r w:rsidRPr="00DD44D4">
        <w:rPr>
          <w:sz w:val="20"/>
          <w:szCs w:val="20"/>
        </w:rPr>
        <w:t>Základní škola a Mateřská škola Brno, Merhautova 37, příspěvková organizace</w:t>
      </w:r>
    </w:p>
    <w:p w:rsidR="00552442" w:rsidRPr="00DD44D4" w:rsidRDefault="00552442" w:rsidP="00E242B5">
      <w:pPr>
        <w:shd w:val="clear" w:color="auto" w:fill="FFFFFF"/>
        <w:spacing w:after="150" w:line="240" w:lineRule="auto"/>
        <w:rPr>
          <w:b/>
          <w:bCs/>
          <w:sz w:val="20"/>
          <w:szCs w:val="20"/>
          <w:lang w:eastAsia="cs-CZ"/>
        </w:rPr>
      </w:pPr>
      <w:r w:rsidRPr="00DD44D4">
        <w:rPr>
          <w:sz w:val="20"/>
          <w:szCs w:val="20"/>
          <w:lang w:eastAsia="cs-CZ"/>
        </w:rPr>
        <w:t xml:space="preserve">Sídlo:  </w:t>
      </w:r>
      <w:r w:rsidRPr="00DD44D4">
        <w:rPr>
          <w:sz w:val="20"/>
          <w:szCs w:val="20"/>
        </w:rPr>
        <w:t>Merhautova 37, Brno</w:t>
      </w:r>
    </w:p>
    <w:p w:rsidR="00552442" w:rsidRPr="00DD44D4" w:rsidRDefault="00552442" w:rsidP="00E242B5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DD44D4">
        <w:rPr>
          <w:sz w:val="20"/>
          <w:szCs w:val="20"/>
          <w:lang w:eastAsia="cs-CZ"/>
        </w:rPr>
        <w:t xml:space="preserve">IČ:  </w:t>
      </w:r>
      <w:r w:rsidRPr="00DD44D4">
        <w:rPr>
          <w:sz w:val="20"/>
          <w:szCs w:val="20"/>
        </w:rPr>
        <w:t>49466623</w:t>
      </w:r>
      <w:r w:rsidRPr="00DD44D4">
        <w:rPr>
          <w:sz w:val="20"/>
          <w:szCs w:val="20"/>
          <w:lang w:eastAsia="cs-CZ"/>
        </w:rPr>
        <w:br/>
      </w:r>
      <w:r w:rsidRPr="00DD44D4">
        <w:rPr>
          <w:sz w:val="20"/>
          <w:szCs w:val="20"/>
          <w:lang w:eastAsia="cs-CZ"/>
        </w:rPr>
        <w:br/>
      </w:r>
      <w:r w:rsidRPr="00DD44D4">
        <w:rPr>
          <w:i/>
          <w:iCs/>
          <w:sz w:val="20"/>
          <w:szCs w:val="20"/>
          <w:lang w:eastAsia="cs-CZ"/>
        </w:rPr>
        <w:t>Zastoupený:</w:t>
      </w:r>
      <w:r w:rsidRPr="00DD44D4">
        <w:rPr>
          <w:sz w:val="20"/>
          <w:szCs w:val="20"/>
          <w:lang w:eastAsia="cs-CZ"/>
        </w:rPr>
        <w:br/>
        <w:t xml:space="preserve">Jméno a příjmení:  </w:t>
      </w:r>
      <w:r>
        <w:rPr>
          <w:sz w:val="20"/>
          <w:szCs w:val="20"/>
        </w:rPr>
        <w:t>Pae</w:t>
      </w:r>
      <w:r w:rsidRPr="00DD44D4">
        <w:rPr>
          <w:sz w:val="20"/>
          <w:szCs w:val="20"/>
        </w:rPr>
        <w:t>dDr. Janou Foltýnovou, PhD.</w:t>
      </w:r>
      <w:r w:rsidRPr="00DD44D4">
        <w:rPr>
          <w:sz w:val="20"/>
          <w:szCs w:val="20"/>
          <w:lang w:eastAsia="cs-CZ"/>
        </w:rPr>
        <w:br/>
        <w:t>Funkce:  ředitelka školy</w:t>
      </w:r>
    </w:p>
    <w:p w:rsidR="00552442" w:rsidRPr="00C71186" w:rsidRDefault="00552442" w:rsidP="00E242B5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II.</w:t>
      </w:r>
      <w:r w:rsidRPr="00C71186">
        <w:rPr>
          <w:sz w:val="20"/>
          <w:szCs w:val="20"/>
          <w:lang w:eastAsia="cs-CZ"/>
        </w:rPr>
        <w:br/>
        <w:t>Předmět smlouvy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Prodávající se zavazuje odevzdat kupujícímu věc, která je předmětem koupě, která je blíže specifikovaná v čl. III této smlouvy a umožní mu nabýt vlastnické právo k ní a kupující se zavazuje, že věc převezme a zaplatí prodávajícímu kupní cenu stanovenou v čl. V této smlouvy.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III.</w:t>
      </w:r>
      <w:r w:rsidRPr="00C71186">
        <w:rPr>
          <w:sz w:val="20"/>
          <w:szCs w:val="20"/>
          <w:lang w:eastAsia="cs-CZ"/>
        </w:rPr>
        <w:br/>
        <w:t>Předmět koupě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b/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Předmětem koupě (věcí) se pro účely této smlouvy rozumí nábytek specifikovaný </w:t>
      </w:r>
      <w:r w:rsidRPr="00DD44D4">
        <w:rPr>
          <w:sz w:val="20"/>
          <w:szCs w:val="20"/>
          <w:lang w:eastAsia="cs-CZ"/>
        </w:rPr>
        <w:t>v zadávací dokumentaci</w:t>
      </w:r>
      <w:r>
        <w:rPr>
          <w:sz w:val="20"/>
          <w:szCs w:val="20"/>
          <w:lang w:eastAsia="cs-CZ"/>
        </w:rPr>
        <w:t>.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IV.</w:t>
      </w:r>
      <w:r w:rsidRPr="00C71186">
        <w:rPr>
          <w:sz w:val="20"/>
          <w:szCs w:val="20"/>
          <w:lang w:eastAsia="cs-CZ"/>
        </w:rPr>
        <w:br/>
        <w:t>Práva a povinnosti smluvních stran</w:t>
      </w:r>
    </w:p>
    <w:p w:rsidR="00552442" w:rsidRPr="00C71186" w:rsidRDefault="00552442" w:rsidP="002C257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Prodávající prodává kupujícímu předmět koupě (věc) a kupující tento předmět koupě kupuje.</w:t>
      </w:r>
    </w:p>
    <w:p w:rsidR="00552442" w:rsidRPr="00C71186" w:rsidRDefault="00552442" w:rsidP="002C257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Prodávající se zavazuje dodat kupujícímu předmět koupě (věc) s veškerým povinným a dohodnutým příslušenstvím a vybavením, ve smontovaném stavu, jakož i doklady nezbytnými pro jeho užívání a provoz, nejpozději do </w:t>
      </w:r>
      <w:r>
        <w:rPr>
          <w:sz w:val="20"/>
          <w:szCs w:val="20"/>
        </w:rPr>
        <w:t>31. 12</w:t>
      </w:r>
      <w:r w:rsidRPr="00DD44D4">
        <w:rPr>
          <w:sz w:val="20"/>
          <w:szCs w:val="20"/>
        </w:rPr>
        <w:t>. 2019</w:t>
      </w:r>
      <w:r w:rsidRPr="00DD44D4">
        <w:rPr>
          <w:sz w:val="20"/>
          <w:szCs w:val="20"/>
          <w:lang w:eastAsia="cs-CZ"/>
        </w:rPr>
        <w:t>.</w:t>
      </w:r>
    </w:p>
    <w:p w:rsidR="00552442" w:rsidRPr="00DD44D4" w:rsidRDefault="00552442" w:rsidP="002C2576">
      <w:pPr>
        <w:shd w:val="clear" w:color="auto" w:fill="FFFFFF"/>
        <w:spacing w:after="150" w:line="240" w:lineRule="auto"/>
        <w:jc w:val="both"/>
        <w:rPr>
          <w:b/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Prodávající upřesní kupujícímu termín předání předmětu koupě (věci) nejméně 3 dny předem.</w:t>
      </w:r>
    </w:p>
    <w:p w:rsidR="00552442" w:rsidRPr="00C71186" w:rsidRDefault="00552442" w:rsidP="002C2576">
      <w:pPr>
        <w:shd w:val="clear" w:color="auto" w:fill="FFFFFF"/>
        <w:spacing w:after="150" w:line="240" w:lineRule="auto"/>
        <w:jc w:val="both"/>
        <w:rPr>
          <w:sz w:val="20"/>
          <w:szCs w:val="20"/>
        </w:rPr>
      </w:pPr>
      <w:r w:rsidRPr="00C71186">
        <w:rPr>
          <w:sz w:val="20"/>
          <w:szCs w:val="20"/>
        </w:rPr>
        <w:t>Náklady na dopravu hradí prodávající.</w:t>
      </w:r>
    </w:p>
    <w:p w:rsidR="00552442" w:rsidRPr="00C71186" w:rsidRDefault="00552442" w:rsidP="002C257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Kupující je povinen poskytnout prodávajícímu veškerou součinnost potřebnou k převzetí předmětu koupě v místě dodání, zejména potvrdit převzetí předmětu koupě podpisem dodacího listu vystaveného prodávajícím. 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V.</w:t>
      </w:r>
      <w:r w:rsidRPr="00C71186">
        <w:rPr>
          <w:sz w:val="20"/>
          <w:szCs w:val="20"/>
          <w:lang w:eastAsia="cs-CZ"/>
        </w:rPr>
        <w:br/>
        <w:t>Kupní cena a platební podmínky</w:t>
      </w:r>
    </w:p>
    <w:p w:rsidR="00552442" w:rsidRPr="00C71186" w:rsidRDefault="00552442" w:rsidP="00C71186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Kupní cena za předmět koupě (věc) je dohodou sjednána na: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9"/>
        <w:gridCol w:w="3249"/>
        <w:gridCol w:w="657"/>
      </w:tblGrid>
      <w:tr w:rsidR="00552442" w:rsidRPr="00C71186" w:rsidTr="005D7D0F">
        <w:trPr>
          <w:cantSplit/>
          <w:trHeight w:val="397"/>
        </w:trPr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snapToGrid w:val="0"/>
              <w:rPr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 xml:space="preserve">Celková nabídková cena bez DPH 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snapToGrid w:val="0"/>
              <w:rPr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405 586,78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442" w:rsidRPr="00C71186" w:rsidRDefault="00552442" w:rsidP="005D7D0F">
            <w:pPr>
              <w:pStyle w:val="Heading8"/>
              <w:keepNext/>
              <w:numPr>
                <w:ilvl w:val="7"/>
                <w:numId w:val="0"/>
              </w:numPr>
              <w:tabs>
                <w:tab w:val="num" w:pos="1440"/>
              </w:tabs>
              <w:suppressAutoHyphens/>
              <w:snapToGrid w:val="0"/>
              <w:spacing w:before="0" w:after="0"/>
              <w:ind w:left="1440" w:hanging="1440"/>
              <w:jc w:val="center"/>
              <w:rPr>
                <w:i w:val="0"/>
                <w:sz w:val="20"/>
                <w:szCs w:val="20"/>
              </w:rPr>
            </w:pPr>
            <w:r w:rsidRPr="00C71186">
              <w:rPr>
                <w:i w:val="0"/>
                <w:sz w:val="20"/>
                <w:szCs w:val="20"/>
              </w:rPr>
              <w:t>Kč</w:t>
            </w:r>
          </w:p>
        </w:tc>
      </w:tr>
      <w:tr w:rsidR="00552442" w:rsidRPr="00C71186" w:rsidTr="005D7D0F">
        <w:trPr>
          <w:cantSplit/>
          <w:trHeight w:val="397"/>
        </w:trPr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pStyle w:val="Heading4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0" w:after="0"/>
              <w:ind w:left="864" w:hanging="864"/>
              <w:rPr>
                <w:b w:val="0"/>
                <w:sz w:val="20"/>
                <w:szCs w:val="20"/>
              </w:rPr>
            </w:pPr>
            <w:r w:rsidRPr="00C71186">
              <w:rPr>
                <w:b w:val="0"/>
                <w:sz w:val="20"/>
                <w:szCs w:val="20"/>
              </w:rPr>
              <w:t xml:space="preserve">Výše DPH 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snapToGrid w:val="0"/>
              <w:rPr>
                <w:bCs/>
                <w:sz w:val="20"/>
                <w:szCs w:val="20"/>
              </w:rPr>
            </w:pPr>
            <w:r w:rsidRPr="00C71186">
              <w:rPr>
                <w:bCs/>
                <w:sz w:val="20"/>
                <w:szCs w:val="20"/>
              </w:rPr>
              <w:t>85 173,22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442" w:rsidRPr="00C71186" w:rsidRDefault="00552442" w:rsidP="005D7D0F">
            <w:pPr>
              <w:pStyle w:val="Heading5"/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 w:after="0"/>
              <w:ind w:left="1008" w:hanging="1008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 w:rsidRPr="00C71186">
              <w:rPr>
                <w:b w:val="0"/>
                <w:bCs w:val="0"/>
                <w:i w:val="0"/>
                <w:sz w:val="20"/>
                <w:szCs w:val="20"/>
              </w:rPr>
              <w:t>Kč</w:t>
            </w:r>
          </w:p>
        </w:tc>
      </w:tr>
      <w:tr w:rsidR="00552442" w:rsidRPr="00C71186" w:rsidTr="005D7D0F">
        <w:trPr>
          <w:cantSplit/>
          <w:trHeight w:val="397"/>
        </w:trPr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pStyle w:val="Heading4"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before="0" w:after="0"/>
              <w:ind w:left="864" w:hanging="864"/>
              <w:rPr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2442" w:rsidRPr="00C71186" w:rsidRDefault="00552442" w:rsidP="005D7D0F">
            <w:pPr>
              <w:snapToGrid w:val="0"/>
              <w:rPr>
                <w:sz w:val="20"/>
                <w:szCs w:val="20"/>
              </w:rPr>
            </w:pPr>
            <w:r w:rsidRPr="00C71186">
              <w:rPr>
                <w:sz w:val="20"/>
                <w:szCs w:val="20"/>
              </w:rPr>
              <w:t>490 760,-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442" w:rsidRPr="00C71186" w:rsidRDefault="00552442" w:rsidP="005D7D0F">
            <w:pPr>
              <w:pStyle w:val="Heading5"/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 w:after="0"/>
              <w:ind w:left="1008" w:hanging="1008"/>
              <w:jc w:val="center"/>
              <w:rPr>
                <w:i w:val="0"/>
                <w:sz w:val="20"/>
                <w:szCs w:val="20"/>
              </w:rPr>
            </w:pPr>
            <w:r w:rsidRPr="00C71186">
              <w:rPr>
                <w:i w:val="0"/>
                <w:sz w:val="20"/>
                <w:szCs w:val="20"/>
              </w:rPr>
              <w:t>Kč</w:t>
            </w:r>
          </w:p>
        </w:tc>
      </w:tr>
    </w:tbl>
    <w:p w:rsidR="00552442" w:rsidRPr="00C71186" w:rsidRDefault="00552442" w:rsidP="00C71186">
      <w:pPr>
        <w:jc w:val="both"/>
        <w:rPr>
          <w:sz w:val="20"/>
          <w:szCs w:val="20"/>
        </w:rPr>
      </w:pPr>
    </w:p>
    <w:p w:rsidR="00552442" w:rsidRPr="00C71186" w:rsidRDefault="00552442" w:rsidP="009B6685">
      <w:pPr>
        <w:rPr>
          <w:sz w:val="20"/>
          <w:szCs w:val="20"/>
        </w:rPr>
      </w:pPr>
      <w:r w:rsidRPr="00C71186">
        <w:rPr>
          <w:sz w:val="20"/>
          <w:szCs w:val="20"/>
        </w:rPr>
        <w:t>Celá zakázka bude fakturována jednorázově na základě skutečně provedené a odsouhlasené kompletní dodávky se splatností 30 kalendářních dní od doručení odsouhlasených faktur.</w:t>
      </w:r>
    </w:p>
    <w:p w:rsidR="00552442" w:rsidRPr="00C71186" w:rsidRDefault="00552442" w:rsidP="008B2193">
      <w:pPr>
        <w:shd w:val="clear" w:color="auto" w:fill="FFFFFF"/>
        <w:spacing w:after="150" w:line="240" w:lineRule="auto"/>
        <w:jc w:val="center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VI.</w:t>
      </w:r>
    </w:p>
    <w:p w:rsidR="00552442" w:rsidRPr="00C71186" w:rsidRDefault="00552442" w:rsidP="00271F6C">
      <w:pPr>
        <w:shd w:val="clear" w:color="auto" w:fill="FFFFFF"/>
        <w:spacing w:after="150" w:line="240" w:lineRule="auto"/>
        <w:jc w:val="center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Přechod vlastnictví a nebezpečí škody na prodané věci</w:t>
      </w:r>
    </w:p>
    <w:p w:rsidR="00552442" w:rsidRPr="00C71186" w:rsidRDefault="00552442" w:rsidP="009C051D">
      <w:pPr>
        <w:shd w:val="clear" w:color="auto" w:fill="FFFFFF"/>
        <w:spacing w:after="75" w:line="240" w:lineRule="auto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Vlastnické právo k předmětu koupě přechází na kupujícího okamžikem jeho dodání kupujícímu do místa dodání, resp. okamžikem, kdy prodávající umožní kupujícímu předmět koupě převzít a kupující tak neučiní, ačkoli tak učinit měl. Nebezpečí škody na předmětu koupě přechází na kupujícího okamžikem jeho dodání kupujícímu do místa dodání.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VII.</w:t>
      </w:r>
      <w:r w:rsidRPr="00C71186">
        <w:rPr>
          <w:sz w:val="20"/>
          <w:szCs w:val="20"/>
          <w:lang w:eastAsia="cs-CZ"/>
        </w:rPr>
        <w:br/>
        <w:t>Záruka a reklamace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Prodávající poskytuje kupujícímu záruku za jakost, že předmět koupě (věc) bude možné užít obvyklým způsobem po dobu </w:t>
      </w:r>
      <w:r w:rsidRPr="00DD44D4">
        <w:rPr>
          <w:sz w:val="20"/>
          <w:szCs w:val="20"/>
          <w:lang w:eastAsia="cs-CZ"/>
        </w:rPr>
        <w:t>24 měsíců</w:t>
      </w:r>
      <w:r w:rsidRPr="00C71186">
        <w:rPr>
          <w:sz w:val="20"/>
          <w:szCs w:val="20"/>
          <w:lang w:eastAsia="cs-CZ"/>
        </w:rPr>
        <w:t xml:space="preserve"> dne přechodu nebezpečí škody na předmětu koupě. Kupující nemá právo ze záruky, způsobila-li vadu po přechodu nebezpečí škody na předmětu koupě na kupujícího vnější událost.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 xml:space="preserve">Pro uplatnění záruky za jakost se použijí přiměřeně ustanovení § </w:t>
      </w:r>
      <w:smartTag w:uri="urn:schemas-microsoft-com:office:smarttags" w:element="metricconverter">
        <w:smartTagPr>
          <w:attr w:name="ProductID" w:val="2106 a"/>
        </w:smartTagPr>
        <w:r w:rsidRPr="00C71186">
          <w:rPr>
            <w:sz w:val="20"/>
            <w:szCs w:val="20"/>
            <w:lang w:eastAsia="cs-CZ"/>
          </w:rPr>
          <w:t>2106 a</w:t>
        </w:r>
      </w:smartTag>
      <w:r w:rsidRPr="00C71186">
        <w:rPr>
          <w:sz w:val="20"/>
          <w:szCs w:val="20"/>
          <w:lang w:eastAsia="cs-CZ"/>
        </w:rPr>
        <w:t xml:space="preserve"> násl. občanského zákoníku s tím, že právo volby způsobu odstranění vady má výlučně prodávající. Uplatní-li kupující právo z vadného plnění, potvrdí mu prodávající v písemné formě, kdy právo uplatnil, jakož i provedení opravy a dobu jejího trvání.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VIII</w:t>
      </w:r>
      <w:r w:rsidRPr="00C71186">
        <w:rPr>
          <w:sz w:val="20"/>
          <w:szCs w:val="20"/>
          <w:lang w:eastAsia="cs-CZ"/>
        </w:rPr>
        <w:t>.</w:t>
      </w:r>
      <w:r w:rsidRPr="00C71186">
        <w:rPr>
          <w:sz w:val="20"/>
          <w:szCs w:val="20"/>
          <w:lang w:eastAsia="cs-CZ"/>
        </w:rPr>
        <w:br/>
        <w:t>Řešení sporů</w:t>
      </w:r>
    </w:p>
    <w:p w:rsidR="00552442" w:rsidRPr="00C71186" w:rsidRDefault="00552442" w:rsidP="000C258D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Spory vzniklé z této smlouvy bude řešit soud příslušný dle občanského soudního řádu.</w:t>
      </w:r>
    </w:p>
    <w:p w:rsidR="00552442" w:rsidRPr="00C71186" w:rsidRDefault="00552442" w:rsidP="000C258D">
      <w:pPr>
        <w:shd w:val="clear" w:color="auto" w:fill="FFFFFF"/>
        <w:spacing w:after="75" w:line="240" w:lineRule="auto"/>
        <w:jc w:val="center"/>
        <w:outlineLvl w:val="1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I</w:t>
      </w:r>
      <w:r w:rsidRPr="00C71186">
        <w:rPr>
          <w:sz w:val="20"/>
          <w:szCs w:val="20"/>
          <w:lang w:eastAsia="cs-CZ"/>
        </w:rPr>
        <w:t>X.</w:t>
      </w:r>
      <w:r w:rsidRPr="00C71186">
        <w:rPr>
          <w:sz w:val="20"/>
          <w:szCs w:val="20"/>
          <w:lang w:eastAsia="cs-CZ"/>
        </w:rPr>
        <w:br/>
        <w:t>Závěrečná ustanovení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Tato smlouva je platná a účinná okamžikem jejího podpisu oběma smluvními stranami.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Tato smlouva je vyhotovena ve dvou (2) stejnopisech s platností originálu, z nichž každá ze smluvních stran obdrží po jednom (1).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Právní vztah, který z této smlouvy vznikl, se v částech smluvně neupravených řídí občanským zákoníkem.</w:t>
      </w:r>
    </w:p>
    <w:p w:rsidR="00552442" w:rsidRPr="00C71186" w:rsidRDefault="00552442" w:rsidP="000772A6">
      <w:pPr>
        <w:shd w:val="clear" w:color="auto" w:fill="FFFFFF"/>
        <w:spacing w:after="150" w:line="240" w:lineRule="auto"/>
        <w:jc w:val="both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Tato smlouva může být měněna nebo rušena pouze formou písemných dodatků podepsaných oprávněnými zástupci obou smluvních stran.</w:t>
      </w:r>
    </w:p>
    <w:p w:rsidR="00552442" w:rsidRPr="00C71186" w:rsidRDefault="00552442" w:rsidP="000C258D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</w:p>
    <w:p w:rsidR="00552442" w:rsidRPr="00C71186" w:rsidRDefault="00552442" w:rsidP="000C258D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 Rančířově </w:t>
      </w:r>
      <w:r w:rsidRPr="00C71186">
        <w:rPr>
          <w:sz w:val="20"/>
          <w:szCs w:val="20"/>
          <w:lang w:eastAsia="cs-CZ"/>
        </w:rPr>
        <w:t>dne:</w:t>
      </w:r>
      <w:r w:rsidRPr="00C71186">
        <w:rPr>
          <w:sz w:val="20"/>
          <w:szCs w:val="20"/>
          <w:lang w:eastAsia="cs-CZ"/>
        </w:rPr>
        <w:tab/>
      </w:r>
      <w:r>
        <w:rPr>
          <w:sz w:val="20"/>
          <w:szCs w:val="20"/>
          <w:lang w:eastAsia="cs-CZ"/>
        </w:rPr>
        <w:t>21.11.2019</w:t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  <w:t xml:space="preserve">                     V Brně dne: </w:t>
      </w:r>
      <w:r>
        <w:rPr>
          <w:sz w:val="20"/>
          <w:szCs w:val="20"/>
          <w:lang w:eastAsia="cs-CZ"/>
        </w:rPr>
        <w:t>22.11.2019</w:t>
      </w:r>
    </w:p>
    <w:p w:rsidR="00552442" w:rsidRPr="00C71186" w:rsidRDefault="00552442" w:rsidP="000C258D">
      <w:pPr>
        <w:shd w:val="clear" w:color="auto" w:fill="FFFFFF"/>
        <w:spacing w:after="15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 </w:t>
      </w:r>
    </w:p>
    <w:p w:rsidR="00552442" w:rsidRPr="00C71186" w:rsidRDefault="00552442" w:rsidP="000C258D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  <w:r w:rsidRPr="00C71186">
        <w:rPr>
          <w:sz w:val="20"/>
          <w:szCs w:val="20"/>
          <w:lang w:eastAsia="cs-CZ"/>
        </w:rPr>
        <w:t>Prodávající</w:t>
      </w:r>
      <w:r>
        <w:rPr>
          <w:sz w:val="20"/>
          <w:szCs w:val="20"/>
          <w:lang w:eastAsia="cs-CZ"/>
        </w:rPr>
        <w:t>:</w:t>
      </w:r>
      <w:r w:rsidRPr="00C71186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 xml:space="preserve">Ivona Neuwirtová                                                </w:t>
      </w:r>
      <w:r w:rsidRPr="00C71186">
        <w:rPr>
          <w:sz w:val="20"/>
          <w:szCs w:val="20"/>
          <w:lang w:eastAsia="cs-CZ"/>
        </w:rPr>
        <w:t xml:space="preserve">  kupující</w:t>
      </w:r>
      <w:r>
        <w:rPr>
          <w:sz w:val="20"/>
          <w:szCs w:val="20"/>
          <w:lang w:eastAsia="cs-CZ"/>
        </w:rPr>
        <w:t xml:space="preserve">: </w:t>
      </w:r>
      <w:r>
        <w:rPr>
          <w:sz w:val="20"/>
          <w:szCs w:val="20"/>
        </w:rPr>
        <w:t>PaedDr. Jana Foltýnová</w:t>
      </w:r>
      <w:r w:rsidRPr="00DD44D4">
        <w:rPr>
          <w:sz w:val="20"/>
          <w:szCs w:val="20"/>
        </w:rPr>
        <w:t>, PhD.</w:t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</w:r>
      <w:r w:rsidRPr="00C71186">
        <w:rPr>
          <w:sz w:val="20"/>
          <w:szCs w:val="20"/>
          <w:lang w:eastAsia="cs-CZ"/>
        </w:rPr>
        <w:tab/>
        <w:t xml:space="preserve">          </w:t>
      </w:r>
    </w:p>
    <w:p w:rsidR="00552442" w:rsidRPr="00C71186" w:rsidRDefault="00552442" w:rsidP="000C258D">
      <w:pPr>
        <w:shd w:val="clear" w:color="auto" w:fill="FFFFFF"/>
        <w:spacing w:after="0" w:line="240" w:lineRule="auto"/>
        <w:rPr>
          <w:sz w:val="20"/>
          <w:szCs w:val="20"/>
          <w:lang w:eastAsia="cs-CZ"/>
        </w:rPr>
      </w:pPr>
    </w:p>
    <w:p w:rsidR="00552442" w:rsidRPr="00C71186" w:rsidRDefault="00552442">
      <w:pPr>
        <w:rPr>
          <w:sz w:val="20"/>
          <w:szCs w:val="20"/>
        </w:rPr>
      </w:pPr>
      <w:r w:rsidRPr="00C71186">
        <w:rPr>
          <w:sz w:val="20"/>
          <w:szCs w:val="20"/>
        </w:rPr>
        <w:t xml:space="preserve"> </w:t>
      </w:r>
    </w:p>
    <w:p w:rsidR="00552442" w:rsidRPr="00C71186" w:rsidRDefault="00552442">
      <w:pPr>
        <w:rPr>
          <w:sz w:val="20"/>
          <w:szCs w:val="20"/>
        </w:rPr>
      </w:pPr>
    </w:p>
    <w:p w:rsidR="00552442" w:rsidRPr="00C71186" w:rsidRDefault="00552442">
      <w:pPr>
        <w:rPr>
          <w:sz w:val="20"/>
          <w:szCs w:val="20"/>
        </w:rPr>
      </w:pPr>
    </w:p>
    <w:p w:rsidR="00552442" w:rsidRPr="00C71186" w:rsidRDefault="00552442">
      <w:pPr>
        <w:rPr>
          <w:sz w:val="20"/>
          <w:szCs w:val="20"/>
        </w:rPr>
      </w:pPr>
    </w:p>
    <w:p w:rsidR="00552442" w:rsidRPr="00C71186" w:rsidRDefault="00552442" w:rsidP="002E30A9">
      <w:pPr>
        <w:pStyle w:val="BodyText"/>
        <w:jc w:val="left"/>
        <w:rPr>
          <w:rFonts w:ascii="Calibri" w:hAnsi="Calibri"/>
          <w:sz w:val="20"/>
          <w:szCs w:val="20"/>
        </w:rPr>
      </w:pPr>
    </w:p>
    <w:sectPr w:rsidR="00552442" w:rsidRPr="00C71186" w:rsidSect="00E7656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8D"/>
    <w:rsid w:val="000752FE"/>
    <w:rsid w:val="000772A6"/>
    <w:rsid w:val="000B594A"/>
    <w:rsid w:val="000C258D"/>
    <w:rsid w:val="00156A86"/>
    <w:rsid w:val="00160F53"/>
    <w:rsid w:val="00163D94"/>
    <w:rsid w:val="001948D3"/>
    <w:rsid w:val="001C16F2"/>
    <w:rsid w:val="001F4E5D"/>
    <w:rsid w:val="00221FEE"/>
    <w:rsid w:val="0023063A"/>
    <w:rsid w:val="00240814"/>
    <w:rsid w:val="00247385"/>
    <w:rsid w:val="00271F6C"/>
    <w:rsid w:val="002C2576"/>
    <w:rsid w:val="002E30A9"/>
    <w:rsid w:val="0030399C"/>
    <w:rsid w:val="00323CC3"/>
    <w:rsid w:val="003707F1"/>
    <w:rsid w:val="003A38E1"/>
    <w:rsid w:val="003A595C"/>
    <w:rsid w:val="003F67EF"/>
    <w:rsid w:val="00420827"/>
    <w:rsid w:val="00452EF5"/>
    <w:rsid w:val="00487920"/>
    <w:rsid w:val="004B25D1"/>
    <w:rsid w:val="004B4A53"/>
    <w:rsid w:val="00546BEF"/>
    <w:rsid w:val="00552442"/>
    <w:rsid w:val="005D7D0F"/>
    <w:rsid w:val="005F6E66"/>
    <w:rsid w:val="00603693"/>
    <w:rsid w:val="00606BCE"/>
    <w:rsid w:val="00623E2F"/>
    <w:rsid w:val="00636ADB"/>
    <w:rsid w:val="0067010F"/>
    <w:rsid w:val="007004AA"/>
    <w:rsid w:val="007601F2"/>
    <w:rsid w:val="007837F3"/>
    <w:rsid w:val="00785068"/>
    <w:rsid w:val="007E02AB"/>
    <w:rsid w:val="00814B54"/>
    <w:rsid w:val="008A5106"/>
    <w:rsid w:val="008B2193"/>
    <w:rsid w:val="008F522F"/>
    <w:rsid w:val="009779E0"/>
    <w:rsid w:val="009B6685"/>
    <w:rsid w:val="009C051D"/>
    <w:rsid w:val="009E0658"/>
    <w:rsid w:val="00A21AE8"/>
    <w:rsid w:val="00A75226"/>
    <w:rsid w:val="00AE385F"/>
    <w:rsid w:val="00AF0E69"/>
    <w:rsid w:val="00B20A1C"/>
    <w:rsid w:val="00B260DA"/>
    <w:rsid w:val="00B41E3B"/>
    <w:rsid w:val="00B63148"/>
    <w:rsid w:val="00BB0B38"/>
    <w:rsid w:val="00BC1E4E"/>
    <w:rsid w:val="00C14B3B"/>
    <w:rsid w:val="00C17D01"/>
    <w:rsid w:val="00C25B4A"/>
    <w:rsid w:val="00C51991"/>
    <w:rsid w:val="00C71186"/>
    <w:rsid w:val="00C72E24"/>
    <w:rsid w:val="00CA2974"/>
    <w:rsid w:val="00CA2F55"/>
    <w:rsid w:val="00CF71E6"/>
    <w:rsid w:val="00D30E88"/>
    <w:rsid w:val="00D645DE"/>
    <w:rsid w:val="00D67243"/>
    <w:rsid w:val="00D76449"/>
    <w:rsid w:val="00DB03B8"/>
    <w:rsid w:val="00DB58E0"/>
    <w:rsid w:val="00DC27F0"/>
    <w:rsid w:val="00DC2DB4"/>
    <w:rsid w:val="00DD0576"/>
    <w:rsid w:val="00DD44D4"/>
    <w:rsid w:val="00E11967"/>
    <w:rsid w:val="00E242B5"/>
    <w:rsid w:val="00E47A52"/>
    <w:rsid w:val="00E63966"/>
    <w:rsid w:val="00E6712C"/>
    <w:rsid w:val="00E70FCE"/>
    <w:rsid w:val="00E76569"/>
    <w:rsid w:val="00E808C8"/>
    <w:rsid w:val="00EC7E7D"/>
    <w:rsid w:val="00EE31AA"/>
    <w:rsid w:val="00EE7165"/>
    <w:rsid w:val="00F02D69"/>
    <w:rsid w:val="00F154E5"/>
    <w:rsid w:val="00F3050A"/>
    <w:rsid w:val="00F75396"/>
    <w:rsid w:val="00F9671A"/>
    <w:rsid w:val="00FB308B"/>
    <w:rsid w:val="00FD3360"/>
    <w:rsid w:val="00FD7CF4"/>
    <w:rsid w:val="00FE0059"/>
    <w:rsid w:val="00FE2496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C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rsid w:val="000C2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11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118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118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58D"/>
    <w:rPr>
      <w:rFonts w:ascii="Times New Roman" w:hAnsi="Times New Roman" w:cs="Times New Roman"/>
      <w:b/>
      <w:kern w:val="36"/>
      <w:sz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58D"/>
    <w:rPr>
      <w:rFonts w:ascii="Times New Roman" w:hAnsi="Times New Roman" w:cs="Times New Roman"/>
      <w:b/>
      <w:sz w:val="3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71186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118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71186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0C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C258D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0C25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2A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2A6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221F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21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1FE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1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1FEE"/>
    <w:rPr>
      <w:b/>
    </w:rPr>
  </w:style>
  <w:style w:type="paragraph" w:styleId="BodyText">
    <w:name w:val="Body Text"/>
    <w:basedOn w:val="Normal"/>
    <w:link w:val="BodyTextChar"/>
    <w:uiPriority w:val="99"/>
    <w:rsid w:val="002E30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30A9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2E30A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C71186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575</Words>
  <Characters>3395</Characters>
  <Application>Microsoft Office Outlook</Application>
  <DocSecurity>0</DocSecurity>
  <Lines>0</Lines>
  <Paragraphs>0</Paragraphs>
  <ScaleCrop>false</ScaleCrop>
  <Company>Arbyd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Michaela Marková</dc:creator>
  <cp:keywords/>
  <dc:description/>
  <cp:lastModifiedBy>Jana Veselá</cp:lastModifiedBy>
  <cp:revision>3</cp:revision>
  <cp:lastPrinted>2019-12-04T06:48:00Z</cp:lastPrinted>
  <dcterms:created xsi:type="dcterms:W3CDTF">2019-11-22T09:41:00Z</dcterms:created>
  <dcterms:modified xsi:type="dcterms:W3CDTF">2019-12-04T06:48:00Z</dcterms:modified>
</cp:coreProperties>
</file>