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C" w:rsidRDefault="00C02454">
      <w:pPr>
        <w:pStyle w:val="Nadpis2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F9603C" w:rsidRDefault="00C02454">
      <w:pPr>
        <w:pStyle w:val="Nadpis20"/>
        <w:keepNext/>
        <w:keepLines/>
        <w:shd w:val="clear" w:color="auto" w:fill="auto"/>
      </w:pPr>
      <w:bookmarkStart w:id="1" w:name="bookmark1"/>
      <w:r>
        <w:t>Stanovení množství polyaromatických uhlovodíků (PAU)</w:t>
      </w:r>
      <w:r>
        <w:br/>
        <w:t>na silnicích II. a III. tříd na území Kraje Vysočina</w:t>
      </w:r>
      <w:r>
        <w:br/>
        <w:t>okres ŽĎÁR NAD SÁZAVOU</w:t>
      </w:r>
      <w:bookmarkEnd w:id="1"/>
    </w:p>
    <w:p w:rsidR="00F9603C" w:rsidRDefault="00C02454">
      <w:pPr>
        <w:pStyle w:val="Zkladntext20"/>
        <w:shd w:val="clear" w:color="auto" w:fill="auto"/>
        <w:spacing w:after="150" w:line="240" w:lineRule="exact"/>
        <w:ind w:firstLine="0"/>
      </w:pPr>
      <w:r>
        <w:t>podle § 2586 a násl. zák. č. 89/2012 Sb., občanský zákoník, v platném znění</w:t>
      </w:r>
    </w:p>
    <w:p w:rsidR="00F9603C" w:rsidRDefault="00C02454">
      <w:pPr>
        <w:pStyle w:val="Zkladntext30"/>
        <w:shd w:val="clear" w:color="auto" w:fill="auto"/>
        <w:spacing w:before="0"/>
        <w:ind w:firstLine="0"/>
      </w:pPr>
      <w:r>
        <w:t>Číslo smlouvy objednatele:</w:t>
      </w:r>
    </w:p>
    <w:p w:rsidR="00F9603C" w:rsidRDefault="00C02454">
      <w:pPr>
        <w:pStyle w:val="Zkladntext30"/>
        <w:shd w:val="clear" w:color="auto" w:fill="auto"/>
        <w:spacing w:before="0"/>
        <w:ind w:firstLine="0"/>
      </w:pPr>
      <w:r>
        <w:t xml:space="preserve">Číslo </w:t>
      </w:r>
      <w:r>
        <w:t>smlouvy dodavatele:</w:t>
      </w:r>
    </w:p>
    <w:p w:rsidR="00F9603C" w:rsidRDefault="00C02454">
      <w:pPr>
        <w:pStyle w:val="Zkladntext40"/>
        <w:shd w:val="clear" w:color="auto" w:fill="auto"/>
        <w:spacing w:after="236"/>
        <w:ind w:left="4200" w:right="3500" w:firstLine="160"/>
      </w:pPr>
      <w:r>
        <w:t>Článek 1 Smluvní strany</w:t>
      </w:r>
    </w:p>
    <w:p w:rsidR="00F9603C" w:rsidRDefault="00C02454">
      <w:pPr>
        <w:pStyle w:val="Nadpis30"/>
        <w:keepNext/>
        <w:keepLines/>
        <w:shd w:val="clear" w:color="auto" w:fill="auto"/>
        <w:tabs>
          <w:tab w:val="left" w:pos="2111"/>
        </w:tabs>
        <w:spacing w:before="0"/>
        <w:ind w:firstLine="0"/>
      </w:pPr>
      <w:bookmarkStart w:id="2" w:name="bookmark2"/>
      <w:r>
        <w:t>Objednatel:</w:t>
      </w:r>
      <w:r>
        <w:tab/>
        <w:t>Krajská správa a údržba silnic Vysočiny, příspěvková organizace</w:t>
      </w:r>
      <w:bookmarkEnd w:id="2"/>
    </w:p>
    <w:p w:rsidR="00F9603C" w:rsidRDefault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se sídlem:</w:t>
      </w:r>
      <w:r>
        <w:tab/>
        <w:t>Kosovská 1122/16, 586 01 Jihlava</w:t>
      </w:r>
    </w:p>
    <w:p w:rsidR="00F9603C" w:rsidRDefault="00C02454">
      <w:pPr>
        <w:pStyle w:val="Zkladntext4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zastoupený:</w:t>
      </w:r>
      <w:r>
        <w:tab/>
        <w:t>xxxxxxxxxxxxxxxxx</w:t>
      </w:r>
      <w:r>
        <w:t>, ředitelem organizace</w:t>
      </w:r>
    </w:p>
    <w:p w:rsidR="00F9603C" w:rsidRDefault="00C02454">
      <w:pPr>
        <w:pStyle w:val="Zkladntext20"/>
        <w:shd w:val="clear" w:color="auto" w:fill="auto"/>
        <w:spacing w:after="0" w:line="274" w:lineRule="exact"/>
        <w:ind w:firstLine="0"/>
        <w:jc w:val="both"/>
      </w:pPr>
      <w:r>
        <w:t xml:space="preserve">Osoby pověřené jednat jménem </w:t>
      </w:r>
      <w:r>
        <w:t>objednatele ve věcech</w:t>
      </w:r>
    </w:p>
    <w:p w:rsidR="00F9603C" w:rsidRDefault="00C02454">
      <w:pPr>
        <w:pStyle w:val="Zkladntext20"/>
        <w:shd w:val="clear" w:color="auto" w:fill="auto"/>
        <w:spacing w:after="0" w:line="274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2.55pt;width:95.05pt;height:126.25pt;z-index:-125829376;mso-wrap-distance-left:5pt;mso-wrap-distance-right:15.85pt;mso-position-horizontal-relative:margin" filled="f" stroked="f">
            <v:textbox style="mso-fit-shape-to-text:t" inset="0,0,0,0">
              <w:txbxContent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technických: Bankovní spojení: Číslo účtu:</w:t>
                  </w:r>
                </w:p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Telefon:</w:t>
                  </w:r>
                </w:p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Fax:</w:t>
                  </w:r>
                </w:p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E-mail:</w:t>
                  </w:r>
                </w:p>
                <w:p w:rsidR="00F9603C" w:rsidRDefault="00C02454">
                  <w:pPr>
                    <w:pStyle w:val="Zkladntext2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r>
        <w:t>xxxxxxxxxxxxxx</w:t>
      </w:r>
      <w:r>
        <w:t>, vedoucí oddělení přípravy a realizace staveb Komerční banka, a.s.</w:t>
      </w:r>
    </w:p>
    <w:p w:rsidR="00F9603C" w:rsidRDefault="00C02454">
      <w:pPr>
        <w:pStyle w:val="Zkladntext20"/>
        <w:shd w:val="clear" w:color="auto" w:fill="auto"/>
        <w:spacing w:after="0" w:line="274" w:lineRule="exact"/>
        <w:ind w:right="5500" w:firstLine="0"/>
        <w:jc w:val="left"/>
      </w:pPr>
      <w:r>
        <w:t>xxxxxxxxxxxxx</w:t>
      </w:r>
      <w:r>
        <w:t xml:space="preserve"> 00090450 CZ00090450 xxxxxxxxxxxxxxxx</w:t>
      </w:r>
      <w:r>
        <w:t xml:space="preserve"> Vysočina</w:t>
      </w:r>
    </w:p>
    <w:p w:rsidR="00F9603C" w:rsidRDefault="00C02454">
      <w:pPr>
        <w:pStyle w:val="Zkladntext20"/>
        <w:shd w:val="clear" w:color="auto" w:fill="auto"/>
        <w:spacing w:after="496" w:line="240" w:lineRule="exact"/>
        <w:ind w:firstLine="0"/>
        <w:jc w:val="both"/>
      </w:pPr>
      <w:r>
        <w:t>(dále jen „</w:t>
      </w:r>
      <w:r>
        <w:rPr>
          <w:rStyle w:val="Zkladntext2Kurzva"/>
        </w:rPr>
        <w:t>Objednatel</w:t>
      </w:r>
      <w:r>
        <w:t>“)</w:t>
      </w:r>
    </w:p>
    <w:p w:rsidR="00F9603C" w:rsidRDefault="00C02454">
      <w:pPr>
        <w:pStyle w:val="Nadpis30"/>
        <w:keepNext/>
        <w:keepLines/>
        <w:shd w:val="clear" w:color="auto" w:fill="auto"/>
        <w:tabs>
          <w:tab w:val="left" w:pos="2111"/>
        </w:tabs>
        <w:spacing w:before="0"/>
        <w:ind w:firstLine="0"/>
      </w:pPr>
      <w:bookmarkStart w:id="3" w:name="bookmark3"/>
      <w:r>
        <w:t>Dodavatel:</w:t>
      </w:r>
      <w:r>
        <w:tab/>
        <w:t>ESLAB, spol. s r.o.</w:t>
      </w:r>
      <w:bookmarkEnd w:id="3"/>
    </w:p>
    <w:p w:rsidR="00F9603C" w:rsidRDefault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se sídlem:</w:t>
      </w:r>
      <w:r>
        <w:tab/>
        <w:t>Běluňská 2913/11, Horní Počernice, 193 00 Praha 9</w:t>
      </w:r>
    </w:p>
    <w:p w:rsidR="00F9603C" w:rsidRDefault="00C02454">
      <w:pPr>
        <w:pStyle w:val="Zkladntext4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zastoupený:</w:t>
      </w:r>
      <w:r>
        <w:tab/>
        <w:t>xxxxxxxxxxxxx</w:t>
      </w:r>
      <w:r>
        <w:t>.</w:t>
      </w:r>
    </w:p>
    <w:p w:rsidR="00F9603C" w:rsidRDefault="00C02454" w:rsidP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left"/>
      </w:pPr>
      <w:r>
        <w:t xml:space="preserve">zapsán v </w:t>
      </w:r>
      <w:r>
        <w:t>obchodním rejstříku u Městského soudu v Praze, spisová značka C231870 Osoby pověřené jednat jménem dodavatele ve věcech smluvních:</w:t>
      </w:r>
      <w:r>
        <w:tab/>
      </w:r>
      <w:r>
        <w:rPr>
          <w:rStyle w:val="Zkladntext2Tun"/>
        </w:rPr>
        <w:t>xxxxxxxxxxxxxxxx</w:t>
      </w:r>
    </w:p>
    <w:p w:rsidR="00F9603C" w:rsidRDefault="00C02454">
      <w:pPr>
        <w:pStyle w:val="Zkladntext20"/>
        <w:shd w:val="clear" w:color="auto" w:fill="auto"/>
        <w:spacing w:after="0" w:line="274" w:lineRule="exact"/>
        <w:ind w:firstLine="0"/>
        <w:jc w:val="both"/>
      </w:pPr>
      <w:r>
        <w:t>Bankovní spojení: UniCredit Bank ČR a SK. a.s. Praha</w:t>
      </w:r>
    </w:p>
    <w:p w:rsidR="00F9603C" w:rsidRDefault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Č. účtu:</w:t>
      </w:r>
      <w:r>
        <w:tab/>
        <w:t>xxxxxxxxxxx</w:t>
      </w:r>
    </w:p>
    <w:p w:rsidR="00F9603C" w:rsidRDefault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IČO:</w:t>
      </w:r>
      <w:r>
        <w:tab/>
        <w:t>03598292</w:t>
      </w:r>
    </w:p>
    <w:p w:rsidR="00F9603C" w:rsidRDefault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DIČ:</w:t>
      </w:r>
      <w:r>
        <w:tab/>
        <w:t>CZ03598292</w:t>
      </w:r>
    </w:p>
    <w:p w:rsidR="00F9603C" w:rsidRDefault="00C02454" w:rsidP="00C02454">
      <w:pPr>
        <w:pStyle w:val="Zkladntext20"/>
        <w:shd w:val="clear" w:color="auto" w:fill="auto"/>
        <w:tabs>
          <w:tab w:val="left" w:pos="2111"/>
        </w:tabs>
        <w:spacing w:after="0" w:line="274" w:lineRule="exact"/>
        <w:ind w:firstLine="0"/>
        <w:jc w:val="both"/>
      </w:pPr>
      <w:r>
        <w:t>Telefon:</w:t>
      </w:r>
      <w:r>
        <w:tab/>
        <w:t>xxxxxxxxxxxxxxxxxxxxx</w:t>
      </w:r>
    </w:p>
    <w:p w:rsidR="00F9603C" w:rsidRDefault="00C02454">
      <w:pPr>
        <w:pStyle w:val="Zkladntext50"/>
        <w:shd w:val="clear" w:color="auto" w:fill="auto"/>
        <w:ind w:left="860"/>
      </w:pPr>
      <w:r>
        <w:rPr>
          <w:rStyle w:val="Zkladntext5Nekurzva"/>
        </w:rPr>
        <w:t>(dále jen „</w:t>
      </w:r>
      <w:r>
        <w:t>Dodavatel“)</w:t>
      </w:r>
    </w:p>
    <w:p w:rsidR="00F9603C" w:rsidRDefault="00C02454">
      <w:pPr>
        <w:pStyle w:val="Zkladntext20"/>
        <w:shd w:val="clear" w:color="auto" w:fill="auto"/>
        <w:spacing w:after="480" w:line="274" w:lineRule="exact"/>
        <w:ind w:left="860" w:hanging="680"/>
        <w:jc w:val="left"/>
      </w:pPr>
      <w:r>
        <w:t xml:space="preserve">(spoictnč také jako </w:t>
      </w:r>
      <w:r>
        <w:rPr>
          <w:rStyle w:val="Zkladntext2Tun"/>
        </w:rPr>
        <w:t xml:space="preserve">„Smluvní </w:t>
      </w:r>
      <w:r>
        <w:rPr>
          <w:rStyle w:val="Zkladntext2Kurzva"/>
        </w:rPr>
        <w:t>strany</w:t>
      </w:r>
      <w:r>
        <w:rPr>
          <w:rStyle w:val="Zkladntext22"/>
        </w:rPr>
        <w:t xml:space="preserve">“ </w:t>
      </w:r>
      <w:r>
        <w:t>nebo je</w:t>
      </w:r>
      <w:r>
        <w:t xml:space="preserve">únotWvě </w:t>
      </w:r>
      <w:r>
        <w:rPr>
          <w:rStyle w:val="Zkladntext2Kurzva"/>
        </w:rPr>
        <w:t>„Smluvní strana</w:t>
      </w:r>
    </w:p>
    <w:p w:rsidR="00F9603C" w:rsidRDefault="00C02454">
      <w:pPr>
        <w:pStyle w:val="Nadpis30"/>
        <w:keepNext/>
        <w:keepLines/>
        <w:shd w:val="clear" w:color="auto" w:fill="auto"/>
        <w:spacing w:before="0"/>
        <w:ind w:left="4580" w:firstLine="0"/>
        <w:jc w:val="left"/>
      </w:pPr>
      <w:bookmarkStart w:id="4" w:name="bookmark4"/>
      <w:r>
        <w:t>Článek 2</w:t>
      </w:r>
      <w:bookmarkEnd w:id="4"/>
    </w:p>
    <w:p w:rsidR="00F9603C" w:rsidRDefault="00C02454">
      <w:pPr>
        <w:pStyle w:val="Zkladntext40"/>
        <w:shd w:val="clear" w:color="auto" w:fill="auto"/>
        <w:tabs>
          <w:tab w:val="left" w:pos="4219"/>
        </w:tabs>
        <w:spacing w:after="0" w:line="274" w:lineRule="exact"/>
        <w:ind w:left="1680" w:firstLine="0"/>
        <w:jc w:val="both"/>
      </w:pPr>
      <w:r>
        <w:rPr>
          <w:rStyle w:val="Zkladntext41"/>
          <w:b/>
          <w:bCs/>
        </w:rPr>
        <w:t>,</w:t>
      </w:r>
      <w:r>
        <w:rPr>
          <w:rStyle w:val="Zkladntext41"/>
          <w:b/>
          <w:bCs/>
        </w:rPr>
        <w:tab/>
      </w:r>
      <w:r>
        <w:t>Předmět plnění</w:t>
      </w:r>
    </w:p>
    <w:p w:rsidR="00F9603C" w:rsidRDefault="00C0245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886"/>
        </w:tabs>
        <w:spacing w:before="0"/>
        <w:ind w:left="860"/>
        <w:jc w:val="left"/>
      </w:pPr>
      <w:bookmarkStart w:id="5" w:name="bookmark5"/>
      <w:r>
        <w:rPr>
          <w:rStyle w:val="Nadpis3Netun"/>
        </w:rPr>
        <w:t xml:space="preserve">Předmětem plnění bude </w:t>
      </w:r>
      <w:r>
        <w:t>stanovení množství polyaromatických uhlovodíků (PAU) na silnicích II. a III. tříd na území Kraje Vysočina v okrese Zďár nad Sázavou</w:t>
      </w:r>
      <w:bookmarkEnd w:id="5"/>
    </w:p>
    <w:p w:rsidR="00F9603C" w:rsidRDefault="00C02454">
      <w:pPr>
        <w:pStyle w:val="Zkladntext20"/>
        <w:shd w:val="clear" w:color="auto" w:fill="auto"/>
        <w:spacing w:after="0" w:line="274" w:lineRule="exact"/>
        <w:ind w:left="860" w:firstLine="0"/>
        <w:jc w:val="both"/>
      </w:pPr>
      <w:r>
        <w:t xml:space="preserve">dle vyhlášky č. 130/2019 Sb., o kritériích, při </w:t>
      </w:r>
      <w:r>
        <w:t>jejichž splnění je (asfaltová směs vedlejším produktem nebo přestává být odpadem, v platném znění. Jedná se o kompletní proces, tzn. od provedení vývrtu/odebrání vzorku již vybouraného materiálu až po výstupní protokol o zkoušce realizovaný v následujících</w:t>
      </w:r>
      <w:r>
        <w:t xml:space="preserve"> částech:</w:t>
      </w:r>
    </w:p>
    <w:p w:rsidR="00F9603C" w:rsidRDefault="00C02454">
      <w:pPr>
        <w:pStyle w:val="Zkladntext30"/>
        <w:shd w:val="clear" w:color="auto" w:fill="auto"/>
        <w:spacing w:before="0" w:line="200" w:lineRule="exact"/>
        <w:ind w:left="860" w:hanging="680"/>
        <w:jc w:val="left"/>
        <w:sectPr w:rsidR="00F9603C">
          <w:footerReference w:type="even" r:id="rId8"/>
          <w:footerReference w:type="default" r:id="rId9"/>
          <w:pgSz w:w="11900" w:h="16840"/>
          <w:pgMar w:top="1378" w:right="1265" w:bottom="620" w:left="1380" w:header="0" w:footer="3" w:gutter="0"/>
          <w:cols w:space="720"/>
          <w:noEndnote/>
          <w:docGrid w:linePitch="360"/>
        </w:sectPr>
      </w:pPr>
      <w:r>
        <w:t>Smlouva o dílo č.</w:t>
      </w:r>
    </w:p>
    <w:p w:rsidR="00F9603C" w:rsidRDefault="00C02454">
      <w:pPr>
        <w:pStyle w:val="Zkladntext20"/>
        <w:numPr>
          <w:ilvl w:val="0"/>
          <w:numId w:val="2"/>
        </w:numPr>
        <w:shd w:val="clear" w:color="auto" w:fill="auto"/>
        <w:tabs>
          <w:tab w:val="left" w:pos="1482"/>
        </w:tabs>
        <w:spacing w:after="0" w:line="240" w:lineRule="exact"/>
        <w:ind w:left="1180" w:firstLine="0"/>
        <w:jc w:val="both"/>
      </w:pPr>
      <w:r>
        <w:lastRenderedPageBreak/>
        <w:t>část - provedení vývrtů ve vozovce</w:t>
      </w:r>
    </w:p>
    <w:p w:rsidR="00F9603C" w:rsidRDefault="00C02454">
      <w:pPr>
        <w:pStyle w:val="Zkladntext20"/>
        <w:numPr>
          <w:ilvl w:val="0"/>
          <w:numId w:val="2"/>
        </w:numPr>
        <w:shd w:val="clear" w:color="auto" w:fill="auto"/>
        <w:tabs>
          <w:tab w:val="left" w:pos="1564"/>
        </w:tabs>
        <w:spacing w:after="262" w:line="240" w:lineRule="exact"/>
        <w:ind w:left="1180" w:firstLine="0"/>
        <w:jc w:val="both"/>
      </w:pPr>
      <w:r>
        <w:t xml:space="preserve">část - </w:t>
      </w:r>
      <w:r>
        <w:t>odebrání vzorků ze stávávajících skládek již vybouraného materiálu</w:t>
      </w:r>
    </w:p>
    <w:p w:rsidR="00F9603C" w:rsidRDefault="00C02454">
      <w:pPr>
        <w:pStyle w:val="Zkladntext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278" w:lineRule="exact"/>
        <w:ind w:left="780" w:right="300"/>
        <w:jc w:val="both"/>
      </w:pPr>
      <w:r>
        <w:t>Dokumentace s výsledky předmětu plnění bude předána ve 2 vyhotovení v následujícím členění:</w:t>
      </w:r>
    </w:p>
    <w:p w:rsidR="00F9603C" w:rsidRDefault="00C02454">
      <w:pPr>
        <w:pStyle w:val="Zkladntext20"/>
        <w:numPr>
          <w:ilvl w:val="0"/>
          <w:numId w:val="3"/>
        </w:numPr>
        <w:shd w:val="clear" w:color="auto" w:fill="auto"/>
        <w:tabs>
          <w:tab w:val="left" w:pos="1386"/>
        </w:tabs>
        <w:spacing w:after="0" w:line="240" w:lineRule="exact"/>
        <w:ind w:left="780" w:firstLine="0"/>
        <w:jc w:val="both"/>
      </w:pPr>
      <w:r>
        <w:t>Protokol o odebrání vzorku</w:t>
      </w:r>
    </w:p>
    <w:p w:rsidR="00F9603C" w:rsidRDefault="00C02454">
      <w:pPr>
        <w:pStyle w:val="Zkladntext20"/>
        <w:numPr>
          <w:ilvl w:val="0"/>
          <w:numId w:val="3"/>
        </w:numPr>
        <w:shd w:val="clear" w:color="auto" w:fill="auto"/>
        <w:tabs>
          <w:tab w:val="left" w:pos="1386"/>
        </w:tabs>
        <w:spacing w:after="213" w:line="240" w:lineRule="exact"/>
        <w:ind w:left="1320" w:hanging="540"/>
        <w:jc w:val="left"/>
      </w:pPr>
      <w:r>
        <w:t>Protokol o zkoušce vystavený akreditovanou zkušební laboratoří dle ČSN</w:t>
      </w:r>
      <w:r>
        <w:t xml:space="preserve"> EN ISO/IEC 17025</w:t>
      </w:r>
    </w:p>
    <w:p w:rsidR="00F9603C" w:rsidRDefault="00C02454">
      <w:pPr>
        <w:pStyle w:val="Zkladntext20"/>
        <w:numPr>
          <w:ilvl w:val="0"/>
          <w:numId w:val="1"/>
        </w:numPr>
        <w:shd w:val="clear" w:color="auto" w:fill="auto"/>
        <w:tabs>
          <w:tab w:val="left" w:pos="700"/>
        </w:tabs>
        <w:spacing w:line="274" w:lineRule="exact"/>
        <w:ind w:left="780" w:right="300"/>
        <w:jc w:val="both"/>
      </w:pPr>
      <w:r>
        <w:t>Dílo bude provedeno v souladu s vyhláškou č. 130/2019 Sb., o kritériích, při jejichž splnění je asfaltová směs vedlejším produktem nebo přestává být odpadem, v platném znění, a dalšími souvisejícími platnými předpisy a TP, zvláště technic</w:t>
      </w:r>
      <w:r>
        <w:t>kými podmínkami Ministerstva dopravy ČR 150 Údržba a opravy vozovek pozemních komunikací obsahujících dehtová pojivá.</w:t>
      </w:r>
    </w:p>
    <w:p w:rsidR="00F9603C" w:rsidRDefault="00C02454">
      <w:pPr>
        <w:pStyle w:val="Zkladntext20"/>
        <w:numPr>
          <w:ilvl w:val="0"/>
          <w:numId w:val="1"/>
        </w:numPr>
        <w:shd w:val="clear" w:color="auto" w:fill="auto"/>
        <w:tabs>
          <w:tab w:val="left" w:pos="700"/>
        </w:tabs>
        <w:spacing w:after="540" w:line="274" w:lineRule="exact"/>
        <w:ind w:left="780" w:right="300"/>
        <w:jc w:val="both"/>
      </w:pPr>
      <w:r>
        <w:t>Dodavatel splní svou povinnost provést dílo jeho řádným ukončením a předáním předmětu díla v rozsahu a termínech dohodnutých touto smlouvo</w:t>
      </w:r>
      <w:r>
        <w:t>u, a to osobně pověřenému zástupci objednatele ve věcech technických, pokud se smluvní strany nedohodnou v konkrétním případě jinak. Předání a převzetí díla bude řádně potvrzeno zástupcem objednavatele. Kopie tohoto potvrzení bude připojena k faktuře.</w:t>
      </w:r>
    </w:p>
    <w:p w:rsidR="00F9603C" w:rsidRDefault="00C02454">
      <w:pPr>
        <w:pStyle w:val="Nadpis30"/>
        <w:keepNext/>
        <w:keepLines/>
        <w:shd w:val="clear" w:color="auto" w:fill="auto"/>
        <w:spacing w:before="0"/>
        <w:ind w:left="220" w:firstLine="0"/>
        <w:jc w:val="center"/>
      </w:pPr>
      <w:bookmarkStart w:id="6" w:name="bookmark6"/>
      <w:r>
        <w:t>Člán</w:t>
      </w:r>
      <w:r>
        <w:t>ek 3</w:t>
      </w:r>
      <w:r>
        <w:br/>
        <w:t>Termín plnění</w:t>
      </w:r>
      <w:bookmarkEnd w:id="6"/>
    </w:p>
    <w:p w:rsidR="00F9603C" w:rsidRDefault="00C02454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274" w:lineRule="exact"/>
        <w:ind w:left="780"/>
        <w:jc w:val="both"/>
      </w:pPr>
      <w:r>
        <w:t>Dodavatel se zavazuje řádně a včas provést dílo v těchto termínech plnění:</w:t>
      </w:r>
    </w:p>
    <w:p w:rsidR="00F9603C" w:rsidRDefault="00C02454">
      <w:pPr>
        <w:pStyle w:val="Zkladntext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4" w:lineRule="exact"/>
        <w:ind w:left="780" w:firstLine="0"/>
        <w:jc w:val="both"/>
      </w:pPr>
      <w:r>
        <w:t xml:space="preserve">Odběr všech vzorků za </w:t>
      </w:r>
      <w:r>
        <w:rPr>
          <w:rStyle w:val="Zkladntext2Tun"/>
        </w:rPr>
        <w:t xml:space="preserve">I. </w:t>
      </w:r>
      <w:r>
        <w:t xml:space="preserve">a </w:t>
      </w:r>
      <w:r>
        <w:rPr>
          <w:rStyle w:val="Zkladntext2Tun"/>
        </w:rPr>
        <w:t xml:space="preserve">II. </w:t>
      </w:r>
      <w:r>
        <w:t xml:space="preserve">část dle odst. 2.1. smlouvy </w:t>
      </w:r>
      <w:r>
        <w:rPr>
          <w:rStyle w:val="Zkladntext2Tun"/>
        </w:rPr>
        <w:t>do 15. 1. 2020.</w:t>
      </w:r>
    </w:p>
    <w:p w:rsidR="00F9603C" w:rsidRDefault="00C02454">
      <w:pPr>
        <w:pStyle w:val="Zkladntext2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274" w:lineRule="exact"/>
        <w:ind w:left="780" w:firstLine="0"/>
        <w:jc w:val="both"/>
      </w:pPr>
      <w:r>
        <w:t xml:space="preserve">Vyhodnocení a předání dokladů za </w:t>
      </w:r>
      <w:r>
        <w:rPr>
          <w:rStyle w:val="Zkladntext2Tun"/>
        </w:rPr>
        <w:t xml:space="preserve">I. </w:t>
      </w:r>
      <w:r>
        <w:t xml:space="preserve">a </w:t>
      </w:r>
      <w:r>
        <w:rPr>
          <w:rStyle w:val="Zkladntext2Tun"/>
        </w:rPr>
        <w:t xml:space="preserve">II. </w:t>
      </w:r>
      <w:r>
        <w:t xml:space="preserve">část dle odst. 2.4. smlouvy </w:t>
      </w:r>
      <w:r>
        <w:rPr>
          <w:rStyle w:val="Zkladntext2Tun"/>
        </w:rPr>
        <w:t>do 29. 2.</w:t>
      </w:r>
    </w:p>
    <w:p w:rsidR="00F9603C" w:rsidRDefault="00C02454">
      <w:pPr>
        <w:pStyle w:val="Nadpis10"/>
        <w:keepNext/>
        <w:keepLines/>
        <w:shd w:val="clear" w:color="auto" w:fill="auto"/>
        <w:spacing w:after="267"/>
        <w:ind w:left="780"/>
      </w:pPr>
      <w:bookmarkStart w:id="7" w:name="bookmark7"/>
      <w:r>
        <w:t>2020</w:t>
      </w:r>
      <w:r>
        <w:rPr>
          <w:rStyle w:val="Nadpis1MicrosoftSansSerif10ptNetun"/>
        </w:rPr>
        <w:t>.</w:t>
      </w:r>
      <w:bookmarkEnd w:id="7"/>
    </w:p>
    <w:p w:rsidR="00F9603C" w:rsidRDefault="00C02454">
      <w:pPr>
        <w:pStyle w:val="Zkladntext20"/>
        <w:numPr>
          <w:ilvl w:val="0"/>
          <w:numId w:val="4"/>
        </w:numPr>
        <w:shd w:val="clear" w:color="auto" w:fill="auto"/>
        <w:tabs>
          <w:tab w:val="left" w:pos="700"/>
        </w:tabs>
        <w:spacing w:after="499" w:line="240" w:lineRule="exact"/>
        <w:ind w:left="780"/>
        <w:jc w:val="both"/>
      </w:pPr>
      <w:r>
        <w:t>Dřívější plnění je možné.</w:t>
      </w:r>
    </w:p>
    <w:p w:rsidR="00F9603C" w:rsidRDefault="00C02454">
      <w:pPr>
        <w:pStyle w:val="Nadpis30"/>
        <w:keepNext/>
        <w:keepLines/>
        <w:shd w:val="clear" w:color="auto" w:fill="auto"/>
        <w:spacing w:before="0"/>
        <w:ind w:left="4500" w:right="4040" w:firstLine="0"/>
        <w:jc w:val="left"/>
      </w:pPr>
      <w:bookmarkStart w:id="8" w:name="bookmark8"/>
      <w:r>
        <w:t>Článek 4 Cena díla</w:t>
      </w:r>
      <w:bookmarkEnd w:id="8"/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00"/>
        </w:tabs>
        <w:spacing w:after="0" w:line="274" w:lineRule="exact"/>
        <w:ind w:left="780" w:right="300"/>
        <w:jc w:val="both"/>
      </w:pPr>
      <w:r>
        <w:t>Cena je stanovena dohodou smluvních stran-dle cenové nabídky dodavatele ze dne 15.11.2019; takto: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253"/>
      </w:tblGrid>
      <w:tr w:rsidR="00F9603C">
        <w:tblPrEx>
          <w:tblCellMar>
            <w:top w:w="0" w:type="dxa"/>
            <w:bottom w:w="0" w:type="dxa"/>
          </w:tblCellMar>
        </w:tblPrEx>
        <w:trPr>
          <w:trHeight w:hRule="exact" w:val="926"/>
          <w:jc w:val="right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03C" w:rsidRDefault="00C02454">
            <w:pPr>
              <w:pStyle w:val="Zkladntext20"/>
              <w:framePr w:w="8232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Zkladntext2Tun0"/>
              </w:rPr>
              <w:t>Cena za I. a II. část dle odst. 2.1. smlouvy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03C" w:rsidRDefault="00C02454">
            <w:pPr>
              <w:pStyle w:val="Zkladntext20"/>
              <w:framePr w:w="8232" w:wrap="notBeside" w:vAnchor="text" w:hAnchor="text" w:xAlign="righ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Zkladntext2Tun0"/>
              </w:rPr>
              <w:t>58 200 Kč bez DPH</w:t>
            </w:r>
          </w:p>
        </w:tc>
      </w:tr>
      <w:tr w:rsidR="00F9603C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03C" w:rsidRDefault="00C02454">
            <w:pPr>
              <w:pStyle w:val="Zkladntext20"/>
              <w:framePr w:w="8232" w:wrap="notBeside" w:vAnchor="text" w:hAnchor="text" w:xAlign="right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Zkladntext23"/>
              </w:rPr>
              <w:t>DPH (21 %)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03C" w:rsidRDefault="00C02454">
            <w:pPr>
              <w:pStyle w:val="Zkladntext20"/>
              <w:framePr w:w="8232" w:wrap="notBeside" w:vAnchor="text" w:hAnchor="text" w:xAlign="righ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Zkladntext2Tun0"/>
              </w:rPr>
              <w:t>12 222 Kč</w:t>
            </w:r>
          </w:p>
        </w:tc>
      </w:tr>
      <w:tr w:rsidR="00F9603C">
        <w:tblPrEx>
          <w:tblCellMar>
            <w:top w:w="0" w:type="dxa"/>
            <w:bottom w:w="0" w:type="dxa"/>
          </w:tblCellMar>
        </w:tblPrEx>
        <w:trPr>
          <w:trHeight w:hRule="exact" w:val="576"/>
          <w:jc w:val="right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03C" w:rsidRDefault="00C02454">
            <w:pPr>
              <w:pStyle w:val="Zkladntext20"/>
              <w:framePr w:w="8232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Zkladntext2Tun0"/>
              </w:rPr>
              <w:t xml:space="preserve">Cena celkem za I. a II. </w:t>
            </w:r>
            <w:r>
              <w:rPr>
                <w:rStyle w:val="Zkladntext2Tun0"/>
              </w:rPr>
              <w:t>část dle odst. 2.1. smlouvy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03C" w:rsidRDefault="00C02454">
            <w:pPr>
              <w:pStyle w:val="Zkladntext20"/>
              <w:framePr w:w="8232" w:wrap="notBeside" w:vAnchor="text" w:hAnchor="text" w:xAlign="right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Zkladntext2Tun0"/>
              </w:rPr>
              <w:t>70 422 Kč vč. DPH</w:t>
            </w:r>
          </w:p>
        </w:tc>
      </w:tr>
    </w:tbl>
    <w:p w:rsidR="00F9603C" w:rsidRDefault="00F9603C">
      <w:pPr>
        <w:framePr w:w="8232" w:wrap="notBeside" w:vAnchor="text" w:hAnchor="text" w:xAlign="right" w:y="1"/>
        <w:rPr>
          <w:sz w:val="2"/>
          <w:szCs w:val="2"/>
        </w:rPr>
      </w:pPr>
    </w:p>
    <w:p w:rsidR="00F9603C" w:rsidRDefault="00F9603C">
      <w:pPr>
        <w:rPr>
          <w:sz w:val="2"/>
          <w:szCs w:val="2"/>
        </w:rPr>
      </w:pP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00"/>
        </w:tabs>
        <w:spacing w:before="494" w:after="0" w:line="274" w:lineRule="exact"/>
        <w:ind w:left="780"/>
        <w:jc w:val="both"/>
      </w:pPr>
      <w:r>
        <w:t>Cena díla za I. a II. část se sjednává pro danou dobu plnění jako cena nejvýše</w:t>
      </w:r>
    </w:p>
    <w:p w:rsidR="00F9603C" w:rsidRDefault="00C02454">
      <w:pPr>
        <w:pStyle w:val="Zkladntext20"/>
        <w:shd w:val="clear" w:color="auto" w:fill="auto"/>
        <w:tabs>
          <w:tab w:val="left" w:pos="7678"/>
        </w:tabs>
        <w:spacing w:after="236" w:line="274" w:lineRule="exact"/>
        <w:ind w:left="780" w:right="300" w:firstLine="0"/>
        <w:jc w:val="both"/>
      </w:pPr>
      <w:r>
        <w:t>přípustná, tj. se započtením veškerých nákladů, rizik, zisku a finančních vlivů (např. inflace) v rozsahu nabídky, tj. oceněného</w:t>
      </w:r>
      <w:r>
        <w:t xml:space="preserve"> seznamu staveb a skládek, který je nedílnou součástí této smlouvy.</w:t>
      </w:r>
      <w:r>
        <w:tab/>
      </w:r>
      <w:r>
        <w:rPr>
          <w:vertAlign w:val="subscript"/>
        </w:rPr>
        <w:t>:</w:t>
      </w: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00"/>
        </w:tabs>
        <w:spacing w:after="0" w:line="278" w:lineRule="exact"/>
        <w:ind w:left="780" w:right="300"/>
        <w:jc w:val="both"/>
      </w:pPr>
      <w:r>
        <w:t>Celkovou a pro účely fakturace rozhodnou cenou se u plátce daně z přidané hodnoty rozumí cena včetně DPH.</w:t>
      </w:r>
    </w:p>
    <w:p w:rsidR="00F9603C" w:rsidRDefault="00C02454">
      <w:pPr>
        <w:pStyle w:val="Zkladntext30"/>
        <w:shd w:val="clear" w:color="auto" w:fill="auto"/>
        <w:spacing w:before="0" w:line="200" w:lineRule="exact"/>
        <w:ind w:left="780"/>
        <w:sectPr w:rsidR="00F9603C">
          <w:pgSz w:w="11900" w:h="16840"/>
          <w:pgMar w:top="1129" w:right="1113" w:bottom="799" w:left="1350" w:header="0" w:footer="3" w:gutter="0"/>
          <w:cols w:space="720"/>
          <w:noEndnote/>
          <w:docGrid w:linePitch="360"/>
        </w:sectPr>
      </w:pPr>
      <w:r>
        <w:t>Smlouva o dílo č.</w:t>
      </w: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184" w:line="278" w:lineRule="exact"/>
        <w:ind w:left="780"/>
        <w:jc w:val="both"/>
      </w:pPr>
      <w:r>
        <w:lastRenderedPageBreak/>
        <w:t xml:space="preserve">Smluvní strany se dohodly, že dojde-li </w:t>
      </w:r>
      <w:r>
        <w:t>v průběhu plnění předmětu této smlouvy ke změně zákonné sazby DPH stanovené pro příslušné plnění vyplývající z této smlouvy, je dodavatel (plátce daně) od okamžiku nabytí účinnosti změny zákonné sazby DPH povinen účtovat objednateli platnou sazbu DPH. O té</w:t>
      </w:r>
      <w:r>
        <w:t>to skutečnosti není nutné uzavírat dodatek k této smlouvě.</w:t>
      </w: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176" w:line="274" w:lineRule="exact"/>
        <w:ind w:left="780"/>
        <w:jc w:val="both"/>
      </w:pPr>
      <w:r>
        <w:t>Všechny úpravy cen musí být v souladu s obecně platnými cenovými předpisy a podléhají smluvnímu schválení obou smluvních stran. Dodavatel (plátce daně) odpovídá za to, že sazba DPH je stanovena v s</w:t>
      </w:r>
      <w:r>
        <w:t>ouladu s platnými právními předpisy.</w:t>
      </w: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180" w:line="278" w:lineRule="exact"/>
        <w:ind w:left="780"/>
        <w:jc w:val="both"/>
      </w:pPr>
      <w:r>
        <w:t>Dodatečné služby nad rámec předmětu plnění smlouvy mající dopad na zvýšení ceny díla vyžadují předchozí dohodu smluvních stran formou písemného dodatku ke smlouvě.</w:t>
      </w: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180" w:line="278" w:lineRule="exact"/>
        <w:ind w:left="780"/>
        <w:jc w:val="both"/>
      </w:pPr>
      <w:r>
        <w:t>Veškeré dodatečné služby, které jsou nezbytné pro dokon</w:t>
      </w:r>
      <w:r>
        <w:t>čení díla, musí být písemně dohodnuty pověřenými osobami.</w:t>
      </w:r>
    </w:p>
    <w:p w:rsidR="00F9603C" w:rsidRDefault="00C02454">
      <w:pPr>
        <w:pStyle w:val="Zkladntext20"/>
        <w:numPr>
          <w:ilvl w:val="0"/>
          <w:numId w:val="6"/>
        </w:numPr>
        <w:shd w:val="clear" w:color="auto" w:fill="auto"/>
        <w:tabs>
          <w:tab w:val="left" w:pos="716"/>
        </w:tabs>
        <w:spacing w:after="195" w:line="278" w:lineRule="exact"/>
        <w:ind w:left="780"/>
        <w:jc w:val="both"/>
      </w:pPr>
      <w:r>
        <w:t>Objednatel je oprávněn zmenšit rozsah předmětu díla. V tomto případě bude smluvní cena poměrně snížena s použitím cen z oceněného seznamu staveb a skládek. Nedojde-li mezi oběma stranami k dohodě př</w:t>
      </w:r>
      <w:r>
        <w:t>i odsouhlasení množství nebo druhu provedených služeb, je dodavatel oprávněn fakturovat pouze práce, u kterých nedošlo krozporu.</w:t>
      </w:r>
    </w:p>
    <w:p w:rsidR="00F9603C" w:rsidRDefault="00C02454">
      <w:pPr>
        <w:pStyle w:val="Zkladntext60"/>
        <w:shd w:val="clear" w:color="auto" w:fill="auto"/>
        <w:spacing w:before="0" w:after="14" w:line="110" w:lineRule="exact"/>
      </w:pPr>
      <w:r>
        <w:t>v</w:t>
      </w:r>
    </w:p>
    <w:p w:rsidR="00F9603C" w:rsidRDefault="00C02454">
      <w:pPr>
        <w:pStyle w:val="Nadpis30"/>
        <w:keepNext/>
        <w:keepLines/>
        <w:shd w:val="clear" w:color="auto" w:fill="auto"/>
        <w:spacing w:before="0" w:line="240" w:lineRule="exact"/>
        <w:ind w:left="4540" w:firstLine="0"/>
        <w:jc w:val="left"/>
      </w:pPr>
      <w:bookmarkStart w:id="9" w:name="bookmark9"/>
      <w:r>
        <w:t>Článek 5</w:t>
      </w:r>
      <w:bookmarkEnd w:id="9"/>
    </w:p>
    <w:p w:rsidR="00F9603C" w:rsidRDefault="00C02454">
      <w:pPr>
        <w:pStyle w:val="Nadpis30"/>
        <w:keepNext/>
        <w:keepLines/>
        <w:shd w:val="clear" w:color="auto" w:fill="auto"/>
        <w:spacing w:before="0" w:after="267" w:line="240" w:lineRule="exact"/>
        <w:ind w:left="3820" w:firstLine="0"/>
        <w:jc w:val="left"/>
      </w:pPr>
      <w:bookmarkStart w:id="10" w:name="bookmark10"/>
      <w:r>
        <w:t>Placení a fakturace</w:t>
      </w:r>
      <w:bookmarkEnd w:id="10"/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60" w:line="278" w:lineRule="exact"/>
        <w:ind w:left="780"/>
        <w:jc w:val="both"/>
      </w:pPr>
      <w:r>
        <w:t>Nárok na zaplacení ceny a právo vystavení faktury vzniká provedením předmětu díla dle čl. 3 této</w:t>
      </w:r>
      <w:r>
        <w:t xml:space="preserve"> smlouvy. Smluvní strany se dohodly, že objednatel zaplatí cenu na základě daňového dokladu vystaveného dodavatelem ve lhůtě splatnosti 30 dnů od doručení.</w:t>
      </w:r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64" w:line="278" w:lineRule="exact"/>
        <w:ind w:left="780"/>
        <w:jc w:val="both"/>
      </w:pPr>
      <w:r>
        <w:t>Faktura musí v souladu se zákonem č. 235/2004 Sb., o dani z přidané hodnoty, ve znění pozdějších pře</w:t>
      </w:r>
      <w:r>
        <w:t>dpisů (dále zákon o DPH) a zákonem č. 563/1991 Sb. o účetnictví, ve-znění pozdějších předpisů, obsahovat označení faktura a její číslo, název a sídlo dodavatele a objednatele s jejich dalšími identifikačními údaji, označení smlouvy a částku k fakturaci a d</w:t>
      </w:r>
      <w:r>
        <w:t>alší údaje povinné podle uvedených právních předpisů.</w:t>
      </w:r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87" w:line="274" w:lineRule="exact"/>
        <w:ind w:left="780"/>
        <w:jc w:val="both"/>
      </w:pPr>
      <w:r>
        <w:t>Dodavatel je povinen fakturu a případně další doklady, označit číslem smlouvy. Objednatel může fakturu vrátit v případě, kdy obsahuje nesprávné nebo neúplné cenové a jiné údaje. Toto vrácení musí proběh</w:t>
      </w:r>
      <w:r>
        <w:t>nout do konce lhůty splatnosti faktury. V takovém případě vystaví dodavatel novou fakturu s novou lhůtou splatnosti, kterou je povinen doručit objednateli.</w:t>
      </w:r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84" w:line="240" w:lineRule="exact"/>
        <w:ind w:left="780"/>
        <w:jc w:val="both"/>
      </w:pPr>
      <w:r>
        <w:t>Objednatel nebude dodavateli poskytovat zálohy.</w:t>
      </w:r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64" w:line="283" w:lineRule="exact"/>
        <w:ind w:left="780"/>
        <w:jc w:val="both"/>
      </w:pPr>
      <w:r>
        <w:t xml:space="preserve">Smluvní strany se dohodly, že pokud nebude některá </w:t>
      </w:r>
      <w:r>
        <w:t>část předmětu díla plněna, nebude tato cena účtována.</w:t>
      </w:r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64" w:line="278" w:lineRule="exact"/>
        <w:ind w:left="780"/>
        <w:jc w:val="both"/>
      </w:pPr>
      <w:r>
        <w:t xml:space="preserve">Úhrada iCeny díla bude realizována bezhotovostním převodem na účet dodavatele, který je správcem daně (finančním úřadem) zveřejněn způsobem umožňujícím dálkový přístup ve smyslu § </w:t>
      </w:r>
      <w:r>
        <w:rPr>
          <w:rStyle w:val="Zkladntext2Tun"/>
        </w:rPr>
        <w:t>98 zákona o DPH.</w:t>
      </w:r>
    </w:p>
    <w:p w:rsidR="00F9603C" w:rsidRDefault="00C02454">
      <w:pPr>
        <w:pStyle w:val="Zkladntext20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74" w:lineRule="exact"/>
        <w:ind w:left="780"/>
        <w:jc w:val="both"/>
        <w:sectPr w:rsidR="00F9603C">
          <w:footerReference w:type="even" r:id="rId10"/>
          <w:footerReference w:type="default" r:id="rId11"/>
          <w:pgSz w:w="11900" w:h="16840"/>
          <w:pgMar w:top="1129" w:right="1113" w:bottom="799" w:left="1350" w:header="0" w:footer="3" w:gutter="0"/>
          <w:cols w:space="720"/>
          <w:noEndnote/>
          <w:docGrid w:linePitch="360"/>
        </w:sectPr>
      </w:pPr>
      <w:r>
        <w:t xml:space="preserve">Pokud se po dobu účinnosti této Smlouvy dodavatel stane nespolehlivým plátcem ve smyslu ustanovení § </w:t>
      </w:r>
      <w:r>
        <w:rPr>
          <w:rStyle w:val="Zkladntext2Tun"/>
        </w:rPr>
        <w:t xml:space="preserve">106a zákona o DPH, </w:t>
      </w:r>
      <w:r>
        <w:t>smluvní strany se dohodly, že objednatel uhradí DPH za zdanitelné plnění přímo příslušnému správci daně. Objednatelem takto</w:t>
      </w:r>
    </w:p>
    <w:p w:rsidR="00F9603C" w:rsidRDefault="00C02454">
      <w:pPr>
        <w:pStyle w:val="Zkladntext20"/>
        <w:shd w:val="clear" w:color="auto" w:fill="auto"/>
        <w:spacing w:after="631" w:line="278" w:lineRule="exact"/>
        <w:ind w:left="720" w:firstLine="0"/>
        <w:jc w:val="both"/>
      </w:pPr>
      <w:r>
        <w:lastRenderedPageBreak/>
        <w:t xml:space="preserve">provedená úhrada je považována za uhrazení příslušné části smluvní ceny rovnající se výši DPH fakturované </w:t>
      </w:r>
      <w:r>
        <w:t>dodavatelem.</w:t>
      </w:r>
    </w:p>
    <w:p w:rsidR="00F9603C" w:rsidRDefault="00C02454">
      <w:pPr>
        <w:pStyle w:val="Nadpis30"/>
        <w:keepNext/>
        <w:keepLines/>
        <w:shd w:val="clear" w:color="auto" w:fill="auto"/>
        <w:spacing w:before="0" w:line="240" w:lineRule="exact"/>
        <w:ind w:left="20" w:firstLine="0"/>
        <w:jc w:val="center"/>
      </w:pPr>
      <w:bookmarkStart w:id="11" w:name="bookmark11"/>
      <w:r>
        <w:t>Článek 6</w:t>
      </w:r>
      <w:bookmarkEnd w:id="11"/>
    </w:p>
    <w:p w:rsidR="00F9603C" w:rsidRDefault="00C02454">
      <w:pPr>
        <w:pStyle w:val="Zkladntext40"/>
        <w:shd w:val="clear" w:color="auto" w:fill="auto"/>
        <w:spacing w:after="266" w:line="240" w:lineRule="exact"/>
        <w:ind w:left="2520" w:firstLine="0"/>
      </w:pPr>
      <w:r>
        <w:t>Odpovědnost dodavatele za vady díla a záruka</w:t>
      </w:r>
    </w:p>
    <w:p w:rsidR="00F9603C" w:rsidRDefault="00C02454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173" w:line="274" w:lineRule="exact"/>
        <w:ind w:left="720" w:hanging="720"/>
        <w:jc w:val="both"/>
      </w:pPr>
      <w:r>
        <w:t>Dodavatel odpovídá za bezvadnost díla a jeho řádné provedení v souladu s vyhláškou č. 130/2019, o kritériích, při jejichž splnění je asfaltová směs vedlejším produktem nebo přestává být odp</w:t>
      </w:r>
      <w:r>
        <w:t>adem, v platném znění, a v souladu s dalšími příslušnými platnými předpisy a TP, především technickými podmínkami Ministerstva dopravy ČR 150 Údržba a opravy vozovek pozemních komunikací obsahujících dehtová pojivá.</w:t>
      </w:r>
    </w:p>
    <w:p w:rsidR="00F9603C" w:rsidRDefault="00C02454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188" w:line="283" w:lineRule="exact"/>
        <w:ind w:left="720" w:hanging="720"/>
        <w:jc w:val="both"/>
      </w:pPr>
      <w:r>
        <w:t xml:space="preserve">Dodavatel poskytuje objednateli </w:t>
      </w:r>
      <w:r>
        <w:rPr>
          <w:rStyle w:val="Zkladntext2Tun"/>
        </w:rPr>
        <w:t xml:space="preserve">smluvní </w:t>
      </w:r>
      <w:r>
        <w:rPr>
          <w:rStyle w:val="Zkladntext2Tun"/>
        </w:rPr>
        <w:t xml:space="preserve">záruku v délce 2 let </w:t>
      </w:r>
      <w:r>
        <w:t>ode dne protokolárního převzetí díla.</w:t>
      </w:r>
    </w:p>
    <w:p w:rsidR="00F9603C" w:rsidRDefault="00C02454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176" w:line="274" w:lineRule="exact"/>
        <w:ind w:left="720" w:hanging="720"/>
        <w:jc w:val="both"/>
      </w:pPr>
      <w:r>
        <w:t>Dodavatel se zavazuje odstranit vady díla v záruční době do 10 kalendářních dnů od jejich nahlášení, pokud není zástupci obou smluvních stran dohodnuto jinak.</w:t>
      </w:r>
    </w:p>
    <w:p w:rsidR="00F9603C" w:rsidRDefault="00C02454">
      <w:pPr>
        <w:pStyle w:val="Zkladntext20"/>
        <w:numPr>
          <w:ilvl w:val="0"/>
          <w:numId w:val="8"/>
        </w:numPr>
        <w:shd w:val="clear" w:color="auto" w:fill="auto"/>
        <w:tabs>
          <w:tab w:val="left" w:pos="708"/>
        </w:tabs>
        <w:spacing w:after="360" w:line="278" w:lineRule="exact"/>
        <w:ind w:left="720" w:hanging="720"/>
        <w:jc w:val="both"/>
      </w:pPr>
      <w:r>
        <w:t xml:space="preserve">Dodavatel prohlašuje, že má uzavřenou </w:t>
      </w:r>
      <w:r>
        <w:t>pojistnou smlouvu, která kryje rizika spojená s případnými škodami, které by vznikly objednateli či třetím osobám, v důsledku vad díla.</w:t>
      </w:r>
    </w:p>
    <w:p w:rsidR="00F9603C" w:rsidRDefault="00C02454">
      <w:pPr>
        <w:pStyle w:val="Nadpis30"/>
        <w:keepNext/>
        <w:keepLines/>
        <w:shd w:val="clear" w:color="auto" w:fill="auto"/>
        <w:spacing w:before="0" w:after="184" w:line="278" w:lineRule="exact"/>
        <w:ind w:left="20" w:firstLine="0"/>
        <w:jc w:val="center"/>
      </w:pPr>
      <w:bookmarkStart w:id="12" w:name="bookmark12"/>
      <w:r>
        <w:t>Článek 7</w:t>
      </w:r>
      <w:r>
        <w:br/>
        <w:t>Smluvní pokuty</w:t>
      </w:r>
      <w:bookmarkEnd w:id="12"/>
    </w:p>
    <w:p w:rsidR="00F9603C" w:rsidRDefault="00C02454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after="180" w:line="274" w:lineRule="exact"/>
        <w:ind w:left="720" w:hanging="720"/>
        <w:jc w:val="both"/>
      </w:pPr>
      <w:r>
        <w:t>Dodavatel je povinen uhradit objednateli smluvní pokutu za prodlení splněním dle odst. 3.1. a) O</w:t>
      </w:r>
      <w:r>
        <w:t>dběr všech vzorků za I. část a II. část nebo za prodlení splněním dle odst. 3.1. b) Vyhodnocení a předání dokladů za I. část a II. část ve výši 0,2 % z celkové ceny díla včetně DPH, a to za každý započatý den prodlení.</w:t>
      </w:r>
    </w:p>
    <w:p w:rsidR="00F9603C" w:rsidRDefault="00C02454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after="180" w:line="274" w:lineRule="exact"/>
        <w:ind w:left="720" w:hanging="720"/>
        <w:jc w:val="both"/>
      </w:pPr>
      <w:r>
        <w:t>Objednatel je povinen zaplatit dodava</w:t>
      </w:r>
      <w:r>
        <w:t>teli úrok z prodlení v zákonné výši z fakturované částky za každý započatý den prodlení se zaplacením faktury.</w:t>
      </w:r>
    </w:p>
    <w:p w:rsidR="00F9603C" w:rsidRDefault="00C02454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after="176" w:line="274" w:lineRule="exact"/>
        <w:ind w:left="720" w:hanging="720"/>
        <w:jc w:val="both"/>
      </w:pPr>
      <w:r>
        <w:t>Smluvní strany se dohodly, že ujednáním o smluvních pokutách není dotčeno právo na náhradu škody vzniklé z porušení povinnosti, ke kterému se sml</w:t>
      </w:r>
      <w:r>
        <w:t>uvní pokuta vztahuje.</w:t>
      </w:r>
    </w:p>
    <w:p w:rsidR="00F9603C" w:rsidRDefault="00C02454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after="180" w:line="278" w:lineRule="exact"/>
        <w:ind w:left="720" w:hanging="720"/>
        <w:jc w:val="both"/>
      </w:pPr>
      <w:r>
        <w:t>Strana povinná k uhrazení smluvní pokuty je povinna uhradit vyúčtované sankce nejpozději do 15 dnů ode dne obdržení příslušného vyúčtování.</w:t>
      </w:r>
    </w:p>
    <w:p w:rsidR="00F9603C" w:rsidRDefault="00C02454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after="511" w:line="278" w:lineRule="exact"/>
        <w:ind w:left="720" w:hanging="720"/>
        <w:jc w:val="both"/>
      </w:pPr>
      <w:r>
        <w:t xml:space="preserve">Pohledávku objednatele na zaplacení smluvní pokuty je objednatel oprávněn započítat s </w:t>
      </w:r>
      <w:r>
        <w:t>pohledávkou dodavatele na zaplacení ceny.</w:t>
      </w:r>
    </w:p>
    <w:p w:rsidR="00F9603C" w:rsidRDefault="00C02454">
      <w:pPr>
        <w:pStyle w:val="Nadpis30"/>
        <w:keepNext/>
        <w:keepLines/>
        <w:shd w:val="clear" w:color="auto" w:fill="auto"/>
        <w:spacing w:before="0" w:line="240" w:lineRule="exact"/>
        <w:ind w:left="4480" w:firstLine="0"/>
        <w:jc w:val="left"/>
      </w:pPr>
      <w:bookmarkStart w:id="13" w:name="bookmark13"/>
      <w:r>
        <w:t>Článek 8</w:t>
      </w:r>
      <w:bookmarkEnd w:id="13"/>
    </w:p>
    <w:p w:rsidR="00F9603C" w:rsidRDefault="00C02454">
      <w:pPr>
        <w:pStyle w:val="Nadpis30"/>
        <w:keepNext/>
        <w:keepLines/>
        <w:shd w:val="clear" w:color="auto" w:fill="auto"/>
        <w:tabs>
          <w:tab w:val="left" w:pos="3450"/>
        </w:tabs>
        <w:spacing w:before="0" w:after="271" w:line="240" w:lineRule="exact"/>
        <w:ind w:left="1660" w:firstLine="0"/>
      </w:pPr>
      <w:bookmarkStart w:id="14" w:name="bookmark14"/>
      <w:r>
        <w:rPr>
          <w:vertAlign w:val="superscript"/>
        </w:rPr>
        <w:t>1</w:t>
      </w:r>
      <w:r>
        <w:tab/>
        <w:t>Podmínky výpovědi smlouvy</w:t>
      </w:r>
      <w:bookmarkEnd w:id="14"/>
    </w:p>
    <w:p w:rsidR="00F9603C" w:rsidRDefault="00C02454">
      <w:pPr>
        <w:pStyle w:val="Zkladntext20"/>
        <w:numPr>
          <w:ilvl w:val="0"/>
          <w:numId w:val="10"/>
        </w:numPr>
        <w:shd w:val="clear" w:color="auto" w:fill="auto"/>
        <w:tabs>
          <w:tab w:val="left" w:pos="708"/>
        </w:tabs>
        <w:spacing w:line="274" w:lineRule="exact"/>
        <w:ind w:left="720" w:hanging="720"/>
        <w:jc w:val="both"/>
      </w:pPr>
      <w:r>
        <w:t>Pokud jedna ze smluvních stran poruší závažným způsobem své povinnosti, je druhá strana oprávněna tuto smlouvu vypovědět. Obě smluvní strany se dohodly na měsíční výpovědní lhůt</w:t>
      </w:r>
      <w:r>
        <w:t>ě s účinností ke konci kalendářního měsíce následujícího po měsíci, ve kterém výpověď byla doručena druhé smluvní straně, nevyplývá-li z výpovědi doba pozdější. Ke dni účinnosti výpovědi zaniká závazek dodavatele uskutečňovat činnosti, ke kterým se zavázal</w:t>
      </w:r>
      <w:r>
        <w:t>. Jestliže by tímto přerušením činností mohla vzniknout objednateli škoda, je dodavatel povinen na toto nebezpečí upozornit a navrhnout, jaká opatření je třeba učinit. Smlouva může být rovněž zrušena dohodou smluvních stran. Výpověď i dohoda musí být v pís</w:t>
      </w:r>
      <w:r>
        <w:t>emné formě.</w:t>
      </w:r>
    </w:p>
    <w:p w:rsidR="00F9603C" w:rsidRDefault="00C02454">
      <w:pPr>
        <w:pStyle w:val="Zkladntext20"/>
        <w:numPr>
          <w:ilvl w:val="0"/>
          <w:numId w:val="10"/>
        </w:numPr>
        <w:shd w:val="clear" w:color="auto" w:fill="auto"/>
        <w:tabs>
          <w:tab w:val="left" w:pos="696"/>
        </w:tabs>
        <w:spacing w:after="507" w:line="274" w:lineRule="exact"/>
        <w:ind w:left="700" w:hanging="700"/>
        <w:jc w:val="both"/>
      </w:pPr>
      <w:r>
        <w:lastRenderedPageBreak/>
        <w:t>Objednatel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</w:t>
      </w:r>
      <w:r>
        <w:t>no dodavateli.</w:t>
      </w:r>
    </w:p>
    <w:p w:rsidR="00F9603C" w:rsidRDefault="00C02454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5" w:name="bookmark15"/>
      <w:r>
        <w:t>Článek 9</w:t>
      </w:r>
      <w:bookmarkEnd w:id="15"/>
    </w:p>
    <w:p w:rsidR="00F9603C" w:rsidRDefault="00C02454">
      <w:pPr>
        <w:pStyle w:val="Nadpis30"/>
        <w:keepNext/>
        <w:keepLines/>
        <w:shd w:val="clear" w:color="auto" w:fill="auto"/>
        <w:spacing w:before="0" w:after="262" w:line="240" w:lineRule="exact"/>
        <w:ind w:left="3760" w:firstLine="0"/>
        <w:jc w:val="left"/>
      </w:pPr>
      <w:bookmarkStart w:id="16" w:name="bookmark16"/>
      <w:r>
        <w:t>Závěrečná ustanovení</w:t>
      </w:r>
      <w:bookmarkEnd w:id="16"/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line="278" w:lineRule="exact"/>
        <w:ind w:left="700" w:hanging="700"/>
        <w:jc w:val="both"/>
      </w:pPr>
      <w:r>
        <w:t xml:space="preserve">Dodavatel se zavazuje spolupůsobit jako osoba povinná ve smyslu § </w:t>
      </w:r>
      <w:r>
        <w:rPr>
          <w:rStyle w:val="Zkladntext2Tun"/>
        </w:rPr>
        <w:t xml:space="preserve">2, odst. e) zákona č. 320/2001 Sb., o finanční kontrole </w:t>
      </w:r>
      <w:r>
        <w:t>ve veřejné správě a o změně některých zákonů (zákon o finanční kontrole) v platném znění.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after="244" w:line="278" w:lineRule="exact"/>
        <w:ind w:left="700" w:hanging="700"/>
        <w:jc w:val="both"/>
      </w:pPr>
      <w:r>
        <w:t>Pokud objednatel zjistí, že dodavatel provádí dílo v rozporu se svými povinnostmi, je oprávněn dožadovat se toho, aby dodavatel odstranil vzniklé vady a dílo prováděl řádným způsobem. Jestliže dodavatel tak neučiní v poskytnuté přiměřené lhůtě a jeho post</w:t>
      </w:r>
      <w:r>
        <w:t>up by vedl k podstatnému porušení smlouvy, je objednatel oprávněn odstoupit od smlouvy.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line="274" w:lineRule="exact"/>
        <w:ind w:left="700" w:hanging="700"/>
        <w:jc w:val="both"/>
      </w:pPr>
      <w:r>
        <w:t>Změny a doplňky této smlouvy lze provádět pouze písemnými oboustranně dohodnutými dodatky, které se stanou nedílnou součástí této smlouvy.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after="236" w:line="274" w:lineRule="exact"/>
        <w:ind w:left="700" w:hanging="700"/>
        <w:jc w:val="both"/>
      </w:pPr>
      <w:r>
        <w:t xml:space="preserve">Dodavatel není oprávněn </w:t>
      </w:r>
      <w:r>
        <w:t>postoupit pohledávku plynoucí z této smlouvy třetí osobě bez předchozího písemného souhlasu objednatele. V případě porušení této povinnosti se považuje takovéto postoupení pohledávky od počátku za neplatné.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after="244" w:line="278" w:lineRule="exact"/>
        <w:ind w:left="700" w:hanging="700"/>
        <w:jc w:val="both"/>
      </w:pPr>
      <w:r>
        <w:t>Dodavatel odpovídá za škodu způsobenou okolnostmi</w:t>
      </w:r>
      <w:r>
        <w:t>, které dodavatel použil nebo hodlal použít při provádění díla.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line="274" w:lineRule="exact"/>
        <w:ind w:left="700" w:hanging="700"/>
        <w:jc w:val="both"/>
      </w:pPr>
      <w:r>
        <w:t>Nároky z vad díla a vzájemné vztahy neupravené v této smlouvě se řídí příslušnými ustanoveními občanského zákoníku.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line="274" w:lineRule="exact"/>
        <w:ind w:left="700" w:hanging="700"/>
        <w:jc w:val="both"/>
      </w:pPr>
      <w:r>
        <w:t>Dodavatel souhlasí se zveřejněním Smlouvy v souladu s povinnostmi objednatel</w:t>
      </w:r>
      <w:r>
        <w:t xml:space="preserve">e za podmínek vyplývajících z příslušných právních předpisů, zejména souhlasí se zveřejněním Smlouvy včetně všech jejich změn a dodatků, výše skutečně uhrazené ceny na základě Smlouvy a dalších údajů na profilu zadavatele dle § 219 ZZVZ a v registru smluv </w:t>
      </w:r>
      <w:r>
        <w:t xml:space="preserve">dle zákona č. 340/2015 Sb., o zvláštních podmínkách účinnosti některých smluv, uveřejňování těchto smluv a o registru smluv (zákon o registru smluv), v platném a účinném znění. Smlouvu bude dle vůle Smluvních stran na profilu zadavatele a v registru smluv </w:t>
      </w:r>
      <w:r>
        <w:t>v souladu s příslušnými právními předpisy, zejména ve lhůtách stanovených příslušnými právními předpisy, zveřejňovat Objednatel.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after="233" w:line="274" w:lineRule="exact"/>
        <w:ind w:left="700" w:hanging="700"/>
        <w:jc w:val="both"/>
      </w:pPr>
      <w:r>
        <w:t xml:space="preserve">Tato smlouva nabývá platnosti dnem podpisu oprávněnými zástupci obou smluvních stran a účinnosti dnem zveřejnění v registru </w:t>
      </w:r>
      <w:r>
        <w:t>smluv.</w:t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83" w:lineRule="exact"/>
        <w:ind w:left="700" w:hanging="700"/>
        <w:jc w:val="both"/>
      </w:pPr>
      <w:r>
        <w:t xml:space="preserve">Smlouva je vyhotovena v (ve) </w:t>
      </w:r>
      <w:r>
        <w:rPr>
          <w:rStyle w:val="Zkladntext2115pt"/>
        </w:rPr>
        <w:t>4</w:t>
      </w:r>
      <w:r>
        <w:rPr>
          <w:rStyle w:val="Zkladntext210pt"/>
        </w:rPr>
        <w:t xml:space="preserve"> </w:t>
      </w:r>
      <w:r>
        <w:rPr>
          <w:rStyle w:val="Zkladntext2Tun"/>
        </w:rPr>
        <w:t xml:space="preserve">výtiscích, </w:t>
      </w:r>
      <w:r>
        <w:t xml:space="preserve">z nichž objednatel obdrží </w:t>
      </w:r>
      <w:r>
        <w:rPr>
          <w:rStyle w:val="Zkladntext2Tun"/>
        </w:rPr>
        <w:t xml:space="preserve">2 </w:t>
      </w:r>
      <w:r>
        <w:t xml:space="preserve">a </w:t>
      </w:r>
      <w:r>
        <w:rPr>
          <w:rStyle w:val="Zkladntext2Kurzva"/>
        </w:rPr>
        <w:t xml:space="preserve">dodavatel </w:t>
      </w:r>
      <w:r>
        <w:rPr>
          <w:rStyle w:val="Zkladntext2Tun"/>
        </w:rPr>
        <w:t>2 vyhotovení.</w:t>
      </w:r>
      <w:r>
        <w:br w:type="page"/>
      </w:r>
    </w:p>
    <w:p w:rsidR="00F9603C" w:rsidRDefault="00C02454">
      <w:pPr>
        <w:pStyle w:val="Zkladntext20"/>
        <w:numPr>
          <w:ilvl w:val="0"/>
          <w:numId w:val="11"/>
        </w:numPr>
        <w:shd w:val="clear" w:color="auto" w:fill="auto"/>
        <w:tabs>
          <w:tab w:val="left" w:pos="682"/>
        </w:tabs>
        <w:spacing w:after="511" w:line="278" w:lineRule="exact"/>
        <w:ind w:left="700" w:hanging="700"/>
        <w:jc w:val="both"/>
      </w:pPr>
      <w:r>
        <w:lastRenderedPageBreak/>
        <w:t>Obě smluvní strany potvrzují autentičnost této smlouvy a prohlašují, že si smlouvu přečetly, s jejím obsahem souhlasí, že smlouva byla sepsána na základ</w:t>
      </w:r>
      <w:r>
        <w:t>ě pravdivých údajů, z jejich pravé a svobodné vůle a nebyla uzavřena v tísni za jednostranně nevýhodných podmínek, což stvrzují svým podpisem, resp. podpisem svého oprávněného zástupce.</w:t>
      </w:r>
    </w:p>
    <w:p w:rsidR="00F9603C" w:rsidRDefault="00C02454">
      <w:pPr>
        <w:pStyle w:val="Zkladntext40"/>
        <w:shd w:val="clear" w:color="auto" w:fill="auto"/>
        <w:spacing w:after="0" w:line="240" w:lineRule="exact"/>
        <w:ind w:left="700"/>
        <w:jc w:val="both"/>
      </w:pPr>
      <w:r>
        <w:t>Přílohy:</w:t>
      </w:r>
    </w:p>
    <w:p w:rsidR="00F9603C" w:rsidRDefault="00C02454">
      <w:pPr>
        <w:pStyle w:val="Zkladntext20"/>
        <w:shd w:val="clear" w:color="auto" w:fill="auto"/>
        <w:spacing w:after="1368" w:line="240" w:lineRule="exact"/>
        <w:ind w:firstLine="0"/>
        <w:jc w:val="right"/>
      </w:pPr>
      <w:r>
        <w:pict>
          <v:shape id="_x0000_s1031" type="#_x0000_t202" style="position:absolute;left:0;text-align:left;margin-left:231.6pt;margin-top:-1.45pt;width:36.7pt;height:13.7pt;z-index:-125829375;mso-wrap-distance-left:10.1pt;mso-wrap-distance-right:5pt;mso-position-horizontal-relative:margin" filled="f" stroked="f">
            <v:textbox style="mso-fit-shape-to-text:t" inset="0,0,0,0">
              <w:txbxContent>
                <w:p w:rsidR="00F9603C" w:rsidRDefault="00C02454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1.2019</w:t>
                  </w:r>
                </w:p>
              </w:txbxContent>
            </v:textbox>
            <w10:wrap type="square" side="left" anchorx="margin"/>
          </v:shape>
        </w:pict>
      </w:r>
      <w:r>
        <w:t>Cenová nabídka dodavatele ze dne 15.</w:t>
      </w:r>
    </w:p>
    <w:p w:rsidR="00F9603C" w:rsidRDefault="00C02454">
      <w:pPr>
        <w:pStyle w:val="Zkladntext20"/>
        <w:shd w:val="clear" w:color="auto" w:fill="auto"/>
        <w:spacing w:after="271" w:line="240" w:lineRule="exact"/>
        <w:ind w:left="1060" w:firstLine="0"/>
        <w:jc w:val="left"/>
      </w:pPr>
      <w:r>
        <w:pict>
          <v:shape id="_x0000_s1032" type="#_x0000_t202" style="position:absolute;left:0;text-align:left;margin-left:.5pt;margin-top:-1.2pt;width:57.85pt;height:15.1pt;z-index:-125829374;mso-wrap-distance-left:5pt;mso-wrap-distance-right:175.45pt;mso-wrap-distance-bottom:20.05pt;mso-position-horizontal-relative:margin" filled="f" stroked="f">
            <v:textbox style="mso-fit-shape-to-text:t" inset="0,0,0,0">
              <w:txbxContent>
                <w:p w:rsidR="00F9603C" w:rsidRDefault="00C02454">
                  <w:pPr>
                    <w:pStyle w:val="Zkladn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Objednatel:</w:t>
                  </w:r>
                </w:p>
              </w:txbxContent>
            </v:textbox>
            <w10:wrap type="square" side="right" anchorx="margin"/>
          </v:shape>
        </w:pict>
      </w:r>
      <w:r>
        <w:t>Dodavatel:</w:t>
      </w:r>
      <w:bookmarkStart w:id="17" w:name="_GoBack"/>
      <w:bookmarkEnd w:id="17"/>
    </w:p>
    <w:sectPr w:rsidR="00F9603C" w:rsidSect="00C02454">
      <w:pgSz w:w="11900" w:h="16840"/>
      <w:pgMar w:top="1275" w:right="1347" w:bottom="1011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54" w:rsidRDefault="00C02454">
      <w:r>
        <w:separator/>
      </w:r>
    </w:p>
  </w:endnote>
  <w:endnote w:type="continuationSeparator" w:id="0">
    <w:p w:rsidR="00C02454" w:rsidRDefault="00C0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3C" w:rsidRDefault="00C024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8pt;margin-top:801.15pt;width:52.1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03C" w:rsidRDefault="00C0245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02454">
                  <w:rPr>
                    <w:rStyle w:val="ZhlavneboZpat1"/>
                    <w:b/>
                    <w:bCs/>
                    <w:noProof/>
                  </w:rPr>
                  <w:t>2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3C" w:rsidRDefault="00C024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8pt;margin-top:801.15pt;width:52.1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03C" w:rsidRDefault="00C0245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02454">
                  <w:rPr>
                    <w:rStyle w:val="ZhlavneboZpat1"/>
                    <w:b/>
                    <w:bCs/>
                    <w:noProof/>
                  </w:rPr>
                  <w:t>1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3C" w:rsidRDefault="00C024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55pt;margin-top:805.75pt;width:451.9pt;height:8.6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03C" w:rsidRDefault="00C02454">
                <w:pPr>
                  <w:pStyle w:val="ZhlavneboZpat0"/>
                  <w:shd w:val="clear" w:color="auto" w:fill="auto"/>
                  <w:tabs>
                    <w:tab w:val="right" w:pos="903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S</w:t>
                </w:r>
                <w:r>
                  <w:rPr>
                    <w:rStyle w:val="ZhlavneboZpat1"/>
                    <w:b/>
                    <w:bCs/>
                  </w:rPr>
                  <w:t>mlouva o dílo č.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02454">
                  <w:rPr>
                    <w:rStyle w:val="ZhlavneboZpat1"/>
                    <w:b/>
                    <w:bCs/>
                    <w:noProof/>
                  </w:rPr>
                  <w:t>6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3C" w:rsidRDefault="00C024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55pt;margin-top:805.75pt;width:451.9pt;height:8.6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03C" w:rsidRDefault="00C02454">
                <w:pPr>
                  <w:pStyle w:val="ZhlavneboZpat0"/>
                  <w:shd w:val="clear" w:color="auto" w:fill="auto"/>
                  <w:tabs>
                    <w:tab w:val="right" w:pos="9038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Smlouva o dílo č.</w:t>
                </w:r>
                <w:r>
                  <w:rPr>
                    <w:rStyle w:val="ZhlavneboZpat1"/>
                    <w:b/>
                    <w:bCs/>
                  </w:rPr>
                  <w:tab/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02454">
                  <w:rPr>
                    <w:rStyle w:val="ZhlavneboZpat1"/>
                    <w:b/>
                    <w:bCs/>
                    <w:noProof/>
                  </w:rPr>
                  <w:t>5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54" w:rsidRDefault="00C02454"/>
  </w:footnote>
  <w:footnote w:type="continuationSeparator" w:id="0">
    <w:p w:rsidR="00C02454" w:rsidRDefault="00C024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7F2"/>
    <w:multiLevelType w:val="multilevel"/>
    <w:tmpl w:val="9E3268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4676A"/>
    <w:multiLevelType w:val="multilevel"/>
    <w:tmpl w:val="282474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2386C"/>
    <w:multiLevelType w:val="multilevel"/>
    <w:tmpl w:val="94CCDC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65AC2"/>
    <w:multiLevelType w:val="multilevel"/>
    <w:tmpl w:val="04849D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616C"/>
    <w:multiLevelType w:val="multilevel"/>
    <w:tmpl w:val="4A10BB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22E94"/>
    <w:multiLevelType w:val="multilevel"/>
    <w:tmpl w:val="449C72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85996"/>
    <w:multiLevelType w:val="multilevel"/>
    <w:tmpl w:val="16E0FC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A37334"/>
    <w:multiLevelType w:val="multilevel"/>
    <w:tmpl w:val="BF1C297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55D23"/>
    <w:multiLevelType w:val="multilevel"/>
    <w:tmpl w:val="AD3E95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375ED"/>
    <w:multiLevelType w:val="multilevel"/>
    <w:tmpl w:val="BC7201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04416"/>
    <w:multiLevelType w:val="multilevel"/>
    <w:tmpl w:val="A27CD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603C"/>
    <w:rsid w:val="00C02454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MicrosoftSansSerif10ptNetun">
    <w:name w:val="Nadpis #1 + Microsoft Sans Serif;10 pt;Ne tučné"/>
    <w:basedOn w:val="Nadpis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115pt">
    <w:name w:val="Základní text (2) + 11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Constantia105ptdkovn-1ptExact">
    <w:name w:val="Titulek obrázku (2) + Constantia;10;5 pt;Řádkování -1 pt Exact"/>
    <w:basedOn w:val="Titulekobrzku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KurzvaExact">
    <w:name w:val="Titulek obrázku (2) + Kurzív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itulekobrzku312ptExact">
    <w:name w:val="Titulek obrázku (3) + 12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10ptKurzvadkovn-1ptExact">
    <w:name w:val="Titulek obrázku (5) + 10 pt;Kurzíva;Řádkování -1 pt Exact"/>
    <w:basedOn w:val="Titulekobrzku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8Exact0">
    <w:name w:val="Základní text (8) Exact"/>
    <w:basedOn w:val="Zkladntext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Tun">
    <w:name w:val="Základní text (9) +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Tun0">
    <w:name w:val="Základní text (9) +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Tun1">
    <w:name w:val="Základní text (9) +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Calibri10ptTun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Tun0">
    <w:name w:val="Základní text (2) + Calibri;10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10pt0">
    <w:name w:val="Základní text (2) + Calibri;10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Calibri11pt">
    <w:name w:val="Záhlaví nebo Zápatí + Calibri;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line="269" w:lineRule="exact"/>
      <w:ind w:hanging="7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269" w:lineRule="exact"/>
      <w:ind w:hanging="700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line="274" w:lineRule="exact"/>
      <w:ind w:hanging="6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0" w:lineRule="atLeast"/>
      <w:jc w:val="center"/>
    </w:pPr>
    <w:rPr>
      <w:rFonts w:ascii="Courier New" w:eastAsia="Courier New" w:hAnsi="Courier New" w:cs="Courier New"/>
      <w:sz w:val="11"/>
      <w:szCs w:val="1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30" w:lineRule="exact"/>
      <w:ind w:firstLine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ind w:firstLine="50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68" w:lineRule="exact"/>
      <w:ind w:firstLine="78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12" w:lineRule="exac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2019-12-02T14:17:00Z</dcterms:created>
  <dcterms:modified xsi:type="dcterms:W3CDTF">2019-12-02T14:18:00Z</dcterms:modified>
</cp:coreProperties>
</file>