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8D4D" w14:textId="77777777" w:rsidR="009A5B0A" w:rsidRDefault="001B1F0B" w:rsidP="00DA40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Technické specifikace</w:t>
      </w:r>
    </w:p>
    <w:p w14:paraId="1344A5BB" w14:textId="77777777" w:rsidR="00DA4045" w:rsidRDefault="00DA4045" w:rsidP="00DA40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Integrace, konfigurace prvků WAN ČOI</w:t>
      </w:r>
    </w:p>
    <w:p w14:paraId="4B96B9D8" w14:textId="77777777" w:rsidR="00A05045" w:rsidRDefault="00A05045" w:rsidP="001B1F0B">
      <w:pPr>
        <w:jc w:val="center"/>
        <w:rPr>
          <w:b/>
          <w:sz w:val="28"/>
          <w:szCs w:val="28"/>
        </w:rPr>
      </w:pPr>
    </w:p>
    <w:p w14:paraId="7064752C" w14:textId="77777777" w:rsidR="00746AA6" w:rsidRDefault="00746AA6" w:rsidP="00746AA6">
      <w:pPr>
        <w:pStyle w:val="Nadpis1"/>
        <w:rPr>
          <w:sz w:val="28"/>
        </w:rPr>
      </w:pPr>
      <w:bookmarkStart w:id="0" w:name="_Toc19182825"/>
      <w:r>
        <w:t>Současný stav</w:t>
      </w:r>
      <w:bookmarkEnd w:id="0"/>
    </w:p>
    <w:p w14:paraId="58F013CA" w14:textId="77777777" w:rsidR="00746AA6" w:rsidRDefault="00746AA6" w:rsidP="00746AA6">
      <w:r>
        <w:t>Současná komunikační infrastruktura WAN ČOI je rozdělena takto:</w:t>
      </w:r>
    </w:p>
    <w:p w14:paraId="0D342180" w14:textId="77777777" w:rsidR="00746AA6" w:rsidRDefault="00746AA6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Vnější perimetr</w:t>
      </w:r>
      <w:r w:rsidR="00956AF8">
        <w:t>:</w:t>
      </w:r>
      <w:r>
        <w:t xml:space="preserve"> komunikace </w:t>
      </w:r>
      <w:r w:rsidR="008037AD">
        <w:t>z veřejné sítě do WAN ČOI</w:t>
      </w:r>
      <w:r>
        <w:t>,</w:t>
      </w:r>
    </w:p>
    <w:p w14:paraId="23F5DB4E" w14:textId="77777777" w:rsidR="00746AA6" w:rsidRDefault="00724904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LAN a VL</w:t>
      </w:r>
      <w:r w:rsidR="00746AA6">
        <w:t>AN segment Praha</w:t>
      </w:r>
      <w:r w:rsidR="00956AF8">
        <w:t>: určený</w:t>
      </w:r>
      <w:r w:rsidR="00746AA6">
        <w:t xml:space="preserve"> pro uživatele </w:t>
      </w:r>
      <w:r>
        <w:t xml:space="preserve">ústředního inspektorátu a </w:t>
      </w:r>
      <w:r w:rsidR="00956AF8">
        <w:t xml:space="preserve">regionálního </w:t>
      </w:r>
      <w:r>
        <w:t>inspektorátu „Praha“</w:t>
      </w:r>
      <w:r w:rsidR="00746AA6">
        <w:t>,</w:t>
      </w:r>
    </w:p>
    <w:p w14:paraId="29EB14D5" w14:textId="77777777" w:rsidR="00746AA6" w:rsidRDefault="008037AD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 xml:space="preserve">Datové centrum: </w:t>
      </w:r>
      <w:r w:rsidR="00746AA6">
        <w:t xml:space="preserve"> segment pražské sítě,</w:t>
      </w:r>
    </w:p>
    <w:p w14:paraId="3A8AEC85" w14:textId="77777777" w:rsidR="00746AA6" w:rsidRDefault="00746AA6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Pobočky</w:t>
      </w:r>
      <w:r w:rsidR="00133E90">
        <w:t>-inspektoráty ČOI</w:t>
      </w:r>
      <w:r w:rsidR="004A4965">
        <w:t xml:space="preserve">: </w:t>
      </w:r>
      <w:r>
        <w:t xml:space="preserve"> </w:t>
      </w:r>
      <w:r w:rsidR="00133E90">
        <w:t>(viz. kap.</w:t>
      </w:r>
      <w:r w:rsidR="00FA2523">
        <w:t>4</w:t>
      </w:r>
      <w:r w:rsidR="00133E90">
        <w:t xml:space="preserve">) </w:t>
      </w:r>
      <w:r>
        <w:t xml:space="preserve">umístěné </w:t>
      </w:r>
      <w:r w:rsidR="000A30B8">
        <w:t xml:space="preserve">v </w:t>
      </w:r>
      <w:r>
        <w:t xml:space="preserve">různých </w:t>
      </w:r>
      <w:r w:rsidR="000A30B8">
        <w:t>lokalitách ČR,</w:t>
      </w:r>
      <w:r>
        <w:t xml:space="preserve"> komunikující s</w:t>
      </w:r>
      <w:r w:rsidR="000A30B8">
        <w:t> Datovým centrem</w:t>
      </w:r>
      <w:r>
        <w:t xml:space="preserve"> v Praze dedikovanou MPLS sítí přímo bez mezilehlých FW.</w:t>
      </w:r>
    </w:p>
    <w:p w14:paraId="7EA08C8B" w14:textId="77777777" w:rsidR="000A30B8" w:rsidRDefault="000A30B8" w:rsidP="00C67C6D">
      <w:pPr>
        <w:pStyle w:val="Odstavecseseznamem"/>
        <w:spacing w:before="120" w:after="0" w:line="240" w:lineRule="auto"/>
        <w:jc w:val="both"/>
      </w:pPr>
    </w:p>
    <w:p w14:paraId="703CB5B7" w14:textId="77777777" w:rsidR="00746AA6" w:rsidRDefault="00746AA6" w:rsidP="00C67C6D">
      <w:pPr>
        <w:jc w:val="both"/>
      </w:pPr>
      <w:r>
        <w:t xml:space="preserve">Všechny výše popsané segmenty jsou logicky propojeny centrálním FW </w:t>
      </w:r>
      <w:proofErr w:type="spellStart"/>
      <w:r>
        <w:t>Fortinet</w:t>
      </w:r>
      <w:proofErr w:type="spellEnd"/>
      <w:r>
        <w:t>, který na základě bezpečnostních pravidel řídí prostup mezi popsanými segmenty a přístup do nich</w:t>
      </w:r>
      <w:r w:rsidR="007E15EE">
        <w:t xml:space="preserve"> včetně přístupu</w:t>
      </w:r>
      <w:r>
        <w:t xml:space="preserve"> k jednotlivým </w:t>
      </w:r>
      <w:r w:rsidR="004A4965">
        <w:t xml:space="preserve">centrálním </w:t>
      </w:r>
      <w:r>
        <w:t>systémům a aplikacím.</w:t>
      </w:r>
    </w:p>
    <w:p w14:paraId="64142C2F" w14:textId="77777777" w:rsidR="00746AA6" w:rsidRDefault="00746AA6" w:rsidP="00C67C6D">
      <w:pPr>
        <w:jc w:val="both"/>
      </w:pPr>
      <w:r>
        <w:t>Jednotlivé přepínače v</w:t>
      </w:r>
      <w:r w:rsidR="007E15EE">
        <w:t> </w:t>
      </w:r>
      <w:r>
        <w:t>síti</w:t>
      </w:r>
      <w:r w:rsidR="007E15EE">
        <w:t xml:space="preserve"> WAN ČOI</w:t>
      </w:r>
      <w:r>
        <w:t xml:space="preserve"> pracují primárně na L2 </w:t>
      </w:r>
      <w:r w:rsidR="007E15EE">
        <w:t xml:space="preserve">vrstvě </w:t>
      </w:r>
      <w:r>
        <w:t>a nijak se nepodílí na řízení přístupu do sítě, p</w:t>
      </w:r>
      <w:r w:rsidR="004A4965">
        <w:t>ouze na L2 segmentaci</w:t>
      </w:r>
      <w:r>
        <w:t xml:space="preserve"> v centrální lokalitě Praha. Menší dislokované lokality používají </w:t>
      </w:r>
      <w:r w:rsidR="00045C1C">
        <w:t>jednu plochou L2 síť pro veškerý</w:t>
      </w:r>
      <w:r>
        <w:t xml:space="preserve"> provoz.</w:t>
      </w:r>
    </w:p>
    <w:p w14:paraId="74EFE6E8" w14:textId="77777777" w:rsidR="00746AA6" w:rsidRDefault="00746AA6" w:rsidP="00C67C6D">
      <w:pPr>
        <w:jc w:val="both"/>
      </w:pPr>
      <w:r>
        <w:t>Dohled nad provozem v síti probíhá jednak na centrální</w:t>
      </w:r>
      <w:r w:rsidR="00571F84">
        <w:t>m</w:t>
      </w:r>
      <w:r>
        <w:t xml:space="preserve"> FW a také na centrálním prvku </w:t>
      </w:r>
      <w:r w:rsidR="00C67C6D">
        <w:t>„</w:t>
      </w:r>
      <w:r>
        <w:t>sw-</w:t>
      </w:r>
      <w:proofErr w:type="spellStart"/>
      <w:r>
        <w:t>pha</w:t>
      </w:r>
      <w:proofErr w:type="spellEnd"/>
      <w:r>
        <w:t>-</w:t>
      </w:r>
      <w:proofErr w:type="spellStart"/>
      <w:r>
        <w:t>core</w:t>
      </w:r>
      <w:proofErr w:type="spellEnd"/>
      <w:r w:rsidR="00C67C6D">
        <w:t>“</w:t>
      </w:r>
      <w:r>
        <w:t xml:space="preserve"> pomocí analytické </w:t>
      </w:r>
      <w:r w:rsidR="00C67C6D">
        <w:t xml:space="preserve">bezpečnostní </w:t>
      </w:r>
      <w:r>
        <w:t xml:space="preserve">sondy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PVFC180 k ně</w:t>
      </w:r>
      <w:r w:rsidR="00C67C6D">
        <w:t xml:space="preserve">mu připojené. Data </w:t>
      </w:r>
      <w:r>
        <w:t>nejsou korelována, protože se nesbíhají v žádném společném logovacím nástroji.</w:t>
      </w:r>
    </w:p>
    <w:p w14:paraId="327A3856" w14:textId="77777777" w:rsidR="00746AA6" w:rsidRDefault="00746AA6" w:rsidP="008E39C4">
      <w:pPr>
        <w:jc w:val="both"/>
      </w:pPr>
      <w:r>
        <w:t>Administrátorský přístup na síťová zařízení je</w:t>
      </w:r>
      <w:r w:rsidR="00C67C6D">
        <w:t xml:space="preserve"> prováděn pomocí lokálních účtů. </w:t>
      </w:r>
      <w:r>
        <w:t xml:space="preserve">Aktuálně není používán žádný centrální nástroj pro logování a reporting v rámci </w:t>
      </w:r>
      <w:r w:rsidR="00C67C6D">
        <w:t xml:space="preserve">celé </w:t>
      </w:r>
      <w:r>
        <w:t>sítě</w:t>
      </w:r>
      <w:r w:rsidR="008E39C4">
        <w:t xml:space="preserve"> WAN ČOI</w:t>
      </w:r>
      <w:r>
        <w:t>.</w:t>
      </w:r>
    </w:p>
    <w:p w14:paraId="15CFFE02" w14:textId="77777777" w:rsidR="00746AA6" w:rsidRPr="00A16316" w:rsidRDefault="0024371D" w:rsidP="00A16316">
      <w:pPr>
        <w:jc w:val="both"/>
      </w:pPr>
      <w:r w:rsidRPr="00A16316">
        <w:t xml:space="preserve">Na základě </w:t>
      </w:r>
      <w:r w:rsidR="00936540">
        <w:t>závěrů</w:t>
      </w:r>
      <w:r w:rsidR="004A4965">
        <w:t xml:space="preserve"> </w:t>
      </w:r>
      <w:r w:rsidRPr="00A16316">
        <w:t>externích auditů kybernetické bezpečnosti, Studie proveditelnosti SOC ČOI a požad</w:t>
      </w:r>
      <w:r w:rsidR="00A16316">
        <w:t>avků zákona a vyhlášky o KB byla zahájena</w:t>
      </w:r>
      <w:r w:rsidRPr="00A16316">
        <w:t xml:space="preserve"> </w:t>
      </w:r>
      <w:r w:rsidR="00A16316" w:rsidRPr="00A16316">
        <w:t>realizace koncepčního řešení</w:t>
      </w:r>
      <w:r w:rsidR="00A16316">
        <w:t xml:space="preserve"> výše popsaného stavu</w:t>
      </w:r>
      <w:r w:rsidR="00045C1C">
        <w:t xml:space="preserve"> implementací</w:t>
      </w:r>
      <w:r w:rsidR="00746AA6" w:rsidRPr="00A16316">
        <w:t xml:space="preserve"> nástrojů výrobce </w:t>
      </w:r>
      <w:proofErr w:type="spellStart"/>
      <w:r w:rsidR="00746AA6" w:rsidRPr="00A16316">
        <w:t>Extreme</w:t>
      </w:r>
      <w:proofErr w:type="spellEnd"/>
      <w:r w:rsidR="00746AA6" w:rsidRPr="00A16316">
        <w:t xml:space="preserve"> </w:t>
      </w:r>
      <w:proofErr w:type="spellStart"/>
      <w:r w:rsidR="00746AA6" w:rsidRPr="00A16316">
        <w:t>Networks</w:t>
      </w:r>
      <w:proofErr w:type="spellEnd"/>
      <w:r w:rsidR="00746AA6" w:rsidRPr="00A16316">
        <w:t xml:space="preserve"> v podobě těchto licencí:</w:t>
      </w:r>
    </w:p>
    <w:p w14:paraId="67504022" w14:textId="77777777" w:rsidR="00746AA6" w:rsidRDefault="00746AA6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XMC Advanced pro 50 přepínačů (obecně zařízení o osmi a více portech) a 500 AP</w:t>
      </w:r>
      <w:r w:rsidR="00956AF8">
        <w:t>,</w:t>
      </w:r>
    </w:p>
    <w:p w14:paraId="0CB9350B" w14:textId="77777777" w:rsidR="00746AA6" w:rsidRDefault="00746AA6" w:rsidP="00746AA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Analytická licence pro monitoring provozu, která simultánně sleduje 50k spojení</w:t>
      </w:r>
      <w:r w:rsidR="00956AF8">
        <w:t>,</w:t>
      </w:r>
      <w:r>
        <w:t xml:space="preserve"> </w:t>
      </w:r>
    </w:p>
    <w:p w14:paraId="38348E8F" w14:textId="77777777" w:rsidR="00746AA6" w:rsidRDefault="00746AA6" w:rsidP="007A0626">
      <w:pPr>
        <w:pStyle w:val="Odstavecseseznamem"/>
        <w:numPr>
          <w:ilvl w:val="0"/>
          <w:numId w:val="7"/>
        </w:numPr>
        <w:spacing w:before="120" w:after="0" w:line="240" w:lineRule="auto"/>
        <w:jc w:val="both"/>
      </w:pPr>
      <w:r>
        <w:t>XMC licence v dané verzi také obsahuje 500 NAC licencí pro řízení přístupu do sítě a 50 GIM licencí pro správu guest uživatelů a IoT zařízení</w:t>
      </w:r>
      <w:r w:rsidR="00956AF8">
        <w:t>.</w:t>
      </w:r>
    </w:p>
    <w:p w14:paraId="534DDA31" w14:textId="77777777" w:rsidR="00B63E68" w:rsidRDefault="00B63E68" w:rsidP="0010574D">
      <w:pPr>
        <w:spacing w:after="0"/>
        <w:ind w:left="-284"/>
        <w:rPr>
          <w:rFonts w:cs="Tahoma"/>
          <w:szCs w:val="24"/>
        </w:rPr>
      </w:pPr>
    </w:p>
    <w:p w14:paraId="6CB86643" w14:textId="77777777" w:rsidR="00B63E68" w:rsidRDefault="00770E0F" w:rsidP="00770E0F">
      <w:pPr>
        <w:pStyle w:val="Nadpis1"/>
      </w:pPr>
      <w:r>
        <w:t>Požadavky na služby</w:t>
      </w:r>
    </w:p>
    <w:p w14:paraId="7937F7B8" w14:textId="0E0F6748" w:rsidR="00770E0F" w:rsidRDefault="00770E0F" w:rsidP="00770E0F">
      <w:pPr>
        <w:rPr>
          <w:lang w:eastAsia="cs-CZ"/>
        </w:rPr>
      </w:pPr>
      <w:r>
        <w:rPr>
          <w:lang w:eastAsia="cs-CZ"/>
        </w:rPr>
        <w:t xml:space="preserve">V rámci předmětu </w:t>
      </w:r>
      <w:r w:rsidR="00323480">
        <w:rPr>
          <w:lang w:eastAsia="cs-CZ"/>
        </w:rPr>
        <w:t xml:space="preserve">tohoto bodu </w:t>
      </w:r>
      <w:r>
        <w:rPr>
          <w:lang w:eastAsia="cs-CZ"/>
        </w:rPr>
        <w:t xml:space="preserve">plnění jsou požadovány </w:t>
      </w:r>
      <w:r w:rsidR="00323480">
        <w:rPr>
          <w:lang w:eastAsia="cs-CZ"/>
        </w:rPr>
        <w:t>následující</w:t>
      </w:r>
      <w:r>
        <w:rPr>
          <w:lang w:eastAsia="cs-CZ"/>
        </w:rPr>
        <w:t xml:space="preserve"> služby:</w:t>
      </w:r>
    </w:p>
    <w:p w14:paraId="732756E3" w14:textId="77777777" w:rsidR="0001560F" w:rsidRDefault="00B86E1E" w:rsidP="00B86E1E">
      <w:pPr>
        <w:spacing w:after="0" w:line="240" w:lineRule="auto"/>
      </w:pPr>
      <w:r>
        <w:t xml:space="preserve">             1.</w:t>
      </w:r>
      <w:r w:rsidR="00516E1E" w:rsidRPr="00516E1E">
        <w:t xml:space="preserve"> </w:t>
      </w:r>
      <w:r w:rsidR="00BA04AF">
        <w:t>dodávka technického projektu včetně harmonogramu prací,</w:t>
      </w:r>
      <w:r w:rsidR="0074416A">
        <w:t xml:space="preserve"> kdy technický projekt bude obsahovat řešení bodů 2.1 až 2.4.</w:t>
      </w:r>
    </w:p>
    <w:p w14:paraId="473D24D8" w14:textId="40DB2603" w:rsidR="00516E1E" w:rsidRDefault="00516E1E" w:rsidP="00B86E1E">
      <w:pPr>
        <w:spacing w:after="0" w:line="240" w:lineRule="auto"/>
      </w:pPr>
      <w:r>
        <w:tab/>
        <w:t>2. implementace</w:t>
      </w:r>
      <w:r w:rsidR="0064291A">
        <w:t xml:space="preserve"> dle závěrů technického projektu</w:t>
      </w:r>
      <w:r>
        <w:t>,</w:t>
      </w:r>
      <w:r w:rsidR="008D2B3A">
        <w:t xml:space="preserve"> školení</w:t>
      </w:r>
      <w:r w:rsidR="00BE587A">
        <w:br/>
      </w:r>
    </w:p>
    <w:p w14:paraId="0FBB5F58" w14:textId="77777777" w:rsidR="00B86E1E" w:rsidRDefault="00B86E1E" w:rsidP="00B86E1E">
      <w:pPr>
        <w:spacing w:after="0" w:line="240" w:lineRule="auto"/>
      </w:pPr>
    </w:p>
    <w:p w14:paraId="22456386" w14:textId="77777777" w:rsidR="00BE587A" w:rsidRDefault="00045C1C" w:rsidP="00516E1E">
      <w:r>
        <w:t>Všechny v</w:t>
      </w:r>
      <w:r w:rsidR="006A33DF">
        <w:t>ýše požadované</w:t>
      </w:r>
      <w:r w:rsidR="00BE587A">
        <w:t xml:space="preserve"> služby jsou požadovány v rozsahu:</w:t>
      </w:r>
    </w:p>
    <w:p w14:paraId="5B07DA21" w14:textId="77777777" w:rsidR="00975E14" w:rsidRPr="00987B07" w:rsidRDefault="00975E14" w:rsidP="00975E1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lang w:eastAsia="en-GB"/>
        </w:rPr>
      </w:pPr>
      <w:r>
        <w:rPr>
          <w:lang w:eastAsia="en-GB"/>
        </w:rPr>
        <w:t>stanovení bezpečnostních pravidel v prostředí nasazených produktů Extreme Networks</w:t>
      </w:r>
      <w:r w:rsidR="00B86E1E">
        <w:rPr>
          <w:lang w:eastAsia="en-GB"/>
        </w:rPr>
        <w:t xml:space="preserve"> (HW</w:t>
      </w:r>
      <w:r>
        <w:rPr>
          <w:lang w:eastAsia="en-GB"/>
        </w:rPr>
        <w:t>,</w:t>
      </w:r>
      <w:r w:rsidR="00B86E1E">
        <w:rPr>
          <w:lang w:eastAsia="en-GB"/>
        </w:rPr>
        <w:t xml:space="preserve"> SW)</w:t>
      </w:r>
      <w:r w:rsidR="00987B07">
        <w:rPr>
          <w:lang w:eastAsia="en-GB"/>
        </w:rPr>
        <w:t>,</w:t>
      </w:r>
    </w:p>
    <w:p w14:paraId="574804A5" w14:textId="77777777" w:rsidR="00975E14" w:rsidRDefault="00975E14" w:rsidP="00975E1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lang w:eastAsia="en-GB"/>
        </w:rPr>
      </w:pPr>
      <w:r>
        <w:rPr>
          <w:lang w:eastAsia="en-GB"/>
        </w:rPr>
        <w:t xml:space="preserve">Integrace perimetrového FW Fortigate </w:t>
      </w:r>
      <w:r w:rsidR="00A621B7">
        <w:rPr>
          <w:lang w:eastAsia="en-GB"/>
        </w:rPr>
        <w:t xml:space="preserve">500 D </w:t>
      </w:r>
      <w:r>
        <w:rPr>
          <w:lang w:eastAsia="en-GB"/>
        </w:rPr>
        <w:t>do XMC Extreme Networks</w:t>
      </w:r>
      <w:r w:rsidR="00906E7F">
        <w:rPr>
          <w:lang w:eastAsia="en-GB"/>
        </w:rPr>
        <w:t>,</w:t>
      </w:r>
    </w:p>
    <w:p w14:paraId="00E713EC" w14:textId="77777777" w:rsidR="00975E14" w:rsidRDefault="00906E7F" w:rsidP="00975E1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lang w:eastAsia="en-GB"/>
        </w:rPr>
      </w:pPr>
      <w:r>
        <w:rPr>
          <w:lang w:eastAsia="en-GB"/>
        </w:rPr>
        <w:t>Přechodu na protokol</w:t>
      </w:r>
      <w:r w:rsidR="00975E14">
        <w:rPr>
          <w:lang w:eastAsia="en-GB"/>
        </w:rPr>
        <w:t xml:space="preserve"> 802.1X</w:t>
      </w:r>
      <w:r>
        <w:rPr>
          <w:lang w:eastAsia="en-GB"/>
        </w:rPr>
        <w:t>,</w:t>
      </w:r>
    </w:p>
    <w:p w14:paraId="3BF40061" w14:textId="77777777" w:rsidR="00BE587A" w:rsidRDefault="00906E7F" w:rsidP="001377F3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lang w:eastAsia="en-GB"/>
        </w:rPr>
      </w:pPr>
      <w:r>
        <w:rPr>
          <w:lang w:eastAsia="en-GB"/>
        </w:rPr>
        <w:t>S</w:t>
      </w:r>
      <w:r w:rsidR="00975E14">
        <w:rPr>
          <w:lang w:eastAsia="en-GB"/>
        </w:rPr>
        <w:t>egmentace stávající sítě WAN ČOI</w:t>
      </w:r>
      <w:r>
        <w:rPr>
          <w:lang w:eastAsia="en-GB"/>
        </w:rPr>
        <w:t>.</w:t>
      </w:r>
    </w:p>
    <w:p w14:paraId="1ABF5332" w14:textId="77777777" w:rsidR="001377F3" w:rsidRDefault="001377F3" w:rsidP="001377F3">
      <w:pPr>
        <w:spacing w:before="120" w:after="0" w:line="240" w:lineRule="auto"/>
        <w:jc w:val="both"/>
        <w:rPr>
          <w:lang w:eastAsia="en-GB"/>
        </w:rPr>
      </w:pPr>
    </w:p>
    <w:p w14:paraId="38E76ED2" w14:textId="77777777" w:rsidR="00987B07" w:rsidRDefault="00427051" w:rsidP="00427051">
      <w:pPr>
        <w:pStyle w:val="Nadpis2"/>
        <w:numPr>
          <w:ilvl w:val="0"/>
          <w:numId w:val="13"/>
        </w:numPr>
        <w:ind w:hanging="717"/>
      </w:pPr>
      <w:r>
        <w:t>Stanovení bezpečnostních pravidel</w:t>
      </w:r>
    </w:p>
    <w:p w14:paraId="219336F9" w14:textId="77777777" w:rsidR="008F14C5" w:rsidRDefault="001D217B" w:rsidP="008F14C5">
      <w:pPr>
        <w:spacing w:after="0"/>
        <w:ind w:left="709" w:firstLine="360"/>
        <w:jc w:val="both"/>
      </w:pPr>
      <w:r>
        <w:t xml:space="preserve">Požaduje se nastavení bezpečnostních pravidel na úrovni </w:t>
      </w:r>
      <w:r w:rsidR="008378B6">
        <w:t xml:space="preserve">portů </w:t>
      </w:r>
      <w:r>
        <w:t xml:space="preserve">provozovaných </w:t>
      </w:r>
      <w:proofErr w:type="spellStart"/>
      <w:r>
        <w:t>switchů</w:t>
      </w:r>
      <w:proofErr w:type="spellEnd"/>
      <w:r>
        <w:t xml:space="preserve"> </w:t>
      </w:r>
      <w:r w:rsidR="00D8175E">
        <w:t>v centru (</w:t>
      </w:r>
      <w:proofErr w:type="spellStart"/>
      <w:r w:rsidR="00D8175E">
        <w:t>Extreme</w:t>
      </w:r>
      <w:proofErr w:type="spellEnd"/>
      <w:r w:rsidR="00A621B7">
        <w:t xml:space="preserve"> Summit X460) a na pobočkách (</w:t>
      </w:r>
      <w:proofErr w:type="spellStart"/>
      <w:r w:rsidR="00A621B7">
        <w:t>Extreme</w:t>
      </w:r>
      <w:proofErr w:type="spellEnd"/>
      <w:r w:rsidR="00A621B7">
        <w:t xml:space="preserve"> Summit X440)</w:t>
      </w:r>
      <w:r w:rsidR="008378B6">
        <w:t>.</w:t>
      </w:r>
      <w:r w:rsidR="00A92E0E">
        <w:t xml:space="preserve"> </w:t>
      </w:r>
      <w:r w:rsidR="00A01D91">
        <w:t>Bezpečnostní pravidla nastavit</w:t>
      </w:r>
      <w:r w:rsidR="008F14C5">
        <w:t xml:space="preserve"> v návaznosti na segmentaci sítě (bod 2.4) </w:t>
      </w:r>
      <w:r w:rsidR="0064291A">
        <w:t xml:space="preserve">zejména </w:t>
      </w:r>
      <w:r w:rsidR="008F14C5">
        <w:t>pro zvlášť exponovaná zařízení a uživatele.</w:t>
      </w:r>
      <w:r w:rsidR="00224A7C">
        <w:t xml:space="preserve"> V tomto smyslu bude určeným rolím přiřazen logický segment sítě, kdy po autentizaci uživatele nebo zařízení </w:t>
      </w:r>
      <w:r w:rsidR="00E14E57">
        <w:t>dojde</w:t>
      </w:r>
      <w:r w:rsidR="00224A7C">
        <w:t xml:space="preserve"> ke konfiguraci</w:t>
      </w:r>
      <w:r w:rsidR="00E14E57">
        <w:t xml:space="preserve"> síťového portu VLAN tak, aby tento reflektoval požadovanou politiku.</w:t>
      </w:r>
    </w:p>
    <w:p w14:paraId="27B0A947" w14:textId="77777777" w:rsidR="00B560E2" w:rsidRDefault="003429F5" w:rsidP="008F14C5">
      <w:pPr>
        <w:spacing w:after="0"/>
        <w:ind w:left="709" w:firstLine="360"/>
        <w:jc w:val="both"/>
      </w:pPr>
      <w:r>
        <w:t>Analýza provozu v</w:t>
      </w:r>
      <w:r w:rsidR="00D67D54">
        <w:t> jed</w:t>
      </w:r>
      <w:r w:rsidR="006707E0">
        <w:t>notl</w:t>
      </w:r>
      <w:r>
        <w:t xml:space="preserve">ivých pobočkách bude prováděna přímo na úrovni </w:t>
      </w:r>
      <w:r w:rsidR="006707E0">
        <w:t xml:space="preserve">provozovaných </w:t>
      </w:r>
      <w:proofErr w:type="spellStart"/>
      <w:r w:rsidR="006707E0">
        <w:t>switchů</w:t>
      </w:r>
      <w:proofErr w:type="spellEnd"/>
      <w:r w:rsidR="00D67D54">
        <w:t xml:space="preserve">. </w:t>
      </w:r>
      <w:r w:rsidR="00F8724C">
        <w:t xml:space="preserve">Pokud jde o </w:t>
      </w:r>
      <w:r w:rsidR="00CC1C44">
        <w:t xml:space="preserve">nastavení pravidel a </w:t>
      </w:r>
      <w:r w:rsidR="00F8724C">
        <w:t>analytiku provozu prováděnou v</w:t>
      </w:r>
      <w:r w:rsidR="00CC1C44">
        <w:t xml:space="preserve"> centrální lokalitě požadujeme</w:t>
      </w:r>
      <w:r w:rsidR="00F8724C">
        <w:t xml:space="preserve"> využití analytické son</w:t>
      </w:r>
      <w:r w:rsidR="00D267A8">
        <w:t xml:space="preserve">dy </w:t>
      </w:r>
      <w:proofErr w:type="spellStart"/>
      <w:r w:rsidR="00D267A8">
        <w:t>Extreme</w:t>
      </w:r>
      <w:proofErr w:type="spellEnd"/>
      <w:r w:rsidR="00D267A8">
        <w:t xml:space="preserve"> PVFC180, která je v současnosti</w:t>
      </w:r>
      <w:r w:rsidR="00F8724C">
        <w:t xml:space="preserve"> v provozu.</w:t>
      </w:r>
      <w:r w:rsidR="00D67D54" w:rsidRPr="00D67D54">
        <w:t xml:space="preserve"> </w:t>
      </w:r>
      <w:r w:rsidR="00D67D54">
        <w:t>V rámci návrhu řešení je nutno mít na paměti výkon dané platformy a tomu uzpůsobit množství bezpečnostních pravidel při zapnuté telemetrii dat.</w:t>
      </w:r>
    </w:p>
    <w:p w14:paraId="3F5AD2D3" w14:textId="77777777" w:rsidR="00045C1C" w:rsidRPr="00045C1C" w:rsidRDefault="00A60CE1" w:rsidP="0044338D">
      <w:pPr>
        <w:spacing w:after="0"/>
        <w:ind w:left="709" w:firstLine="360"/>
        <w:jc w:val="both"/>
      </w:pPr>
      <w:r>
        <w:t>Datový LAN provoz v</w:t>
      </w:r>
      <w:r w:rsidR="00CC1C44">
        <w:t>e všech</w:t>
      </w:r>
      <w:r>
        <w:t xml:space="preserve"> lokalitách </w:t>
      </w:r>
      <w:r w:rsidR="00E65225">
        <w:t xml:space="preserve">ČOI </w:t>
      </w:r>
      <w:r>
        <w:t xml:space="preserve">probíhá </w:t>
      </w:r>
      <w:r w:rsidR="00482052">
        <w:t>jak v drátové tak bezdrátové síti.</w:t>
      </w:r>
      <w:r w:rsidR="0005553E">
        <w:t xml:space="preserve"> Prioritou nastavení pravidel je dosažení požadované úrovně bezpečnosti </w:t>
      </w:r>
      <w:r w:rsidR="003D00E9">
        <w:t>provozu a dostupnosti centrálních aplikací</w:t>
      </w:r>
      <w:r w:rsidR="0005553E">
        <w:t>.</w:t>
      </w:r>
    </w:p>
    <w:p w14:paraId="1A56ADD0" w14:textId="77777777" w:rsidR="00427051" w:rsidRDefault="00427051" w:rsidP="00427051">
      <w:pPr>
        <w:pStyle w:val="Nadpis2"/>
        <w:ind w:hanging="717"/>
      </w:pPr>
      <w:r>
        <w:t xml:space="preserve">Integrace </w:t>
      </w:r>
      <w:proofErr w:type="spellStart"/>
      <w:r>
        <w:t>perimetrového</w:t>
      </w:r>
      <w:proofErr w:type="spellEnd"/>
      <w:r>
        <w:t xml:space="preserve"> FW</w:t>
      </w:r>
      <w:r w:rsidR="006A33DF">
        <w:t xml:space="preserve"> </w:t>
      </w:r>
      <w:proofErr w:type="spellStart"/>
      <w:r w:rsidR="006A33DF">
        <w:t>Fortigate</w:t>
      </w:r>
      <w:proofErr w:type="spellEnd"/>
      <w:r w:rsidR="006A33DF">
        <w:t xml:space="preserve"> </w:t>
      </w:r>
      <w:r w:rsidR="008378B6">
        <w:t xml:space="preserve">500 D </w:t>
      </w:r>
      <w:r w:rsidR="006A33DF">
        <w:t xml:space="preserve">do XMC </w:t>
      </w:r>
      <w:proofErr w:type="spellStart"/>
      <w:r w:rsidR="006A33DF">
        <w:t>Extreme</w:t>
      </w:r>
      <w:proofErr w:type="spellEnd"/>
      <w:r w:rsidR="006A33DF">
        <w:t xml:space="preserve"> </w:t>
      </w:r>
      <w:proofErr w:type="spellStart"/>
      <w:r w:rsidR="006A33DF">
        <w:t>Networks</w:t>
      </w:r>
      <w:proofErr w:type="spellEnd"/>
    </w:p>
    <w:p w14:paraId="0A56D125" w14:textId="77777777" w:rsidR="00F41593" w:rsidRDefault="00F41593" w:rsidP="0044338D">
      <w:pPr>
        <w:spacing w:after="0"/>
        <w:ind w:left="709" w:firstLine="360"/>
        <w:jc w:val="both"/>
      </w:pPr>
      <w:r>
        <w:t xml:space="preserve">Integrace </w:t>
      </w:r>
      <w:proofErr w:type="spellStart"/>
      <w:r>
        <w:t>F</w:t>
      </w:r>
      <w:r w:rsidR="00F0234D">
        <w:t>ortinet</w:t>
      </w:r>
      <w:proofErr w:type="spellEnd"/>
      <w:r w:rsidR="00F0234D">
        <w:t xml:space="preserve"> FW do XMC pokryje</w:t>
      </w:r>
      <w:r>
        <w:t xml:space="preserve"> jak možnost řídit centrálně bezpečnostní politiku z jednoho bodu, v tomto případě z nástroje XMC spolupracujícího s NAC, tak</w:t>
      </w:r>
      <w:r w:rsidR="0005206B">
        <w:t xml:space="preserve"> i </w:t>
      </w:r>
      <w:r>
        <w:t xml:space="preserve"> integraci logování provozu z FW do XMC. </w:t>
      </w:r>
      <w:r w:rsidR="0044338D">
        <w:t xml:space="preserve">K tomu bude nutné </w:t>
      </w:r>
      <w:r>
        <w:t>prov</w:t>
      </w:r>
      <w:r w:rsidR="0044338D">
        <w:t>ést</w:t>
      </w:r>
      <w:r>
        <w:t xml:space="preserve"> potřebn</w:t>
      </w:r>
      <w:r w:rsidR="0044338D">
        <w:t>ou</w:t>
      </w:r>
      <w:r w:rsidR="00A83592">
        <w:t xml:space="preserve"> konfiguraci</w:t>
      </w:r>
      <w:r>
        <w:t xml:space="preserve"> na obou stranách</w:t>
      </w:r>
      <w:r w:rsidR="0044338D">
        <w:t xml:space="preserve"> (FW, XMC) v rozsahu</w:t>
      </w:r>
      <w:r>
        <w:t>:</w:t>
      </w:r>
    </w:p>
    <w:p w14:paraId="3FA21DFB" w14:textId="77777777" w:rsidR="00F41593" w:rsidRDefault="00F41593" w:rsidP="0044338D">
      <w:pPr>
        <w:pStyle w:val="Odstavecseseznamem"/>
        <w:numPr>
          <w:ilvl w:val="0"/>
          <w:numId w:val="14"/>
        </w:numPr>
        <w:spacing w:after="0"/>
        <w:jc w:val="both"/>
      </w:pPr>
      <w:r>
        <w:t>Konfigurace SNMP</w:t>
      </w:r>
      <w:r w:rsidR="0044338D">
        <w:t>,</w:t>
      </w:r>
    </w:p>
    <w:p w14:paraId="49650019" w14:textId="77777777" w:rsidR="00F41593" w:rsidRDefault="00F41593" w:rsidP="0044338D">
      <w:pPr>
        <w:pStyle w:val="Odstavecseseznamem"/>
        <w:numPr>
          <w:ilvl w:val="0"/>
          <w:numId w:val="14"/>
        </w:numPr>
        <w:spacing w:after="0"/>
        <w:jc w:val="both"/>
      </w:pPr>
      <w:r>
        <w:t>Konfigurace logování</w:t>
      </w:r>
      <w:r w:rsidR="0044338D">
        <w:t>,</w:t>
      </w:r>
    </w:p>
    <w:p w14:paraId="42C197B9" w14:textId="77777777" w:rsidR="00F41593" w:rsidRDefault="00F41593" w:rsidP="0044338D">
      <w:pPr>
        <w:pStyle w:val="Odstavecseseznamem"/>
        <w:numPr>
          <w:ilvl w:val="0"/>
          <w:numId w:val="14"/>
        </w:numPr>
        <w:spacing w:after="0"/>
        <w:jc w:val="both"/>
      </w:pPr>
      <w:r>
        <w:t>Konfigurace Radius serverů</w:t>
      </w:r>
      <w:r w:rsidR="0044338D">
        <w:t>,</w:t>
      </w:r>
    </w:p>
    <w:p w14:paraId="17E6697A" w14:textId="77777777" w:rsidR="00F41593" w:rsidRDefault="00F41593" w:rsidP="0044338D">
      <w:pPr>
        <w:pStyle w:val="Odstavecseseznamem"/>
        <w:numPr>
          <w:ilvl w:val="0"/>
          <w:numId w:val="14"/>
        </w:numPr>
        <w:spacing w:after="0"/>
        <w:jc w:val="both"/>
      </w:pPr>
      <w:r>
        <w:t>Konfigurace bezpečnostní politiky</w:t>
      </w:r>
      <w:r w:rsidR="0044338D">
        <w:t>.</w:t>
      </w:r>
    </w:p>
    <w:p w14:paraId="7D693BEB" w14:textId="77777777" w:rsidR="00F41593" w:rsidRDefault="00F41593" w:rsidP="00101386">
      <w:pPr>
        <w:spacing w:after="0"/>
        <w:ind w:left="709" w:firstLine="360"/>
        <w:jc w:val="both"/>
      </w:pPr>
      <w:r>
        <w:t>Po vzájemné integraci obou prvků pak bude možné z XMC nejen řídit bezpečnostní politiku, ale také sledovat analytická data provozu v síti poskytnutá FW a jím reportované logy.</w:t>
      </w:r>
      <w:r w:rsidR="00101386">
        <w:t xml:space="preserve"> </w:t>
      </w:r>
      <w:r>
        <w:t>Dalším cílem integra</w:t>
      </w:r>
      <w:r w:rsidR="00E65225">
        <w:t>ce je</w:t>
      </w:r>
      <w:r>
        <w:t>, aby FW mohl v případě detekce hrozby na perimetru sítě</w:t>
      </w:r>
      <w:r w:rsidRPr="00610126">
        <w:t xml:space="preserve"> </w:t>
      </w:r>
      <w:r>
        <w:t>zasahovat do konfigurace přístupové vrstvy a zabránit dalšímu šíření případné hrozby.</w:t>
      </w:r>
    </w:p>
    <w:p w14:paraId="492C94F7" w14:textId="77777777" w:rsidR="00F41593" w:rsidRPr="006D70A5" w:rsidRDefault="00F41593" w:rsidP="00101386">
      <w:pPr>
        <w:spacing w:after="0"/>
        <w:ind w:left="709" w:firstLine="360"/>
        <w:jc w:val="both"/>
      </w:pPr>
      <w:r>
        <w:t>Všechna data, jak analýza provozu, tak logy, a to i ze zbylých zařízení v infrastruktuře, by pak mohly být s</w:t>
      </w:r>
      <w:r w:rsidR="009E5FBF">
        <w:t>měrovány do XMC a zde hodnoceny a notifikovány určeným osobám.</w:t>
      </w:r>
      <w:r>
        <w:t xml:space="preserve"> </w:t>
      </w:r>
    </w:p>
    <w:p w14:paraId="4E5BA577" w14:textId="77777777" w:rsidR="003D00E9" w:rsidRPr="003D00E9" w:rsidRDefault="003D00E9" w:rsidP="003D00E9">
      <w:pPr>
        <w:ind w:left="708"/>
      </w:pPr>
    </w:p>
    <w:p w14:paraId="2CE7A8FD" w14:textId="77777777" w:rsidR="006A33DF" w:rsidRDefault="006A33DF" w:rsidP="006A33DF">
      <w:pPr>
        <w:pStyle w:val="Nadpis2"/>
        <w:ind w:hanging="717"/>
      </w:pPr>
      <w:r>
        <w:lastRenderedPageBreak/>
        <w:t>Přechod na protokol 802.1X</w:t>
      </w:r>
    </w:p>
    <w:p w14:paraId="4E4AB4D2" w14:textId="77777777" w:rsidR="0057637E" w:rsidRDefault="0057637E" w:rsidP="00BA04AF">
      <w:pPr>
        <w:spacing w:after="0"/>
        <w:ind w:left="709" w:firstLine="360"/>
        <w:jc w:val="both"/>
      </w:pPr>
      <w:r>
        <w:t>Na vš</w:t>
      </w:r>
      <w:r w:rsidR="004C5009">
        <w:t>ech přepínačích je požadován</w:t>
      </w:r>
      <w:r>
        <w:t xml:space="preserve"> </w:t>
      </w:r>
      <w:r w:rsidR="00EC0931">
        <w:t>přechod na protokol 802.1X. Konfiguraci přepínačů předpokládáme realizovat podle předem</w:t>
      </w:r>
      <w:r w:rsidR="00BA04AF">
        <w:t xml:space="preserve"> připravených šablon</w:t>
      </w:r>
      <w:r w:rsidR="004C5009">
        <w:t>,</w:t>
      </w:r>
      <w:r w:rsidR="00BA04AF">
        <w:t xml:space="preserve"> jednotné metodik</w:t>
      </w:r>
      <w:r w:rsidR="00AA12C9">
        <w:t>y</w:t>
      </w:r>
      <w:r w:rsidR="004C5009">
        <w:t xml:space="preserve"> a</w:t>
      </w:r>
      <w:r w:rsidR="002D1F73">
        <w:t xml:space="preserve"> testovacích scénářů včetně</w:t>
      </w:r>
      <w:r w:rsidR="00BA04AF">
        <w:t xml:space="preserve"> provedení implementačních testů</w:t>
      </w:r>
      <w:r w:rsidR="002D1F73">
        <w:t>,</w:t>
      </w:r>
      <w:r w:rsidR="00AA12C9">
        <w:t xml:space="preserve"> monitoringu průběhu autentizace</w:t>
      </w:r>
      <w:r w:rsidR="002D1F73">
        <w:t xml:space="preserve"> uživatelů a </w:t>
      </w:r>
      <w:r w:rsidR="009A6117">
        <w:t>provozovaného HW</w:t>
      </w:r>
      <w:r w:rsidR="00AA12C9">
        <w:t>. Všechny požadované úkony musí být provedeny bez</w:t>
      </w:r>
      <w:r w:rsidR="002D1F73">
        <w:t xml:space="preserve"> dopadů na </w:t>
      </w:r>
      <w:r w:rsidR="004C5009">
        <w:t xml:space="preserve">probíhající ostrý </w:t>
      </w:r>
      <w:r w:rsidR="002D1F73">
        <w:t>provoz.</w:t>
      </w:r>
    </w:p>
    <w:p w14:paraId="2307BDFF" w14:textId="77777777" w:rsidR="009A43AD" w:rsidRPr="0057637E" w:rsidRDefault="009A43AD" w:rsidP="00BA04AF">
      <w:pPr>
        <w:spacing w:after="0"/>
        <w:ind w:left="709" w:firstLine="360"/>
        <w:jc w:val="both"/>
      </w:pPr>
    </w:p>
    <w:p w14:paraId="7B10B414" w14:textId="77777777" w:rsidR="006A33DF" w:rsidRPr="006A33DF" w:rsidRDefault="006A33DF" w:rsidP="006A33DF">
      <w:pPr>
        <w:pStyle w:val="Nadpis2"/>
        <w:ind w:hanging="717"/>
      </w:pPr>
      <w:r>
        <w:t>Segmentace stávající sítě WAN ČOI</w:t>
      </w:r>
    </w:p>
    <w:p w14:paraId="4AD9584E" w14:textId="77777777" w:rsidR="00987B07" w:rsidRDefault="009A43AD" w:rsidP="005621D7">
      <w:pPr>
        <w:spacing w:after="0"/>
        <w:ind w:left="709" w:firstLine="360"/>
        <w:jc w:val="both"/>
      </w:pPr>
      <w:r>
        <w:t xml:space="preserve">Navazuje na zavedení technologie 802.1X s cílem provedení </w:t>
      </w:r>
      <w:r w:rsidR="005621D7">
        <w:t>logické segmentace WAN ČOI dané určením rolí uživatelů, provozovaného HW a jednotlivých provozovaných systémů.</w:t>
      </w:r>
      <w:r w:rsidR="00FF71B9">
        <w:t xml:space="preserve"> Skupiny uživatelů a k nim asociované role by měly být definovány minimálně v rozsahu:</w:t>
      </w:r>
    </w:p>
    <w:p w14:paraId="0F1D77B0" w14:textId="77777777" w:rsidR="00FF71B9" w:rsidRDefault="00C25BB6" w:rsidP="00C92C31">
      <w:pPr>
        <w:pStyle w:val="Odstavecseseznamem"/>
        <w:numPr>
          <w:ilvl w:val="0"/>
          <w:numId w:val="16"/>
        </w:numPr>
        <w:spacing w:after="0"/>
        <w:jc w:val="both"/>
      </w:pPr>
      <w:r>
        <w:t>Interní u</w:t>
      </w:r>
      <w:r w:rsidR="00FF71B9">
        <w:t>živatelé ČOI</w:t>
      </w:r>
      <w:r w:rsidR="001A3795">
        <w:t xml:space="preserve"> (ethernet připojení)</w:t>
      </w:r>
      <w:r w:rsidR="00FF71B9">
        <w:t>:</w:t>
      </w:r>
    </w:p>
    <w:p w14:paraId="78855C1F" w14:textId="77777777" w:rsidR="00FF71B9" w:rsidRDefault="00C92C31" w:rsidP="00B91C9B">
      <w:pPr>
        <w:pStyle w:val="Odstavecseseznamem"/>
        <w:numPr>
          <w:ilvl w:val="0"/>
          <w:numId w:val="15"/>
        </w:numPr>
        <w:spacing w:after="0"/>
        <w:ind w:left="2058" w:hanging="357"/>
        <w:jc w:val="both"/>
      </w:pPr>
      <w:r>
        <w:t>Administrátoři</w:t>
      </w:r>
    </w:p>
    <w:p w14:paraId="2F2C1284" w14:textId="77777777" w:rsidR="00C92C31" w:rsidRDefault="00C92C31" w:rsidP="00B91C9B">
      <w:pPr>
        <w:pStyle w:val="Odstavecseseznamem"/>
        <w:numPr>
          <w:ilvl w:val="0"/>
          <w:numId w:val="15"/>
        </w:numPr>
        <w:spacing w:after="0"/>
        <w:ind w:left="2058" w:hanging="357"/>
        <w:jc w:val="both"/>
      </w:pPr>
      <w:r>
        <w:t>Zaměstnanci</w:t>
      </w:r>
    </w:p>
    <w:p w14:paraId="48CF122B" w14:textId="77777777" w:rsidR="00C25BB6" w:rsidRDefault="001A3795" w:rsidP="00B91C9B">
      <w:pPr>
        <w:pStyle w:val="Odstavecseseznamem"/>
        <w:numPr>
          <w:ilvl w:val="0"/>
          <w:numId w:val="16"/>
        </w:numPr>
        <w:spacing w:after="0"/>
        <w:jc w:val="both"/>
      </w:pPr>
      <w:r>
        <w:t xml:space="preserve">Uživatelé </w:t>
      </w:r>
      <w:r w:rsidR="00C25BB6">
        <w:t>v terénu (VPN připojení)</w:t>
      </w:r>
      <w:r>
        <w:t xml:space="preserve"> – inspektoř</w:t>
      </w:r>
      <w:bookmarkStart w:id="1" w:name="_GoBack"/>
      <w:bookmarkEnd w:id="1"/>
      <w:r>
        <w:t>i, režim home office apod</w:t>
      </w:r>
      <w:r w:rsidR="0074416A">
        <w:t>.</w:t>
      </w:r>
    </w:p>
    <w:p w14:paraId="4AF8C8A6" w14:textId="77777777" w:rsidR="00C92C31" w:rsidRDefault="00B91C9B" w:rsidP="00B91C9B">
      <w:pPr>
        <w:pStyle w:val="Odstavecseseznamem"/>
        <w:numPr>
          <w:ilvl w:val="0"/>
          <w:numId w:val="16"/>
        </w:numPr>
        <w:spacing w:after="0"/>
        <w:jc w:val="both"/>
      </w:pPr>
      <w:r>
        <w:t>Externí d</w:t>
      </w:r>
      <w:r w:rsidR="00C92C31">
        <w:t>odavatelé</w:t>
      </w:r>
      <w:r>
        <w:t xml:space="preserve"> IT služeb </w:t>
      </w:r>
    </w:p>
    <w:p w14:paraId="453657A7" w14:textId="77777777" w:rsidR="00B91C9B" w:rsidRDefault="00B91C9B" w:rsidP="00B91C9B">
      <w:pPr>
        <w:pStyle w:val="Odstavecseseznamem"/>
        <w:numPr>
          <w:ilvl w:val="0"/>
          <w:numId w:val="16"/>
        </w:numPr>
        <w:spacing w:after="0"/>
        <w:jc w:val="both"/>
      </w:pPr>
      <w:r>
        <w:t>Návštěvnící</w:t>
      </w:r>
    </w:p>
    <w:p w14:paraId="50CD8938" w14:textId="77777777" w:rsidR="00C81B3E" w:rsidRDefault="00995CBC" w:rsidP="002E66A3">
      <w:pPr>
        <w:ind w:left="851" w:firstLine="218"/>
        <w:jc w:val="both"/>
      </w:pPr>
      <w:r>
        <w:t xml:space="preserve">Těmto </w:t>
      </w:r>
      <w:r w:rsidR="00F33A77">
        <w:t>rolím budou</w:t>
      </w:r>
      <w:r>
        <w:t xml:space="preserve"> přiřazeny bezp</w:t>
      </w:r>
      <w:r w:rsidR="004C5009">
        <w:t xml:space="preserve">ečnostní politiky, které </w:t>
      </w:r>
      <w:r w:rsidR="00B3410F">
        <w:t>po autentizaci uživatele (</w:t>
      </w:r>
      <w:r w:rsidR="00AF26C5">
        <w:t>stroje</w:t>
      </w:r>
      <w:r w:rsidR="00B3410F">
        <w:t>) nakonfi</w:t>
      </w:r>
      <w:r w:rsidR="0025161E">
        <w:t xml:space="preserve">gurují síťový port přepínače v rozsahu stanovené bezpečnostní politiky (např. </w:t>
      </w:r>
      <w:r w:rsidR="004C5009">
        <w:t>omezí</w:t>
      </w:r>
      <w:r>
        <w:t xml:space="preserve"> přístup </w:t>
      </w:r>
      <w:r w:rsidR="00B3410F">
        <w:t xml:space="preserve">uživatelů </w:t>
      </w:r>
      <w:r>
        <w:t>na zdroje ve vnitřním perimetru sítě</w:t>
      </w:r>
      <w:r w:rsidR="0025161E">
        <w:t>,</w:t>
      </w:r>
      <w:r>
        <w:t xml:space="preserve"> </w:t>
      </w:r>
      <w:r w:rsidR="00193F14">
        <w:t>omezí</w:t>
      </w:r>
      <w:r w:rsidR="00B83EAC">
        <w:t xml:space="preserve"> </w:t>
      </w:r>
      <w:r>
        <w:t>objem jejich provozu</w:t>
      </w:r>
      <w:r w:rsidR="0025161E">
        <w:t xml:space="preserve"> </w:t>
      </w:r>
      <w:proofErr w:type="spellStart"/>
      <w:r w:rsidR="0025161E">
        <w:t>apod</w:t>
      </w:r>
      <w:proofErr w:type="spellEnd"/>
      <w:r w:rsidR="0025161E">
        <w:t>)</w:t>
      </w:r>
      <w:r>
        <w:t>.</w:t>
      </w:r>
      <w:r w:rsidR="0025161E">
        <w:t xml:space="preserve"> S tím souvisí i možnost</w:t>
      </w:r>
      <w:r w:rsidR="00D80821">
        <w:t xml:space="preserve"> autentizace</w:t>
      </w:r>
      <w:r w:rsidR="00AF26C5">
        <w:t xml:space="preserve"> při přístupu do WAN ČOI</w:t>
      </w:r>
      <w:r w:rsidR="001E2416">
        <w:t xml:space="preserve"> využití</w:t>
      </w:r>
      <w:r w:rsidR="00AF26C5">
        <w:t>m</w:t>
      </w:r>
      <w:r w:rsidR="001E2416">
        <w:t xml:space="preserve"> osobního certifikátu. V případě návštěvníků </w:t>
      </w:r>
      <w:r w:rsidR="00193F14">
        <w:t xml:space="preserve">řešit </w:t>
      </w:r>
      <w:r w:rsidR="001E2416">
        <w:t xml:space="preserve">možnost autentizace prostřednictvím návštěvnického portálu </w:t>
      </w:r>
      <w:r w:rsidR="00CF0CC7">
        <w:t>po schválení odpovědným zaměstnancem ČOI, případně vydáním časově omezeného přístupu.</w:t>
      </w:r>
      <w:r w:rsidR="00C81B3E">
        <w:t xml:space="preserve"> Jako </w:t>
      </w:r>
      <w:proofErr w:type="spellStart"/>
      <w:r w:rsidR="00C81B3E">
        <w:t>suplikant</w:t>
      </w:r>
      <w:proofErr w:type="spellEnd"/>
      <w:r w:rsidR="00C81B3E">
        <w:t xml:space="preserve"> koncových stanic zvážit použití nativního nástroje Microsoft Windows. Pokud by stanice používaly jiný OS, </w:t>
      </w:r>
      <w:r w:rsidR="00F61077">
        <w:t xml:space="preserve">navrhnout s </w:t>
      </w:r>
      <w:r w:rsidR="00C81B3E">
        <w:t xml:space="preserve"> NAC </w:t>
      </w:r>
      <w:r w:rsidR="00C72DF8">
        <w:t xml:space="preserve">jiný </w:t>
      </w:r>
      <w:r w:rsidR="00C81B3E">
        <w:t>kompatibilní SW.</w:t>
      </w:r>
    </w:p>
    <w:p w14:paraId="7816043B" w14:textId="77777777" w:rsidR="00995CBC" w:rsidRDefault="00995CBC" w:rsidP="00995CBC">
      <w:pPr>
        <w:spacing w:after="0"/>
        <w:ind w:left="709" w:firstLine="360"/>
        <w:jc w:val="both"/>
      </w:pPr>
    </w:p>
    <w:p w14:paraId="7FAD31EF" w14:textId="77777777" w:rsidR="00CF0CC7" w:rsidRDefault="00CF0CC7" w:rsidP="002E66A3">
      <w:pPr>
        <w:spacing w:after="0"/>
        <w:ind w:left="993" w:firstLine="76"/>
        <w:jc w:val="both"/>
      </w:pPr>
      <w:r>
        <w:t xml:space="preserve">Skupiny provozovaného HW </w:t>
      </w:r>
      <w:r w:rsidR="00532E46">
        <w:t>a k</w:t>
      </w:r>
      <w:r w:rsidR="00B6374C">
        <w:t xml:space="preserve"> </w:t>
      </w:r>
      <w:r w:rsidR="00532E46">
        <w:t xml:space="preserve">nim asociované role </w:t>
      </w:r>
      <w:r>
        <w:t>budou definovány minimálně v rozsahu:</w:t>
      </w:r>
    </w:p>
    <w:p w14:paraId="32618A3F" w14:textId="77777777" w:rsidR="009C0230" w:rsidRDefault="00857B09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provozované servery,</w:t>
      </w:r>
    </w:p>
    <w:p w14:paraId="6301666E" w14:textId="77777777" w:rsidR="00532E46" w:rsidRDefault="00532E46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aktivní prvky,</w:t>
      </w:r>
    </w:p>
    <w:p w14:paraId="47C3781B" w14:textId="77777777" w:rsidR="00857B09" w:rsidRDefault="00857B09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tiskárny,</w:t>
      </w:r>
    </w:p>
    <w:p w14:paraId="30E37E19" w14:textId="77777777" w:rsidR="00857B09" w:rsidRDefault="00857B09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pracovní stanice,</w:t>
      </w:r>
    </w:p>
    <w:p w14:paraId="22695A34" w14:textId="77777777" w:rsidR="00857B09" w:rsidRDefault="00532E46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bezdrátová síť (Ac</w:t>
      </w:r>
      <w:r w:rsidR="0072612E">
        <w:t>c</w:t>
      </w:r>
      <w:r>
        <w:t>ess pointy)</w:t>
      </w:r>
    </w:p>
    <w:p w14:paraId="3EB63D8E" w14:textId="77777777" w:rsidR="00CD4C01" w:rsidRDefault="00CD4C01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uzavřené místnosti (servrovny)</w:t>
      </w:r>
    </w:p>
    <w:p w14:paraId="7064410E" w14:textId="77777777" w:rsidR="00CD4C01" w:rsidRDefault="00CD4C01" w:rsidP="00857B09">
      <w:pPr>
        <w:pStyle w:val="Odstavecseseznamem"/>
        <w:numPr>
          <w:ilvl w:val="0"/>
          <w:numId w:val="17"/>
        </w:numPr>
        <w:spacing w:after="0"/>
        <w:jc w:val="both"/>
      </w:pPr>
      <w:r>
        <w:t>HW – dočasná zařízení</w:t>
      </w:r>
      <w:r w:rsidR="00C72DF8">
        <w:t xml:space="preserve"> (např. návštěvy s vlastním NTB)</w:t>
      </w:r>
    </w:p>
    <w:p w14:paraId="5120B96F" w14:textId="77777777" w:rsidR="006F5ED1" w:rsidRDefault="006F5ED1" w:rsidP="009A64F8">
      <w:pPr>
        <w:ind w:left="851" w:firstLine="218"/>
        <w:jc w:val="both"/>
      </w:pPr>
      <w:r>
        <w:t xml:space="preserve">Autentizace se, v případě těchto zařízení,  může řešit buď skrze MAC adresu, </w:t>
      </w:r>
      <w:proofErr w:type="gramStart"/>
      <w:r>
        <w:t>nebo, pokud</w:t>
      </w:r>
      <w:proofErr w:type="gramEnd"/>
      <w:r>
        <w:t xml:space="preserve"> to zařízení umožňuje, certifikátem vydaným pro tato zařízení.</w:t>
      </w:r>
    </w:p>
    <w:p w14:paraId="6F76C132" w14:textId="77777777" w:rsidR="00987B07" w:rsidRPr="00987B07" w:rsidRDefault="00987B07" w:rsidP="00987B07"/>
    <w:p w14:paraId="39DE8E41" w14:textId="77777777" w:rsidR="008D2B3A" w:rsidRDefault="008D2B3A" w:rsidP="007F5919">
      <w:pPr>
        <w:pStyle w:val="Nadpis2"/>
        <w:ind w:hanging="717"/>
      </w:pPr>
      <w:r>
        <w:lastRenderedPageBreak/>
        <w:t>Školení</w:t>
      </w:r>
    </w:p>
    <w:p w14:paraId="2A042D74" w14:textId="77777777" w:rsidR="008D2B3A" w:rsidRPr="008D2B3A" w:rsidRDefault="008D2B3A" w:rsidP="007F5919">
      <w:pPr>
        <w:ind w:left="709"/>
        <w:rPr>
          <w:lang w:eastAsia="cs-CZ"/>
        </w:rPr>
      </w:pPr>
      <w:r>
        <w:rPr>
          <w:lang w:eastAsia="cs-CZ"/>
        </w:rPr>
        <w:t>Požaduje se 1</w:t>
      </w:r>
      <w:r w:rsidR="00C75D6D">
        <w:rPr>
          <w:lang w:eastAsia="cs-CZ"/>
        </w:rPr>
        <w:t xml:space="preserve"> denní školení pro 10 účastníků v rozsahu implementovaných opatření a souvisejících změn oproti současnému stavu.</w:t>
      </w:r>
    </w:p>
    <w:p w14:paraId="7D508CCF" w14:textId="77777777" w:rsidR="00B92F65" w:rsidRDefault="0094754A" w:rsidP="00FA2523">
      <w:pPr>
        <w:pStyle w:val="Nadpis1"/>
      </w:pPr>
      <w:r>
        <w:t xml:space="preserve"> Podpora</w:t>
      </w:r>
    </w:p>
    <w:p w14:paraId="1636E0F4" w14:textId="77777777" w:rsidR="008307F6" w:rsidRDefault="00D94255" w:rsidP="008D2B3A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Požaduje se </w:t>
      </w:r>
      <w:r w:rsidR="00303BBB">
        <w:rPr>
          <w:rFonts w:cs="Tahoma"/>
          <w:szCs w:val="24"/>
        </w:rPr>
        <w:t>2 letá</w:t>
      </w:r>
      <w:r w:rsidR="00FA2523">
        <w:rPr>
          <w:rFonts w:cs="Tahoma"/>
          <w:szCs w:val="24"/>
        </w:rPr>
        <w:t xml:space="preserve"> podpora </w:t>
      </w:r>
      <w:r w:rsidR="00B229DE">
        <w:rPr>
          <w:rFonts w:cs="Tahoma"/>
          <w:szCs w:val="24"/>
        </w:rPr>
        <w:t>ve smyslu</w:t>
      </w:r>
      <w:r w:rsidR="008307F6">
        <w:rPr>
          <w:rFonts w:cs="Tahoma"/>
          <w:szCs w:val="24"/>
        </w:rPr>
        <w:t>:</w:t>
      </w:r>
    </w:p>
    <w:p w14:paraId="5260BEF1" w14:textId="77777777" w:rsidR="008307F6" w:rsidRDefault="00B229DE" w:rsidP="008307F6">
      <w:pPr>
        <w:pStyle w:val="Odstavecseseznamem"/>
        <w:numPr>
          <w:ilvl w:val="0"/>
          <w:numId w:val="18"/>
        </w:numPr>
        <w:jc w:val="both"/>
        <w:rPr>
          <w:rFonts w:cs="Tahoma"/>
          <w:szCs w:val="24"/>
        </w:rPr>
      </w:pPr>
      <w:r w:rsidRPr="008307F6">
        <w:rPr>
          <w:rFonts w:cs="Tahoma"/>
          <w:szCs w:val="24"/>
        </w:rPr>
        <w:t>modifikace nast</w:t>
      </w:r>
      <w:r w:rsidR="008307F6">
        <w:rPr>
          <w:rFonts w:cs="Tahoma"/>
          <w:szCs w:val="24"/>
        </w:rPr>
        <w:t>avených bezpečnostních pravidel</w:t>
      </w:r>
      <w:r w:rsidR="003B0C51">
        <w:rPr>
          <w:rFonts w:cs="Tahoma"/>
          <w:szCs w:val="24"/>
        </w:rPr>
        <w:t>,</w:t>
      </w:r>
      <w:r w:rsidRPr="008307F6">
        <w:rPr>
          <w:rFonts w:cs="Tahoma"/>
          <w:szCs w:val="24"/>
        </w:rPr>
        <w:t xml:space="preserve"> vytvoření nových,</w:t>
      </w:r>
      <w:r w:rsidR="008307F6" w:rsidRPr="008307F6">
        <w:rPr>
          <w:rFonts w:cs="Tahoma"/>
          <w:szCs w:val="24"/>
        </w:rPr>
        <w:t xml:space="preserve"> </w:t>
      </w:r>
    </w:p>
    <w:p w14:paraId="6489F645" w14:textId="77777777" w:rsidR="008727FE" w:rsidRDefault="003B0C51" w:rsidP="008307F6">
      <w:pPr>
        <w:pStyle w:val="Odstavecseseznamem"/>
        <w:numPr>
          <w:ilvl w:val="0"/>
          <w:numId w:val="18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případné vynucené změny řešení </w:t>
      </w:r>
      <w:r w:rsidR="008307F6" w:rsidRPr="008307F6">
        <w:rPr>
          <w:rFonts w:cs="Tahoma"/>
          <w:szCs w:val="24"/>
        </w:rPr>
        <w:t xml:space="preserve">integrace FW </w:t>
      </w:r>
      <w:r>
        <w:rPr>
          <w:rFonts w:cs="Tahoma"/>
          <w:szCs w:val="24"/>
        </w:rPr>
        <w:t>–</w:t>
      </w:r>
      <w:r w:rsidR="008307F6" w:rsidRPr="008307F6">
        <w:rPr>
          <w:rFonts w:cs="Tahoma"/>
          <w:szCs w:val="24"/>
        </w:rPr>
        <w:t xml:space="preserve"> XMC</w:t>
      </w:r>
      <w:r>
        <w:rPr>
          <w:rFonts w:cs="Tahoma"/>
          <w:szCs w:val="24"/>
        </w:rPr>
        <w:t>,</w:t>
      </w:r>
    </w:p>
    <w:p w14:paraId="1BB9A34A" w14:textId="77777777" w:rsidR="003B0C51" w:rsidRDefault="003B0C51" w:rsidP="008307F6">
      <w:pPr>
        <w:pStyle w:val="Odstavecseseznamem"/>
        <w:numPr>
          <w:ilvl w:val="0"/>
          <w:numId w:val="18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případných změn </w:t>
      </w:r>
      <w:r w:rsidR="00A71075">
        <w:rPr>
          <w:rFonts w:cs="Tahoma"/>
          <w:szCs w:val="24"/>
        </w:rPr>
        <w:t xml:space="preserve">v konfiguraci switchů </w:t>
      </w:r>
      <w:r w:rsidR="00193F14">
        <w:rPr>
          <w:rFonts w:cs="Tahoma"/>
          <w:szCs w:val="24"/>
        </w:rPr>
        <w:t xml:space="preserve">v rámci </w:t>
      </w:r>
      <w:r w:rsidR="00A71075">
        <w:rPr>
          <w:rFonts w:cs="Tahoma"/>
          <w:szCs w:val="24"/>
        </w:rPr>
        <w:t>technologie 802.1X</w:t>
      </w:r>
      <w:r w:rsidR="00E21396">
        <w:rPr>
          <w:rFonts w:cs="Tahoma"/>
          <w:szCs w:val="24"/>
        </w:rPr>
        <w:t>,</w:t>
      </w:r>
    </w:p>
    <w:p w14:paraId="3BBA08C7" w14:textId="77777777" w:rsidR="00A71075" w:rsidRPr="008307F6" w:rsidRDefault="00A71075" w:rsidP="008307F6">
      <w:pPr>
        <w:pStyle w:val="Odstavecseseznamem"/>
        <w:numPr>
          <w:ilvl w:val="0"/>
          <w:numId w:val="18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případných </w:t>
      </w:r>
      <w:r w:rsidR="00E21396">
        <w:rPr>
          <w:rFonts w:cs="Tahoma"/>
          <w:szCs w:val="24"/>
        </w:rPr>
        <w:t>změn konfigurace nastavené segmentace WAN ČOI.</w:t>
      </w:r>
    </w:p>
    <w:p w14:paraId="6AEF8B4A" w14:textId="77777777" w:rsidR="00794647" w:rsidRPr="00794647" w:rsidRDefault="00794647" w:rsidP="002C4714">
      <w:pPr>
        <w:pStyle w:val="Nadpis1"/>
      </w:pPr>
      <w:r w:rsidRPr="00794647">
        <w:t>Seznam lokalit a pověřených osob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0"/>
        <w:gridCol w:w="2430"/>
        <w:gridCol w:w="2070"/>
        <w:gridCol w:w="1710"/>
      </w:tblGrid>
      <w:tr w:rsidR="006C36BC" w14:paraId="435C55CE" w14:textId="77777777" w:rsidTr="004575C6">
        <w:trPr>
          <w:trHeight w:val="78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2BF7D4A" w14:textId="77777777"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Lokalita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736267A" w14:textId="77777777" w:rsidR="008727FE" w:rsidRDefault="008727FE" w:rsidP="004575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Odpovědná osoba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36EB857" w14:textId="77777777"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9A2BDE9" w14:textId="77777777" w:rsidR="008727FE" w:rsidRDefault="008727FE" w:rsidP="004575C6">
            <w:pPr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Telefon</w:t>
            </w:r>
          </w:p>
        </w:tc>
      </w:tr>
      <w:tr w:rsidR="006C36BC" w14:paraId="1C9D488D" w14:textId="77777777" w:rsidTr="00794647">
        <w:trPr>
          <w:trHeight w:val="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A896" w14:textId="77777777" w:rsidR="00794647" w:rsidRDefault="00794647" w:rsidP="0079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Ústředí ČOI,</w:t>
            </w:r>
          </w:p>
          <w:p w14:paraId="72D459C8" w14:textId="77777777" w:rsidR="008727FE" w:rsidRDefault="00794647" w:rsidP="0079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2, Štěpánská 567/15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53EF2" w14:textId="6EB227A2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CBC55" w14:textId="0576E6D0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CA5E" w14:textId="3D815C2E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6A08067D" w14:textId="77777777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F8E0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Ústředí ČOI,</w:t>
            </w:r>
          </w:p>
          <w:p w14:paraId="48FC974B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2, Štěpánská 567/15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503FF" w14:textId="26BA2768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08C0" w14:textId="4E867A53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BA04" w14:textId="180FAF2D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402B7F0B" w14:textId="77777777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DDD9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Brno,</w:t>
            </w:r>
          </w:p>
          <w:p w14:paraId="5064B203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tř. Kpt. Jaroše 1924/5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DF14F" w14:textId="2CC00FD7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43D5" w14:textId="4703EB78" w:rsidR="008727FE" w:rsidRPr="006C36BC" w:rsidRDefault="006C36BC" w:rsidP="006C36BC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1DF2" w14:textId="0544CF35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  <w:tr w:rsidR="006C36BC" w14:paraId="04E24F3C" w14:textId="77777777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9054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Budějovice,</w:t>
            </w:r>
          </w:p>
          <w:p w14:paraId="536EBD5B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Mánesova 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39E7" w14:textId="3BCDCBBE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37B3" w14:textId="610E074C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8D44" w14:textId="723ACF30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  <w:tr w:rsidR="006C36BC" w14:paraId="5BF4F931" w14:textId="77777777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68FD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Hradec Králové,</w:t>
            </w:r>
          </w:p>
          <w:p w14:paraId="05F6BAF5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Jižní 870/2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0505" w14:textId="7D871053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7D9C" w14:textId="418A3018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FFC" w14:textId="6D63F0F1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26B77316" w14:textId="77777777" w:rsidTr="004575C6">
        <w:trPr>
          <w:trHeight w:val="340"/>
        </w:trPr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B40D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Liberec,</w:t>
            </w:r>
          </w:p>
          <w:p w14:paraId="48F03C1A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Dr. Edvarda Beneše 585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8211" w14:textId="2E1F40CB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B119" w14:textId="00056D50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EDA4" w14:textId="6B3F4710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  <w:tr w:rsidR="006C36BC" w14:paraId="7C332492" w14:textId="77777777" w:rsidTr="004575C6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E9E8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Olomouc,</w:t>
            </w:r>
          </w:p>
          <w:p w14:paraId="78085E17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Krapkova 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9F60" w14:textId="75962912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0C00" w14:textId="1CB293B3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4C05" w14:textId="09D8ECC2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177D310C" w14:textId="77777777" w:rsidTr="002C4714">
        <w:trPr>
          <w:trHeight w:val="3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0EDD30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Ostrava-Třebovice,</w:t>
            </w:r>
          </w:p>
          <w:p w14:paraId="424866DC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ED964" w14:textId="61FF80D4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06B881" w14:textId="21FE2141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10B5A" w14:textId="2D4E8518" w:rsidR="008727FE" w:rsidRPr="006C36BC" w:rsidRDefault="006C36BC" w:rsidP="006C36BC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4443277B" w14:textId="77777777" w:rsidTr="002C4714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96D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Plzeň,</w:t>
            </w:r>
          </w:p>
          <w:p w14:paraId="05A669B1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Houškova 33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5C87" w14:textId="3854B253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8DD8" w14:textId="2449F45E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966" w14:textId="4430884C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6C36BC" w14:paraId="409F8DBC" w14:textId="77777777" w:rsidTr="002C4714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2F6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Ústí nad Labem, </w:t>
            </w:r>
          </w:p>
          <w:p w14:paraId="5D3769EE" w14:textId="77777777" w:rsidR="008727FE" w:rsidRDefault="008727FE" w:rsidP="00457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Prokopa Diviše 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540" w14:textId="71C3E7E8" w:rsidR="008727FE" w:rsidRPr="006C36BC" w:rsidRDefault="006C36BC" w:rsidP="004575C6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proofErr w:type="spellEnd"/>
            <w:r w:rsidR="001549EE" w:rsidRPr="006C36BC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F068" w14:textId="5FA7FCE5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C8D" w14:textId="4A9DD3BA" w:rsidR="008727FE" w:rsidRPr="006C36BC" w:rsidRDefault="006C36BC" w:rsidP="004575C6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6C36B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</w:tbl>
    <w:p w14:paraId="440D4E32" w14:textId="77777777" w:rsidR="008727FE" w:rsidRDefault="008727FE" w:rsidP="008727FE"/>
    <w:p w14:paraId="4D7DB964" w14:textId="77777777" w:rsidR="008727FE" w:rsidRPr="00B92F65" w:rsidRDefault="008727FE" w:rsidP="0008510F">
      <w:pPr>
        <w:rPr>
          <w:rFonts w:cs="Tahoma"/>
          <w:b/>
          <w:sz w:val="28"/>
          <w:szCs w:val="28"/>
        </w:rPr>
      </w:pPr>
      <w:r>
        <w:t>Aktuální seznam pověřených osob (stav ke dni podpisu smlouvy).</w:t>
      </w:r>
    </w:p>
    <w:sectPr w:rsidR="008727FE" w:rsidRPr="00B92F65" w:rsidSect="006A0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A7E5" w14:textId="77777777" w:rsidR="00363523" w:rsidRDefault="00363523" w:rsidP="00A05045">
      <w:pPr>
        <w:spacing w:after="0" w:line="240" w:lineRule="auto"/>
      </w:pPr>
      <w:r>
        <w:separator/>
      </w:r>
    </w:p>
  </w:endnote>
  <w:endnote w:type="continuationSeparator" w:id="0">
    <w:p w14:paraId="218A77DD" w14:textId="77777777" w:rsidR="00363523" w:rsidRDefault="00363523" w:rsidP="00A0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26DD" w14:textId="77777777" w:rsidR="00C3179D" w:rsidRDefault="00C31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EED8" w14:textId="77777777" w:rsidR="00C3179D" w:rsidRDefault="00C31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C693" w14:textId="77777777" w:rsidR="00C3179D" w:rsidRDefault="00C31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5E9C" w14:textId="77777777" w:rsidR="00363523" w:rsidRDefault="00363523" w:rsidP="00A05045">
      <w:pPr>
        <w:spacing w:after="0" w:line="240" w:lineRule="auto"/>
      </w:pPr>
      <w:r>
        <w:separator/>
      </w:r>
    </w:p>
  </w:footnote>
  <w:footnote w:type="continuationSeparator" w:id="0">
    <w:p w14:paraId="52FC5DAA" w14:textId="77777777" w:rsidR="00363523" w:rsidRDefault="00363523" w:rsidP="00A0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C4D" w14:textId="77777777" w:rsidR="00C3179D" w:rsidRDefault="00C31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3CC7" w14:textId="77777777" w:rsidR="00C3179D" w:rsidRDefault="00C317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F972" w14:textId="4E32E76A" w:rsidR="006A01CD" w:rsidRPr="0008510F" w:rsidRDefault="006A01CD" w:rsidP="0008510F">
    <w:pPr>
      <w:pStyle w:val="Zhlav"/>
      <w:rPr>
        <w:rFonts w:ascii="Arial" w:hAnsi="Arial" w:cs="Arial"/>
        <w:sz w:val="20"/>
        <w:szCs w:val="20"/>
      </w:rPr>
    </w:pPr>
    <w:r w:rsidRPr="0008510F">
      <w:rPr>
        <w:rFonts w:ascii="Arial" w:hAnsi="Arial" w:cs="Arial"/>
        <w:sz w:val="20"/>
        <w:szCs w:val="20"/>
      </w:rPr>
      <w:t>Příloha č.</w:t>
    </w:r>
    <w:r w:rsidR="0008510F" w:rsidRPr="0008510F">
      <w:rPr>
        <w:rFonts w:ascii="Arial" w:hAnsi="Arial" w:cs="Arial"/>
        <w:sz w:val="20"/>
        <w:szCs w:val="20"/>
      </w:rPr>
      <w:t xml:space="preserve"> </w:t>
    </w:r>
    <w:r w:rsidR="00C3179D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D854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504"/>
      </w:pPr>
      <w:rPr>
        <w:rFonts w:cs="Times New Roman"/>
        <w:szCs w:val="26"/>
        <w:lang w:val="cs-CZ" w:eastAsia="cs-CZ" w:bidi="cs-CZ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82648E5"/>
    <w:multiLevelType w:val="hybridMultilevel"/>
    <w:tmpl w:val="890AC45C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C930B33"/>
    <w:multiLevelType w:val="hybridMultilevel"/>
    <w:tmpl w:val="BB02DF0A"/>
    <w:lvl w:ilvl="0" w:tplc="0405000F">
      <w:start w:val="1"/>
      <w:numFmt w:val="decimal"/>
      <w:lvlText w:val="%1."/>
      <w:lvlJc w:val="left"/>
      <w:pPr>
        <w:ind w:left="495" w:hanging="360"/>
      </w:p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7729A4"/>
    <w:multiLevelType w:val="hybridMultilevel"/>
    <w:tmpl w:val="4BDED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3F3"/>
    <w:multiLevelType w:val="hybridMultilevel"/>
    <w:tmpl w:val="A93ACA1A"/>
    <w:lvl w:ilvl="0" w:tplc="0405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B310BEE"/>
    <w:multiLevelType w:val="hybridMultilevel"/>
    <w:tmpl w:val="ADB45E1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11800E1"/>
    <w:multiLevelType w:val="hybridMultilevel"/>
    <w:tmpl w:val="B9AA359C"/>
    <w:lvl w:ilvl="0" w:tplc="04050019">
      <w:start w:val="1"/>
      <w:numFmt w:val="low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654362C"/>
    <w:multiLevelType w:val="hybridMultilevel"/>
    <w:tmpl w:val="D082C64A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8C86FF3"/>
    <w:multiLevelType w:val="hybridMultilevel"/>
    <w:tmpl w:val="240C5DD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F3C4958"/>
    <w:multiLevelType w:val="hybridMultilevel"/>
    <w:tmpl w:val="FB5A39CA"/>
    <w:lvl w:ilvl="0" w:tplc="2AB0165A">
      <w:start w:val="1"/>
      <w:numFmt w:val="decimal"/>
      <w:pStyle w:val="Nadpis2"/>
      <w:lvlText w:val="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62C6"/>
    <w:multiLevelType w:val="hybridMultilevel"/>
    <w:tmpl w:val="49000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4775"/>
    <w:multiLevelType w:val="hybridMultilevel"/>
    <w:tmpl w:val="3E72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209CB"/>
    <w:multiLevelType w:val="hybridMultilevel"/>
    <w:tmpl w:val="D3C027B4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51349D2"/>
    <w:multiLevelType w:val="hybridMultilevel"/>
    <w:tmpl w:val="9D5A23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E0688F"/>
    <w:multiLevelType w:val="hybridMultilevel"/>
    <w:tmpl w:val="EB7222A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8FC24E4"/>
    <w:multiLevelType w:val="hybridMultilevel"/>
    <w:tmpl w:val="F356F004"/>
    <w:lvl w:ilvl="0" w:tplc="C568DE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4"/>
  </w:num>
  <w:num w:numId="5">
    <w:abstractNumId w:val="5"/>
  </w:num>
  <w:num w:numId="6">
    <w:abstractNumId w:val="1"/>
  </w:num>
  <w:num w:numId="7">
    <w:abstractNumId w:val="15"/>
  </w:num>
  <w:num w:numId="8">
    <w:abstractNumId w:val="3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13"/>
  </w:num>
  <w:num w:numId="15">
    <w:abstractNumId w:val="12"/>
  </w:num>
  <w:num w:numId="16">
    <w:abstractNumId w:val="4"/>
  </w:num>
  <w:num w:numId="17">
    <w:abstractNumId w:val="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0B"/>
    <w:rsid w:val="00002E89"/>
    <w:rsid w:val="00012E1F"/>
    <w:rsid w:val="0001560F"/>
    <w:rsid w:val="000370B5"/>
    <w:rsid w:val="00045C1C"/>
    <w:rsid w:val="0005206B"/>
    <w:rsid w:val="0005553E"/>
    <w:rsid w:val="0008510F"/>
    <w:rsid w:val="000A30B8"/>
    <w:rsid w:val="000C682D"/>
    <w:rsid w:val="00101386"/>
    <w:rsid w:val="0010574D"/>
    <w:rsid w:val="00133E90"/>
    <w:rsid w:val="001377F3"/>
    <w:rsid w:val="001549EE"/>
    <w:rsid w:val="0017343F"/>
    <w:rsid w:val="00184A2E"/>
    <w:rsid w:val="00193F14"/>
    <w:rsid w:val="001A3795"/>
    <w:rsid w:val="001B1F0B"/>
    <w:rsid w:val="001B2F1E"/>
    <w:rsid w:val="001D217B"/>
    <w:rsid w:val="001D4675"/>
    <w:rsid w:val="001E2416"/>
    <w:rsid w:val="001F3368"/>
    <w:rsid w:val="00205EE5"/>
    <w:rsid w:val="00223203"/>
    <w:rsid w:val="00224A7C"/>
    <w:rsid w:val="0024371D"/>
    <w:rsid w:val="0025161E"/>
    <w:rsid w:val="00257FA3"/>
    <w:rsid w:val="002838AA"/>
    <w:rsid w:val="002A0FA6"/>
    <w:rsid w:val="002C4714"/>
    <w:rsid w:val="002C4FB6"/>
    <w:rsid w:val="002D1F73"/>
    <w:rsid w:val="002E66A3"/>
    <w:rsid w:val="00303BBB"/>
    <w:rsid w:val="00323480"/>
    <w:rsid w:val="003429F5"/>
    <w:rsid w:val="00363523"/>
    <w:rsid w:val="00382DA5"/>
    <w:rsid w:val="003A02CC"/>
    <w:rsid w:val="003A3248"/>
    <w:rsid w:val="003A5FDE"/>
    <w:rsid w:val="003B0C51"/>
    <w:rsid w:val="003D00E9"/>
    <w:rsid w:val="003D0E80"/>
    <w:rsid w:val="003E1611"/>
    <w:rsid w:val="003E62F5"/>
    <w:rsid w:val="00427051"/>
    <w:rsid w:val="00434873"/>
    <w:rsid w:val="0044338D"/>
    <w:rsid w:val="004662CF"/>
    <w:rsid w:val="00482052"/>
    <w:rsid w:val="004A4965"/>
    <w:rsid w:val="004C5009"/>
    <w:rsid w:val="00516E1E"/>
    <w:rsid w:val="00532131"/>
    <w:rsid w:val="00532E46"/>
    <w:rsid w:val="00552BCE"/>
    <w:rsid w:val="005621D7"/>
    <w:rsid w:val="00563E6D"/>
    <w:rsid w:val="00571F84"/>
    <w:rsid w:val="0057637E"/>
    <w:rsid w:val="00587B27"/>
    <w:rsid w:val="005B4AD2"/>
    <w:rsid w:val="005C1FA3"/>
    <w:rsid w:val="005C3179"/>
    <w:rsid w:val="00611A19"/>
    <w:rsid w:val="00633EEC"/>
    <w:rsid w:val="0064291A"/>
    <w:rsid w:val="006707E0"/>
    <w:rsid w:val="0069450F"/>
    <w:rsid w:val="006A01CD"/>
    <w:rsid w:val="006A33DF"/>
    <w:rsid w:val="006C36BC"/>
    <w:rsid w:val="006F5ED1"/>
    <w:rsid w:val="00710844"/>
    <w:rsid w:val="00724904"/>
    <w:rsid w:val="0072612E"/>
    <w:rsid w:val="0074416A"/>
    <w:rsid w:val="00746AA6"/>
    <w:rsid w:val="00770E0F"/>
    <w:rsid w:val="007820DD"/>
    <w:rsid w:val="00794647"/>
    <w:rsid w:val="007E098B"/>
    <w:rsid w:val="007E15EE"/>
    <w:rsid w:val="007F5919"/>
    <w:rsid w:val="008037AD"/>
    <w:rsid w:val="00816A80"/>
    <w:rsid w:val="00826EA8"/>
    <w:rsid w:val="008307F6"/>
    <w:rsid w:val="00832297"/>
    <w:rsid w:val="00834EE1"/>
    <w:rsid w:val="00835A04"/>
    <w:rsid w:val="008378B6"/>
    <w:rsid w:val="00857B09"/>
    <w:rsid w:val="008727FE"/>
    <w:rsid w:val="0088121F"/>
    <w:rsid w:val="008D2B3A"/>
    <w:rsid w:val="008E39C4"/>
    <w:rsid w:val="008E61B0"/>
    <w:rsid w:val="008F14C5"/>
    <w:rsid w:val="00906E7F"/>
    <w:rsid w:val="00936540"/>
    <w:rsid w:val="009463C8"/>
    <w:rsid w:val="0094754A"/>
    <w:rsid w:val="00956AF8"/>
    <w:rsid w:val="00975E14"/>
    <w:rsid w:val="00987B07"/>
    <w:rsid w:val="00995CBC"/>
    <w:rsid w:val="009A43AD"/>
    <w:rsid w:val="009A5B0A"/>
    <w:rsid w:val="009A6117"/>
    <w:rsid w:val="009A64F8"/>
    <w:rsid w:val="009C0230"/>
    <w:rsid w:val="009C0A67"/>
    <w:rsid w:val="009C5DE2"/>
    <w:rsid w:val="009E30A0"/>
    <w:rsid w:val="009E5FBF"/>
    <w:rsid w:val="00A01D91"/>
    <w:rsid w:val="00A05045"/>
    <w:rsid w:val="00A16316"/>
    <w:rsid w:val="00A60CE1"/>
    <w:rsid w:val="00A621B7"/>
    <w:rsid w:val="00A71075"/>
    <w:rsid w:val="00A83592"/>
    <w:rsid w:val="00A92E0E"/>
    <w:rsid w:val="00AA12C9"/>
    <w:rsid w:val="00AE2035"/>
    <w:rsid w:val="00AF26C5"/>
    <w:rsid w:val="00AF3BA5"/>
    <w:rsid w:val="00B0765B"/>
    <w:rsid w:val="00B229DE"/>
    <w:rsid w:val="00B3410F"/>
    <w:rsid w:val="00B41318"/>
    <w:rsid w:val="00B560E2"/>
    <w:rsid w:val="00B6374C"/>
    <w:rsid w:val="00B63E68"/>
    <w:rsid w:val="00B72847"/>
    <w:rsid w:val="00B83EAC"/>
    <w:rsid w:val="00B86E1E"/>
    <w:rsid w:val="00B91C9B"/>
    <w:rsid w:val="00B92F65"/>
    <w:rsid w:val="00BA04AF"/>
    <w:rsid w:val="00BB4925"/>
    <w:rsid w:val="00BD3012"/>
    <w:rsid w:val="00BE556F"/>
    <w:rsid w:val="00BE587A"/>
    <w:rsid w:val="00C25BB6"/>
    <w:rsid w:val="00C3179D"/>
    <w:rsid w:val="00C47B57"/>
    <w:rsid w:val="00C67C6D"/>
    <w:rsid w:val="00C72DF8"/>
    <w:rsid w:val="00C75D6D"/>
    <w:rsid w:val="00C81B3E"/>
    <w:rsid w:val="00C92C31"/>
    <w:rsid w:val="00CC1C44"/>
    <w:rsid w:val="00CD4C01"/>
    <w:rsid w:val="00CF0CC7"/>
    <w:rsid w:val="00D032C0"/>
    <w:rsid w:val="00D21604"/>
    <w:rsid w:val="00D267A8"/>
    <w:rsid w:val="00D67D54"/>
    <w:rsid w:val="00D80821"/>
    <w:rsid w:val="00D8175E"/>
    <w:rsid w:val="00D94255"/>
    <w:rsid w:val="00D96E87"/>
    <w:rsid w:val="00DA4045"/>
    <w:rsid w:val="00DC4BB6"/>
    <w:rsid w:val="00E14E57"/>
    <w:rsid w:val="00E21396"/>
    <w:rsid w:val="00E2298A"/>
    <w:rsid w:val="00E4215E"/>
    <w:rsid w:val="00E65225"/>
    <w:rsid w:val="00E93983"/>
    <w:rsid w:val="00EC0572"/>
    <w:rsid w:val="00EC0931"/>
    <w:rsid w:val="00ED2DFA"/>
    <w:rsid w:val="00EE0630"/>
    <w:rsid w:val="00F0234D"/>
    <w:rsid w:val="00F33830"/>
    <w:rsid w:val="00F33A77"/>
    <w:rsid w:val="00F41593"/>
    <w:rsid w:val="00F42D8E"/>
    <w:rsid w:val="00F460D5"/>
    <w:rsid w:val="00F61077"/>
    <w:rsid w:val="00F709ED"/>
    <w:rsid w:val="00F77B27"/>
    <w:rsid w:val="00F8724C"/>
    <w:rsid w:val="00F976CB"/>
    <w:rsid w:val="00FA2523"/>
    <w:rsid w:val="00FB4704"/>
    <w:rsid w:val="00FD6B3F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1624"/>
  <w15:chartTrackingRefBased/>
  <w15:docId w15:val="{D0E454AA-371C-4539-B799-0B737C9F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F0B"/>
    <w:rPr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1B1F0B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051"/>
    <w:pPr>
      <w:keepNext/>
      <w:keepLines/>
      <w:numPr>
        <w:numId w:val="1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F0B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1F0B"/>
    <w:pPr>
      <w:ind w:left="720"/>
      <w:contextualSpacing/>
    </w:pPr>
    <w:rPr>
      <w:noProof/>
    </w:rPr>
  </w:style>
  <w:style w:type="character" w:customStyle="1" w:styleId="OdstavecseseznamemChar">
    <w:name w:val="Odstavec se seznamem Char"/>
    <w:link w:val="Odstavecseseznamem"/>
    <w:uiPriority w:val="34"/>
    <w:rsid w:val="001B1F0B"/>
    <w:rPr>
      <w:noProof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C3179"/>
    <w:rPr>
      <w:rFonts w:asciiTheme="majorHAnsi" w:eastAsiaTheme="majorEastAsia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0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04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A0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045"/>
    <w:rPr>
      <w:sz w:val="24"/>
    </w:rPr>
  </w:style>
  <w:style w:type="character" w:customStyle="1" w:styleId="InternetLink">
    <w:name w:val="Internet Link"/>
    <w:rsid w:val="008727FE"/>
    <w:rPr>
      <w:color w:val="0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15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3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4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4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35</cp:revision>
  <cp:lastPrinted>2019-10-09T11:07:00Z</cp:lastPrinted>
  <dcterms:created xsi:type="dcterms:W3CDTF">2019-09-17T13:08:00Z</dcterms:created>
  <dcterms:modified xsi:type="dcterms:W3CDTF">2019-12-02T12:29:00Z</dcterms:modified>
</cp:coreProperties>
</file>