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2962" w14:textId="00A93649" w:rsidR="00780343" w:rsidRPr="00694AC1" w:rsidRDefault="005F2BF7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 w:rsidRPr="00694AC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="00694AC1">
        <w:rPr>
          <w:rFonts w:ascii="UnitPro-Light" w:hAnsi="UnitPro-Light" w:cs="UnitPro-Light"/>
          <w:b/>
          <w:sz w:val="20"/>
          <w:szCs w:val="20"/>
        </w:rPr>
        <w:t>1</w:t>
      </w:r>
    </w:p>
    <w:p w14:paraId="4D6276A3" w14:textId="75443200" w:rsidR="00694AC1" w:rsidRDefault="004D188E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K Dohodě o pravidelných aktualizacích</w:t>
      </w:r>
      <w:r w:rsidR="00B03BDE" w:rsidRPr="00694AC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E65F0" w:rsidRPr="00694AC1">
        <w:rPr>
          <w:rFonts w:ascii="UnitPro-Light" w:hAnsi="UnitPro-Light" w:cs="UnitPro-Light"/>
          <w:b/>
          <w:sz w:val="20"/>
          <w:szCs w:val="20"/>
        </w:rPr>
        <w:t>č. ZAK</w:t>
      </w:r>
      <w:r w:rsidR="00694AC1">
        <w:rPr>
          <w:rFonts w:ascii="UnitPro-Light" w:hAnsi="UnitPro-Light" w:cs="UnitPro-Light"/>
          <w:b/>
          <w:sz w:val="20"/>
          <w:szCs w:val="20"/>
        </w:rPr>
        <w:t xml:space="preserve"> 1</w:t>
      </w:r>
      <w:r>
        <w:rPr>
          <w:rFonts w:ascii="UnitPro-Light" w:hAnsi="UnitPro-Light" w:cs="UnitPro-Light"/>
          <w:b/>
          <w:sz w:val="20"/>
          <w:szCs w:val="20"/>
        </w:rPr>
        <w:t>8-0173</w:t>
      </w:r>
      <w:r w:rsidR="00B03BDE" w:rsidRPr="00694AC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="00780343" w:rsidRPr="00694AC1">
        <w:rPr>
          <w:rFonts w:ascii="UnitPro-Light" w:hAnsi="UnitPro-Light" w:cs="UnitPro-Light"/>
          <w:b/>
          <w:sz w:val="20"/>
          <w:szCs w:val="20"/>
        </w:rPr>
        <w:t xml:space="preserve"> </w:t>
      </w:r>
      <w:r>
        <w:rPr>
          <w:rFonts w:ascii="UnitPro-Light" w:hAnsi="UnitPro-Light" w:cs="UnitPro-Light"/>
          <w:b/>
          <w:sz w:val="20"/>
          <w:szCs w:val="20"/>
        </w:rPr>
        <w:t>31</w:t>
      </w:r>
      <w:r w:rsidR="00694AC1">
        <w:rPr>
          <w:rFonts w:ascii="UnitPro-Light" w:hAnsi="UnitPro-Light" w:cs="UnitPro-Light"/>
          <w:b/>
          <w:sz w:val="20"/>
          <w:szCs w:val="20"/>
        </w:rPr>
        <w:t>.</w:t>
      </w:r>
      <w:r w:rsidR="0097052F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94AC1">
        <w:rPr>
          <w:rFonts w:ascii="UnitPro-Light" w:hAnsi="UnitPro-Light" w:cs="UnitPro-Light"/>
          <w:b/>
          <w:sz w:val="20"/>
          <w:szCs w:val="20"/>
        </w:rPr>
        <w:t>7.</w:t>
      </w:r>
      <w:r w:rsidR="0097052F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94AC1">
        <w:rPr>
          <w:rFonts w:ascii="UnitPro-Light" w:hAnsi="UnitPro-Light" w:cs="UnitPro-Light"/>
          <w:b/>
          <w:sz w:val="20"/>
          <w:szCs w:val="20"/>
        </w:rPr>
        <w:t>201</w:t>
      </w:r>
      <w:r>
        <w:rPr>
          <w:rFonts w:ascii="UnitPro-Light" w:hAnsi="UnitPro-Light" w:cs="UnitPro-Light"/>
          <w:b/>
          <w:sz w:val="20"/>
          <w:szCs w:val="20"/>
        </w:rPr>
        <w:t>8</w:t>
      </w:r>
    </w:p>
    <w:p w14:paraId="2BF03212" w14:textId="3E99EBAB" w:rsidR="006F3997" w:rsidRPr="003B1E01" w:rsidRDefault="002077C2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694AC1">
        <w:rPr>
          <w:rFonts w:ascii="UnitPro-Light" w:hAnsi="UnitPro-Light" w:cs="UnitPro-Light"/>
          <w:b/>
          <w:sz w:val="20"/>
          <w:szCs w:val="20"/>
        </w:rPr>
        <w:t>„</w:t>
      </w:r>
      <w:r w:rsidR="00BD6B2C">
        <w:rPr>
          <w:rFonts w:ascii="UnitPro-Light" w:hAnsi="UnitPro-Light" w:cs="UnitPro-Light"/>
          <w:b/>
          <w:sz w:val="20"/>
          <w:szCs w:val="20"/>
        </w:rPr>
        <w:t xml:space="preserve">Aktualizace </w:t>
      </w:r>
      <w:proofErr w:type="spellStart"/>
      <w:r w:rsidR="00BD6B2C">
        <w:rPr>
          <w:rFonts w:ascii="UnitPro-Light" w:hAnsi="UnitPro-Light" w:cs="UnitPro-Light"/>
          <w:b/>
          <w:sz w:val="20"/>
          <w:szCs w:val="20"/>
        </w:rPr>
        <w:t>geodatabáze</w:t>
      </w:r>
      <w:proofErr w:type="spellEnd"/>
      <w:r w:rsidR="00BD6B2C">
        <w:rPr>
          <w:rFonts w:ascii="UnitPro-Light" w:hAnsi="UnitPro-Light" w:cs="UnitPro-Light"/>
          <w:b/>
          <w:sz w:val="20"/>
          <w:szCs w:val="20"/>
        </w:rPr>
        <w:t xml:space="preserve"> </w:t>
      </w:r>
      <w:proofErr w:type="spellStart"/>
      <w:r w:rsidR="00BD6B2C">
        <w:rPr>
          <w:rFonts w:ascii="UnitPro-Light" w:hAnsi="UnitPro-Light" w:cs="UnitPro-Light"/>
          <w:b/>
          <w:sz w:val="20"/>
          <w:szCs w:val="20"/>
        </w:rPr>
        <w:t>StreetNet</w:t>
      </w:r>
      <w:proofErr w:type="spellEnd"/>
      <w:r w:rsidR="00BD6B2C">
        <w:rPr>
          <w:rFonts w:ascii="UnitPro-Light" w:hAnsi="UnitPro-Light" w:cs="UnitPro-Light"/>
          <w:b/>
          <w:sz w:val="20"/>
          <w:szCs w:val="20"/>
        </w:rPr>
        <w:t xml:space="preserve"> včetně vybraných nadstaveb a databáze zájmových bodů formou multilicence</w:t>
      </w:r>
      <w:r w:rsidRPr="00694AC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AA0888">
      <w:pPr>
        <w:spacing w:after="0" w:line="240" w:lineRule="auto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022DF80F" w:rsidR="00BE65F0" w:rsidRPr="003B1E01" w:rsidRDefault="00BE65F0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694AC1">
        <w:rPr>
          <w:rFonts w:ascii="UnitPro-Light" w:hAnsi="UnitPro-Light" w:cs="UnitPro-Light"/>
          <w:sz w:val="20"/>
          <w:szCs w:val="20"/>
        </w:rPr>
        <w:t>zastoupený:</w:t>
      </w:r>
      <w:r w:rsidR="00035F94" w:rsidRPr="00694AC1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694AC1">
        <w:rPr>
          <w:rFonts w:ascii="UnitPro-Light" w:hAnsi="UnitPro-Light" w:cs="UnitPro-Light"/>
          <w:sz w:val="20"/>
          <w:szCs w:val="20"/>
        </w:rPr>
        <w:t xml:space="preserve">Mgr. </w:t>
      </w:r>
      <w:r w:rsidR="004D188E">
        <w:rPr>
          <w:rFonts w:ascii="UnitPro-Light" w:hAnsi="UnitPro-Light" w:cs="UnitPro-Light"/>
          <w:sz w:val="20"/>
          <w:szCs w:val="20"/>
        </w:rPr>
        <w:t>Ondřejem Boháčem, ředitelem</w:t>
      </w:r>
    </w:p>
    <w:p w14:paraId="1207393D" w14:textId="77777777" w:rsidR="00780343" w:rsidRPr="003B1E01" w:rsidRDefault="00BE65F0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2B344612" w:rsidR="00780343" w:rsidRPr="003B1E01" w:rsidRDefault="00780343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E76647">
        <w:rPr>
          <w:rFonts w:ascii="UnitPro-Light" w:hAnsi="UnitPro-Light" w:cs="UnitPro-Light"/>
          <w:sz w:val="20"/>
          <w:szCs w:val="20"/>
        </w:rPr>
        <w:t>xxxxxxxxxxxxx</w:t>
      </w:r>
      <w:proofErr w:type="spellEnd"/>
    </w:p>
    <w:p w14:paraId="54BA1AF7" w14:textId="4526BB68" w:rsidR="00780343" w:rsidRPr="003B1E01" w:rsidRDefault="0097052F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="00780343" w:rsidRPr="003B1E01">
        <w:rPr>
          <w:rFonts w:ascii="UnitPro-Light" w:hAnsi="UnitPro-Light" w:cs="UnitPro-Light"/>
          <w:sz w:val="20"/>
          <w:szCs w:val="20"/>
        </w:rPr>
        <w:t>:</w:t>
      </w:r>
      <w:proofErr w:type="gramEnd"/>
      <w:r>
        <w:rPr>
          <w:rFonts w:ascii="UnitPro-Light" w:hAnsi="UnitPro-Light" w:cs="UnitPro-Light"/>
          <w:sz w:val="20"/>
          <w:szCs w:val="20"/>
        </w:rPr>
        <w:t xml:space="preserve"> </w:t>
      </w:r>
      <w:r w:rsidR="00780343" w:rsidRPr="003B1E01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E76647">
        <w:rPr>
          <w:rFonts w:ascii="UnitPro-Light" w:hAnsi="UnitPro-Light" w:cs="UnitPro-Light"/>
          <w:sz w:val="20"/>
          <w:szCs w:val="20"/>
        </w:rPr>
        <w:t>xxxxxxxxxxxxxxxxxxxxxx</w:t>
      </w:r>
      <w:proofErr w:type="spellEnd"/>
    </w:p>
    <w:p w14:paraId="02A95E69" w14:textId="77777777" w:rsidR="00780343" w:rsidRPr="003B1E01" w:rsidRDefault="00780343" w:rsidP="00AA0888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F16481" w14:textId="06B2BBBE" w:rsidR="00694AC1" w:rsidRPr="00CF34BB" w:rsidRDefault="004D188E" w:rsidP="00694AC1">
      <w:pPr>
        <w:spacing w:after="0" w:line="240" w:lineRule="auto"/>
        <w:rPr>
          <w:rFonts w:ascii="UnitPro-Light" w:hAnsi="UnitPro-Light" w:cs="UnitPro-Light"/>
          <w:b/>
          <w:bCs/>
          <w:sz w:val="20"/>
          <w:szCs w:val="20"/>
        </w:rPr>
      </w:pPr>
      <w:r>
        <w:rPr>
          <w:rFonts w:ascii="UnitPro-Light" w:hAnsi="UnitPro-Light" w:cs="UnitPro-Light"/>
          <w:b/>
          <w:bCs/>
          <w:sz w:val="20"/>
          <w:szCs w:val="20"/>
        </w:rPr>
        <w:t xml:space="preserve">CEDA </w:t>
      </w:r>
      <w:proofErr w:type="spellStart"/>
      <w:r>
        <w:rPr>
          <w:rFonts w:ascii="UnitPro-Light" w:hAnsi="UnitPro-Light" w:cs="UnitPro-Light"/>
          <w:b/>
          <w:bCs/>
          <w:sz w:val="20"/>
          <w:szCs w:val="20"/>
        </w:rPr>
        <w:t>Maps</w:t>
      </w:r>
      <w:proofErr w:type="spellEnd"/>
      <w:r>
        <w:rPr>
          <w:rFonts w:ascii="UnitPro-Light" w:hAnsi="UnitPro-Light" w:cs="UnitPro-Light"/>
          <w:b/>
          <w:bCs/>
          <w:sz w:val="20"/>
          <w:szCs w:val="20"/>
        </w:rPr>
        <w:t xml:space="preserve"> a.s.</w:t>
      </w:r>
    </w:p>
    <w:p w14:paraId="2069255D" w14:textId="36B6D0B4" w:rsidR="00694AC1" w:rsidRPr="00CF34BB" w:rsidRDefault="004D188E" w:rsidP="004D188E">
      <w:pPr>
        <w:spacing w:after="0" w:line="240" w:lineRule="auto"/>
        <w:ind w:right="-142"/>
        <w:jc w:val="both"/>
        <w:rPr>
          <w:rFonts w:ascii="UnitPro-Light" w:hAnsi="UnitPro-Light" w:cs="UnitPro-Light"/>
          <w:bCs/>
          <w:sz w:val="20"/>
          <w:szCs w:val="20"/>
        </w:rPr>
      </w:pPr>
      <w:r>
        <w:rPr>
          <w:rFonts w:ascii="UnitPro-Light" w:hAnsi="UnitPro-Light" w:cs="UnitPro-Light"/>
          <w:bCs/>
          <w:sz w:val="20"/>
          <w:szCs w:val="20"/>
        </w:rPr>
        <w:t>zastoupený: Mgr. Radovanem Prokešem, předsedou představenstva a Romanou Krásovou, členkou představenstva</w:t>
      </w:r>
    </w:p>
    <w:p w14:paraId="2AA97DFC" w14:textId="1DF0D7C3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b/>
          <w:bCs/>
          <w:sz w:val="20"/>
          <w:szCs w:val="20"/>
        </w:rPr>
      </w:pPr>
      <w:r w:rsidRPr="00CF34BB">
        <w:rPr>
          <w:rFonts w:ascii="UnitPro-Light" w:hAnsi="UnitPro-Light" w:cs="UnitPro-Light"/>
          <w:bCs/>
          <w:sz w:val="20"/>
          <w:szCs w:val="20"/>
        </w:rPr>
        <w:t xml:space="preserve">sídlo: </w:t>
      </w:r>
      <w:r w:rsidR="004D188E">
        <w:rPr>
          <w:rFonts w:ascii="UnitPro-Light" w:hAnsi="UnitPro-Light" w:cs="UnitPro-Light"/>
          <w:bCs/>
          <w:sz w:val="20"/>
          <w:szCs w:val="20"/>
        </w:rPr>
        <w:t>Jihlavská 1558/21, 140 00 Praha 4 - Michle</w:t>
      </w:r>
    </w:p>
    <w:p w14:paraId="4352ED36" w14:textId="782EB331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 xml:space="preserve">zapsaný: v obchodním rejstříku vedeném Městským soudem v Praze, oddíl </w:t>
      </w:r>
      <w:r w:rsidR="004D188E">
        <w:rPr>
          <w:rFonts w:ascii="UnitPro-Light" w:hAnsi="UnitPro-Light" w:cs="UnitPro-Light"/>
          <w:sz w:val="20"/>
          <w:szCs w:val="20"/>
        </w:rPr>
        <w:t>B</w:t>
      </w:r>
      <w:r w:rsidRPr="00CF34BB">
        <w:rPr>
          <w:rFonts w:ascii="UnitPro-Light" w:hAnsi="UnitPro-Light" w:cs="UnitPro-Light"/>
          <w:sz w:val="20"/>
          <w:szCs w:val="20"/>
        </w:rPr>
        <w:t xml:space="preserve">, vložka </w:t>
      </w:r>
      <w:r w:rsidR="004D188E">
        <w:rPr>
          <w:rFonts w:ascii="UnitPro-Light" w:hAnsi="UnitPro-Light" w:cs="UnitPro-Light"/>
          <w:sz w:val="20"/>
          <w:szCs w:val="20"/>
        </w:rPr>
        <w:t>7038</w:t>
      </w:r>
    </w:p>
    <w:p w14:paraId="5F630117" w14:textId="04AA4B38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 xml:space="preserve">IČO: </w:t>
      </w:r>
      <w:r w:rsidR="004D188E">
        <w:rPr>
          <w:rFonts w:ascii="UnitPro-Light" w:hAnsi="UnitPro-Light" w:cs="UnitPro-Light"/>
          <w:sz w:val="20"/>
          <w:szCs w:val="20"/>
        </w:rPr>
        <w:t>26429632</w:t>
      </w:r>
    </w:p>
    <w:p w14:paraId="742DAC57" w14:textId="6C08790E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>DIČ: CZ</w:t>
      </w:r>
      <w:r w:rsidR="004D188E">
        <w:rPr>
          <w:rFonts w:ascii="UnitPro-Light" w:hAnsi="UnitPro-Light" w:cs="UnitPro-Light"/>
          <w:sz w:val="20"/>
          <w:szCs w:val="20"/>
        </w:rPr>
        <w:t>26429632</w:t>
      </w:r>
    </w:p>
    <w:p w14:paraId="17396F68" w14:textId="747C386C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E76647">
        <w:rPr>
          <w:rFonts w:ascii="UnitPro-Light" w:hAnsi="UnitPro-Light" w:cs="UnitPro-Light"/>
          <w:sz w:val="20"/>
          <w:szCs w:val="20"/>
        </w:rPr>
        <w:t>xxxxxxxxxxxxxxxx</w:t>
      </w:r>
      <w:proofErr w:type="spellEnd"/>
    </w:p>
    <w:p w14:paraId="1173AE8B" w14:textId="51A45FD5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 xml:space="preserve">číslo účtu: </w:t>
      </w:r>
      <w:r w:rsidR="00E76647">
        <w:rPr>
          <w:rFonts w:ascii="UnitPro-Light" w:hAnsi="UnitPro-Light" w:cs="UnitPro-Light"/>
          <w:sz w:val="20"/>
          <w:szCs w:val="20"/>
        </w:rPr>
        <w:t>xxxxxxxxxxxxxxxxxxxxxxxxxx</w:t>
      </w:r>
      <w:bookmarkStart w:id="0" w:name="_GoBack"/>
      <w:bookmarkEnd w:id="0"/>
    </w:p>
    <w:p w14:paraId="1DFBC218" w14:textId="77777777" w:rsidR="00694AC1" w:rsidRPr="00CF34BB" w:rsidRDefault="00694AC1" w:rsidP="00694AC1">
      <w:pPr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>zhotovitel je plátcem DPH</w:t>
      </w:r>
    </w:p>
    <w:p w14:paraId="5E51E404" w14:textId="77777777" w:rsidR="00694AC1" w:rsidRPr="00CF34BB" w:rsidRDefault="00694AC1" w:rsidP="00694AC1">
      <w:pPr>
        <w:pStyle w:val="Zkladntext"/>
        <w:spacing w:after="0" w:line="240" w:lineRule="auto"/>
        <w:rPr>
          <w:rFonts w:ascii="UnitPro-Light" w:hAnsi="UnitPro-Light" w:cs="UnitPro-Light"/>
          <w:sz w:val="20"/>
          <w:szCs w:val="20"/>
        </w:rPr>
      </w:pPr>
      <w:r w:rsidRPr="00CF34BB">
        <w:rPr>
          <w:rFonts w:ascii="UnitPro-Light" w:hAnsi="UnitPro-Light" w:cs="UnitPro-Light"/>
          <w:sz w:val="20"/>
          <w:szCs w:val="20"/>
        </w:rPr>
        <w:t>(dále jen „</w:t>
      </w:r>
      <w:r w:rsidRPr="00CF34BB">
        <w:rPr>
          <w:rFonts w:ascii="UnitPro-Light" w:hAnsi="UnitPro-Light" w:cs="UnitPro-Light"/>
          <w:b/>
          <w:sz w:val="20"/>
          <w:szCs w:val="20"/>
        </w:rPr>
        <w:t>zhotovitel</w:t>
      </w:r>
      <w:r w:rsidRPr="00CF34BB">
        <w:rPr>
          <w:rFonts w:ascii="UnitPro-Light" w:hAnsi="UnitPro-Light" w:cs="UnitPro-Light"/>
          <w:sz w:val="20"/>
          <w:szCs w:val="20"/>
        </w:rPr>
        <w:t>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41141FA2" w:rsidR="00780343" w:rsidRPr="003B1E01" w:rsidRDefault="00841FA4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 1 k Dohodě o pravidelných aktualizacích</w:t>
      </w:r>
      <w:r w:rsidR="00B03BDE" w:rsidRPr="00694AC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265B4" w:rsidRPr="00694AC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694AC1">
        <w:rPr>
          <w:rFonts w:ascii="UnitPro-Light" w:hAnsi="UnitPro-Light" w:cs="UnitPro-Light"/>
          <w:b/>
          <w:sz w:val="20"/>
          <w:szCs w:val="20"/>
        </w:rPr>
        <w:t>1</w:t>
      </w:r>
      <w:r>
        <w:rPr>
          <w:rFonts w:ascii="UnitPro-Light" w:hAnsi="UnitPro-Light" w:cs="UnitPro-Light"/>
          <w:b/>
          <w:sz w:val="20"/>
          <w:szCs w:val="20"/>
        </w:rPr>
        <w:t>8-0173</w:t>
      </w:r>
      <w:r w:rsidR="00694AC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265B4" w:rsidRPr="00694AC1">
        <w:rPr>
          <w:rFonts w:ascii="UnitPro-Light" w:hAnsi="UnitPro-Light" w:cs="UnitPro-Light"/>
          <w:b/>
          <w:sz w:val="20"/>
          <w:szCs w:val="20"/>
        </w:rPr>
        <w:t xml:space="preserve">ze dne </w:t>
      </w:r>
      <w:r>
        <w:rPr>
          <w:rFonts w:ascii="UnitPro-Light" w:hAnsi="UnitPro-Light" w:cs="UnitPro-Light"/>
          <w:b/>
          <w:sz w:val="20"/>
          <w:szCs w:val="20"/>
        </w:rPr>
        <w:t>31</w:t>
      </w:r>
      <w:r w:rsidR="00694AC1">
        <w:rPr>
          <w:rFonts w:ascii="UnitPro-Light" w:hAnsi="UnitPro-Light" w:cs="UnitPro-Light"/>
          <w:b/>
          <w:sz w:val="20"/>
          <w:szCs w:val="20"/>
        </w:rPr>
        <w:t>.</w:t>
      </w:r>
      <w:r w:rsidR="0097052F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94AC1">
        <w:rPr>
          <w:rFonts w:ascii="UnitPro-Light" w:hAnsi="UnitPro-Light" w:cs="UnitPro-Light"/>
          <w:b/>
          <w:sz w:val="20"/>
          <w:szCs w:val="20"/>
        </w:rPr>
        <w:t>7.</w:t>
      </w:r>
      <w:r w:rsidR="0097052F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94AC1">
        <w:rPr>
          <w:rFonts w:ascii="UnitPro-Light" w:hAnsi="UnitPro-Light" w:cs="UnitPro-Light"/>
          <w:b/>
          <w:sz w:val="20"/>
          <w:szCs w:val="20"/>
        </w:rPr>
        <w:t>201</w:t>
      </w:r>
      <w:r>
        <w:rPr>
          <w:rFonts w:ascii="UnitPro-Light" w:hAnsi="UnitPro-Light" w:cs="UnitPro-Light"/>
          <w:b/>
          <w:sz w:val="20"/>
          <w:szCs w:val="20"/>
        </w:rPr>
        <w:t>8</w:t>
      </w:r>
      <w:r w:rsidR="009E621E" w:rsidRPr="00694AC1">
        <w:rPr>
          <w:rFonts w:ascii="UnitPro-Light" w:hAnsi="UnitPro-Light" w:cs="UnitPro-Light"/>
          <w:sz w:val="20"/>
          <w:szCs w:val="20"/>
        </w:rPr>
        <w:t xml:space="preserve"> </w:t>
      </w:r>
      <w:r w:rsidR="00780343" w:rsidRPr="00694AC1">
        <w:rPr>
          <w:rFonts w:ascii="UnitPro-Light" w:hAnsi="UnitPro-Light" w:cs="UnitPro-Light"/>
          <w:sz w:val="20"/>
          <w:szCs w:val="20"/>
        </w:rPr>
        <w:t>(dále jen „</w:t>
      </w:r>
      <w:r w:rsidR="006759AB" w:rsidRPr="00694AC1">
        <w:rPr>
          <w:rFonts w:ascii="UnitPro-Light" w:hAnsi="UnitPro-Light" w:cs="UnitPro-Light"/>
          <w:sz w:val="20"/>
          <w:szCs w:val="20"/>
        </w:rPr>
        <w:t>d</w:t>
      </w:r>
      <w:r w:rsidR="00780343" w:rsidRPr="00694AC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2DD201BD" w14:textId="77777777" w:rsidR="00BD6B2C" w:rsidRDefault="00BD6B2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52C0CE74" w14:textId="0ED9D190" w:rsidR="006F3997" w:rsidRPr="003B1E01" w:rsidRDefault="001E7B9C" w:rsidP="00BD6B2C">
      <w:pPr>
        <w:spacing w:before="120" w:line="240" w:lineRule="atLeast"/>
        <w:jc w:val="both"/>
        <w:rPr>
          <w:rFonts w:ascii="UnitPro-Light" w:hAnsi="UnitPro-Light" w:cs="UnitPro-Light"/>
          <w:sz w:val="20"/>
          <w:szCs w:val="20"/>
        </w:rPr>
      </w:pPr>
      <w:r w:rsidRPr="00BD6B2C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BD6B2C">
        <w:rPr>
          <w:rFonts w:ascii="UnitPro-Light" w:hAnsi="UnitPro-Light" w:cs="UnitPro-Light"/>
          <w:sz w:val="20"/>
          <w:szCs w:val="20"/>
        </w:rPr>
        <w:t>uzavřely</w:t>
      </w:r>
      <w:r w:rsidRPr="00BD6B2C">
        <w:rPr>
          <w:rFonts w:ascii="UnitPro-Light" w:hAnsi="UnitPro-Light" w:cs="UnitPro-Light"/>
          <w:sz w:val="20"/>
          <w:szCs w:val="20"/>
        </w:rPr>
        <w:t xml:space="preserve"> dne </w:t>
      </w:r>
      <w:r w:rsidR="00841FA4" w:rsidRPr="00BD6B2C">
        <w:rPr>
          <w:rFonts w:ascii="UnitPro-Light" w:hAnsi="UnitPro-Light" w:cs="UnitPro-Light"/>
          <w:sz w:val="20"/>
          <w:szCs w:val="20"/>
        </w:rPr>
        <w:t>31</w:t>
      </w:r>
      <w:r w:rsidR="00694AC1" w:rsidRPr="00BD6B2C">
        <w:rPr>
          <w:rFonts w:ascii="UnitPro-Light" w:hAnsi="UnitPro-Light" w:cs="UnitPro-Light"/>
          <w:sz w:val="20"/>
          <w:szCs w:val="20"/>
        </w:rPr>
        <w:t>.</w:t>
      </w:r>
      <w:r w:rsidR="0097052F">
        <w:rPr>
          <w:rFonts w:ascii="UnitPro-Light" w:hAnsi="UnitPro-Light" w:cs="UnitPro-Light"/>
          <w:sz w:val="20"/>
          <w:szCs w:val="20"/>
        </w:rPr>
        <w:t xml:space="preserve"> </w:t>
      </w:r>
      <w:r w:rsidR="00694AC1" w:rsidRPr="00BD6B2C">
        <w:rPr>
          <w:rFonts w:ascii="UnitPro-Light" w:hAnsi="UnitPro-Light" w:cs="UnitPro-Light"/>
          <w:sz w:val="20"/>
          <w:szCs w:val="20"/>
        </w:rPr>
        <w:t>7.</w:t>
      </w:r>
      <w:r w:rsidR="0097052F">
        <w:rPr>
          <w:rFonts w:ascii="UnitPro-Light" w:hAnsi="UnitPro-Light" w:cs="UnitPro-Light"/>
          <w:sz w:val="20"/>
          <w:szCs w:val="20"/>
        </w:rPr>
        <w:t xml:space="preserve"> </w:t>
      </w:r>
      <w:r w:rsidR="00694AC1" w:rsidRPr="00BD6B2C">
        <w:rPr>
          <w:rFonts w:ascii="UnitPro-Light" w:hAnsi="UnitPro-Light" w:cs="UnitPro-Light"/>
          <w:sz w:val="20"/>
          <w:szCs w:val="20"/>
        </w:rPr>
        <w:t>201</w:t>
      </w:r>
      <w:r w:rsidR="00841FA4" w:rsidRPr="00BD6B2C">
        <w:rPr>
          <w:rFonts w:ascii="UnitPro-Light" w:hAnsi="UnitPro-Light" w:cs="UnitPro-Light"/>
          <w:sz w:val="20"/>
          <w:szCs w:val="20"/>
        </w:rPr>
        <w:t>8</w:t>
      </w:r>
      <w:r w:rsidRPr="00BD6B2C">
        <w:rPr>
          <w:rFonts w:ascii="UnitPro-Light" w:hAnsi="UnitPro-Light" w:cs="UnitPro-Light"/>
          <w:sz w:val="20"/>
          <w:szCs w:val="20"/>
        </w:rPr>
        <w:t xml:space="preserve"> </w:t>
      </w:r>
      <w:r w:rsidR="00841FA4" w:rsidRPr="00BD6B2C">
        <w:rPr>
          <w:rFonts w:ascii="UnitPro-Light" w:hAnsi="UnitPro-Light" w:cs="UnitPro-Light"/>
          <w:sz w:val="20"/>
          <w:szCs w:val="20"/>
        </w:rPr>
        <w:t>Dohodu o pravidelných aktualizacích</w:t>
      </w:r>
      <w:r w:rsidR="00013D23" w:rsidRPr="00BD6B2C">
        <w:rPr>
          <w:rFonts w:ascii="UnitPro-Light" w:hAnsi="UnitPro-Light" w:cs="UnitPro-Light"/>
          <w:sz w:val="20"/>
          <w:szCs w:val="20"/>
        </w:rPr>
        <w:t xml:space="preserve"> </w:t>
      </w:r>
      <w:r w:rsidRPr="00BD6B2C">
        <w:rPr>
          <w:rFonts w:ascii="UnitPro-Light" w:hAnsi="UnitPro-Light" w:cs="UnitPro-Light"/>
          <w:sz w:val="20"/>
          <w:szCs w:val="20"/>
        </w:rPr>
        <w:t xml:space="preserve">ZAK </w:t>
      </w:r>
      <w:r w:rsidR="00694AC1" w:rsidRPr="00BD6B2C">
        <w:rPr>
          <w:rFonts w:ascii="UnitPro-Light" w:hAnsi="UnitPro-Light" w:cs="UnitPro-Light"/>
          <w:sz w:val="20"/>
          <w:szCs w:val="20"/>
        </w:rPr>
        <w:t>1</w:t>
      </w:r>
      <w:r w:rsidR="00841FA4" w:rsidRPr="00BD6B2C">
        <w:rPr>
          <w:rFonts w:ascii="UnitPro-Light" w:hAnsi="UnitPro-Light" w:cs="UnitPro-Light"/>
          <w:sz w:val="20"/>
          <w:szCs w:val="20"/>
        </w:rPr>
        <w:t>8-0173</w:t>
      </w:r>
      <w:r w:rsidRPr="00BD6B2C">
        <w:rPr>
          <w:rFonts w:ascii="UnitPro-Light" w:hAnsi="UnitPro-Light" w:cs="UnitPro-Light"/>
          <w:sz w:val="20"/>
          <w:szCs w:val="20"/>
        </w:rPr>
        <w:t xml:space="preserve"> </w:t>
      </w:r>
      <w:r w:rsidR="00BD6B2C" w:rsidRPr="00BD6B2C">
        <w:rPr>
          <w:rFonts w:ascii="UnitPro-Light" w:hAnsi="UnitPro-Light" w:cs="UnitPro-Light"/>
          <w:sz w:val="20"/>
          <w:szCs w:val="20"/>
        </w:rPr>
        <w:t xml:space="preserve">„Aktualizace </w:t>
      </w:r>
      <w:proofErr w:type="spellStart"/>
      <w:r w:rsidR="00BD6B2C" w:rsidRPr="00BD6B2C">
        <w:rPr>
          <w:rFonts w:ascii="UnitPro-Light" w:hAnsi="UnitPro-Light" w:cs="UnitPro-Light"/>
          <w:sz w:val="20"/>
          <w:szCs w:val="20"/>
        </w:rPr>
        <w:t>geodatabáze</w:t>
      </w:r>
      <w:proofErr w:type="spellEnd"/>
      <w:r w:rsidR="00BD6B2C" w:rsidRPr="00BD6B2C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BD6B2C" w:rsidRPr="00BD6B2C">
        <w:rPr>
          <w:rFonts w:ascii="UnitPro-Light" w:hAnsi="UnitPro-Light" w:cs="UnitPro-Light"/>
          <w:sz w:val="20"/>
          <w:szCs w:val="20"/>
        </w:rPr>
        <w:t>StreetNet</w:t>
      </w:r>
      <w:proofErr w:type="spellEnd"/>
      <w:r w:rsidR="00BD6B2C" w:rsidRPr="00BD6B2C">
        <w:rPr>
          <w:rFonts w:ascii="UnitPro-Light" w:hAnsi="UnitPro-Light" w:cs="UnitPro-Light"/>
          <w:sz w:val="20"/>
          <w:szCs w:val="20"/>
        </w:rPr>
        <w:t xml:space="preserve"> včetně vybraných nadstaveb a databáze zájmových bodů formou multilicence“</w:t>
      </w:r>
      <w:r w:rsidR="00BD6B2C">
        <w:rPr>
          <w:rFonts w:ascii="UnitPro-Light" w:hAnsi="UnitPro-Light" w:cs="UnitPro-Light"/>
          <w:sz w:val="20"/>
          <w:szCs w:val="20"/>
        </w:rPr>
        <w:t xml:space="preserve"> </w:t>
      </w:r>
      <w:r w:rsidRPr="00694AC1">
        <w:rPr>
          <w:rFonts w:ascii="UnitPro-Light" w:hAnsi="UnitPro-Light" w:cs="UnitPro-Light"/>
          <w:sz w:val="20"/>
          <w:szCs w:val="20"/>
        </w:rPr>
        <w:t>(dále jen „</w:t>
      </w:r>
      <w:r w:rsidR="00841FA4">
        <w:rPr>
          <w:rFonts w:ascii="UnitPro-Light" w:hAnsi="UnitPro-Light" w:cs="UnitPro-Light"/>
          <w:sz w:val="20"/>
          <w:szCs w:val="20"/>
        </w:rPr>
        <w:t>dohoda</w:t>
      </w:r>
      <w:r w:rsidRPr="00694AC1">
        <w:rPr>
          <w:rFonts w:ascii="UnitPro-Light" w:hAnsi="UnitPro-Light" w:cs="UnitPro-Light"/>
          <w:sz w:val="20"/>
          <w:szCs w:val="20"/>
        </w:rPr>
        <w:t>“).</w:t>
      </w: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40C917C6" w14:textId="223B1C16" w:rsidR="005F4A45" w:rsidRDefault="004A30FA" w:rsidP="00BD6B2C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500F93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500F93">
        <w:rPr>
          <w:rFonts w:ascii="UnitPro-Light" w:eastAsia="Times New Roman" w:hAnsi="UnitPro-Light" w:cs="UnitPro-Light"/>
          <w:sz w:val="20"/>
          <w:szCs w:val="20"/>
        </w:rPr>
        <w:t>č</w:t>
      </w:r>
      <w:r w:rsidRPr="00500F93">
        <w:rPr>
          <w:rFonts w:ascii="UnitPro-Light" w:eastAsia="Times New Roman" w:hAnsi="UnitPro-Light" w:cs="UnitPro-Light"/>
          <w:sz w:val="20"/>
          <w:szCs w:val="20"/>
        </w:rPr>
        <w:t xml:space="preserve">l. </w:t>
      </w:r>
      <w:r w:rsidR="00500F93">
        <w:rPr>
          <w:rFonts w:ascii="UnitPro-Light" w:eastAsia="Times New Roman" w:hAnsi="UnitPro-Light" w:cs="UnitPro-Light"/>
          <w:sz w:val="20"/>
          <w:szCs w:val="20"/>
        </w:rPr>
        <w:t>I</w:t>
      </w:r>
      <w:r w:rsidR="001770A6" w:rsidRPr="00500F93">
        <w:rPr>
          <w:rFonts w:ascii="UnitPro-Light" w:eastAsia="Times New Roman" w:hAnsi="UnitPro-Light" w:cs="UnitPro-Light"/>
          <w:sz w:val="20"/>
          <w:szCs w:val="20"/>
        </w:rPr>
        <w:t>.</w:t>
      </w:r>
      <w:r w:rsidR="0055783B" w:rsidRPr="00500F93">
        <w:rPr>
          <w:rFonts w:ascii="UnitPro-Light" w:hAnsi="UnitPro-Light" w:cs="UnitPro-Light"/>
          <w:sz w:val="20"/>
          <w:szCs w:val="20"/>
        </w:rPr>
        <w:t xml:space="preserve"> odst. </w:t>
      </w:r>
      <w:r w:rsidR="005F4A45">
        <w:rPr>
          <w:rFonts w:ascii="UnitPro-Light" w:hAnsi="UnitPro-Light" w:cs="UnitPro-Light"/>
          <w:sz w:val="20"/>
          <w:szCs w:val="20"/>
        </w:rPr>
        <w:t>2</w:t>
      </w:r>
      <w:r w:rsidR="00D15DCF" w:rsidRPr="00500F93">
        <w:rPr>
          <w:rFonts w:ascii="UnitPro-Light" w:hAnsi="UnitPro-Light" w:cs="UnitPro-Light"/>
          <w:sz w:val="20"/>
          <w:szCs w:val="20"/>
        </w:rPr>
        <w:t xml:space="preserve"> </w:t>
      </w:r>
      <w:r w:rsidR="001136A3">
        <w:rPr>
          <w:rFonts w:ascii="UnitPro-Light" w:hAnsi="UnitPro-Light" w:cs="UnitPro-Light"/>
          <w:sz w:val="20"/>
          <w:szCs w:val="20"/>
        </w:rPr>
        <w:t>se</w:t>
      </w:r>
      <w:r w:rsidR="00071C22" w:rsidRPr="00500F93">
        <w:rPr>
          <w:rFonts w:ascii="UnitPro-Light" w:hAnsi="UnitPro-Light" w:cs="UnitPro-Light"/>
          <w:sz w:val="20"/>
          <w:szCs w:val="20"/>
        </w:rPr>
        <w:t xml:space="preserve"> s</w:t>
      </w:r>
      <w:r w:rsidR="00D00F18" w:rsidRPr="00500F93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5F4A45">
        <w:rPr>
          <w:rFonts w:ascii="UnitPro-Light" w:hAnsi="UnitPro-Light" w:cs="UnitPro-Light"/>
          <w:sz w:val="20"/>
          <w:szCs w:val="20"/>
        </w:rPr>
        <w:t>rozšiřuje o následující</w:t>
      </w:r>
      <w:r w:rsidR="00071C22" w:rsidRPr="00500F93">
        <w:rPr>
          <w:rFonts w:ascii="UnitPro-Light" w:hAnsi="UnitPro-Light" w:cs="UnitPro-Light"/>
          <w:sz w:val="20"/>
          <w:szCs w:val="20"/>
        </w:rPr>
        <w:t xml:space="preserve"> znění</w:t>
      </w:r>
      <w:r w:rsidR="008409D5" w:rsidRPr="00500F93">
        <w:rPr>
          <w:rFonts w:ascii="UnitPro-Light" w:hAnsi="UnitPro-Light" w:cs="UnitPro-Light"/>
          <w:sz w:val="20"/>
          <w:szCs w:val="20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332"/>
        <w:gridCol w:w="1985"/>
        <w:gridCol w:w="2092"/>
      </w:tblGrid>
      <w:tr w:rsidR="005F4A45" w:rsidRPr="00C93E4E" w14:paraId="44E5B013" w14:textId="77777777" w:rsidTr="005F4A45">
        <w:tc>
          <w:tcPr>
            <w:tcW w:w="2159" w:type="dxa"/>
          </w:tcPr>
          <w:p w14:paraId="24692B16" w14:textId="49D086F9" w:rsidR="005F4A45" w:rsidRPr="00C93E4E" w:rsidRDefault="005F4A45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Název organizace</w:t>
            </w:r>
          </w:p>
        </w:tc>
        <w:tc>
          <w:tcPr>
            <w:tcW w:w="2332" w:type="dxa"/>
          </w:tcPr>
          <w:p w14:paraId="71A6A8F5" w14:textId="7854523A" w:rsidR="005F4A45" w:rsidRPr="00C93E4E" w:rsidRDefault="005F4A45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Název digitální mapy</w:t>
            </w:r>
          </w:p>
        </w:tc>
        <w:tc>
          <w:tcPr>
            <w:tcW w:w="1985" w:type="dxa"/>
          </w:tcPr>
          <w:p w14:paraId="21ACA12A" w14:textId="76687F35" w:rsidR="005F4A45" w:rsidRPr="00C93E4E" w:rsidRDefault="005F4A45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Formát datového souboru</w:t>
            </w:r>
          </w:p>
        </w:tc>
        <w:tc>
          <w:tcPr>
            <w:tcW w:w="2092" w:type="dxa"/>
          </w:tcPr>
          <w:p w14:paraId="76AF79EF" w14:textId="6077689B" w:rsidR="005F4A45" w:rsidRPr="00C93E4E" w:rsidRDefault="005F4A45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Rozsah území</w:t>
            </w:r>
          </w:p>
        </w:tc>
      </w:tr>
      <w:tr w:rsidR="00C93E4E" w14:paraId="737A88A2" w14:textId="77777777" w:rsidTr="005F4A45">
        <w:tc>
          <w:tcPr>
            <w:tcW w:w="2159" w:type="dxa"/>
            <w:vMerge w:val="restart"/>
          </w:tcPr>
          <w:p w14:paraId="3AA09242" w14:textId="0C7D382E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Technologie hlavního města Prahy, a.s.</w:t>
            </w:r>
          </w:p>
        </w:tc>
        <w:tc>
          <w:tcPr>
            <w:tcW w:w="2332" w:type="dxa"/>
          </w:tcPr>
          <w:p w14:paraId="3D17C126" w14:textId="44B78A90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Geodatabáze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StreetNet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CZE</w:t>
            </w:r>
          </w:p>
        </w:tc>
        <w:tc>
          <w:tcPr>
            <w:tcW w:w="1985" w:type="dxa"/>
          </w:tcPr>
          <w:p w14:paraId="53599A1B" w14:textId="30CBC810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 xml:space="preserve">ESRI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Shapefile</w:t>
            </w:r>
            <w:proofErr w:type="spellEnd"/>
          </w:p>
        </w:tc>
        <w:tc>
          <w:tcPr>
            <w:tcW w:w="2092" w:type="dxa"/>
          </w:tcPr>
          <w:p w14:paraId="2F79ECB4" w14:textId="50E06410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Praha</w:t>
            </w:r>
          </w:p>
        </w:tc>
      </w:tr>
      <w:tr w:rsidR="00C93E4E" w14:paraId="4F5B5C92" w14:textId="77777777" w:rsidTr="005F4A45">
        <w:tc>
          <w:tcPr>
            <w:tcW w:w="2159" w:type="dxa"/>
            <w:vMerge/>
          </w:tcPr>
          <w:p w14:paraId="3F8D8344" w14:textId="77777777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F19627" w14:textId="39B37627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 xml:space="preserve">Datová sada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StreetNet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NAV</w:t>
            </w:r>
          </w:p>
        </w:tc>
        <w:tc>
          <w:tcPr>
            <w:tcW w:w="1985" w:type="dxa"/>
          </w:tcPr>
          <w:p w14:paraId="791A36D3" w14:textId="54B647A4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DBF</w:t>
            </w:r>
          </w:p>
        </w:tc>
        <w:tc>
          <w:tcPr>
            <w:tcW w:w="2092" w:type="dxa"/>
          </w:tcPr>
          <w:p w14:paraId="7DB622A0" w14:textId="407EA21E" w:rsidR="00C93E4E" w:rsidRDefault="00C93E4E" w:rsidP="005F4A45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Praha</w:t>
            </w:r>
          </w:p>
        </w:tc>
      </w:tr>
    </w:tbl>
    <w:p w14:paraId="7F5A90B1" w14:textId="4C587468" w:rsidR="001770A6" w:rsidRDefault="001770A6" w:rsidP="00BD6B2C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3D8A67FB" w14:textId="77777777" w:rsidR="007810EC" w:rsidRDefault="007810EC" w:rsidP="00BD6B2C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01C3CE52" w14:textId="77777777" w:rsidR="007810EC" w:rsidRPr="00BD6B2C" w:rsidRDefault="007810EC" w:rsidP="00BD6B2C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506DDDD8" w14:textId="3DDCCD20" w:rsidR="002642D9" w:rsidRDefault="00512AB1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eastAsia="Times New Roman" w:hAnsi="UnitPro-Light" w:cs="UnitPro-Light"/>
          <w:sz w:val="20"/>
          <w:szCs w:val="20"/>
        </w:rPr>
        <w:t>Smluvní strany se dohodly, že</w:t>
      </w:r>
      <w:r w:rsidR="00071C22" w:rsidRPr="00D5218B">
        <w:rPr>
          <w:rFonts w:ascii="UnitPro-Light" w:eastAsia="Times New Roman" w:hAnsi="UnitPro-Light" w:cs="UnitPro-Light"/>
          <w:sz w:val="20"/>
          <w:szCs w:val="20"/>
        </w:rPr>
        <w:t xml:space="preserve"> </w:t>
      </w:r>
      <w:r w:rsidR="00CE4F42" w:rsidRPr="00D5218B">
        <w:rPr>
          <w:rFonts w:ascii="UnitPro-Light" w:eastAsia="Times New Roman" w:hAnsi="UnitPro-Light" w:cs="UnitPro-Light"/>
          <w:sz w:val="20"/>
          <w:szCs w:val="20"/>
        </w:rPr>
        <w:t xml:space="preserve">čl. </w:t>
      </w:r>
      <w:r w:rsidR="00D5218B">
        <w:rPr>
          <w:rFonts w:ascii="UnitPro-Light" w:eastAsia="Times New Roman" w:hAnsi="UnitPro-Light" w:cs="UnitPro-Light"/>
          <w:sz w:val="20"/>
          <w:szCs w:val="20"/>
        </w:rPr>
        <w:t>I</w:t>
      </w:r>
      <w:r w:rsidR="00CE4F42" w:rsidRPr="00D5218B">
        <w:rPr>
          <w:rFonts w:ascii="UnitPro-Light" w:eastAsia="Times New Roman" w:hAnsi="UnitPro-Light" w:cs="UnitPro-Light"/>
          <w:sz w:val="20"/>
          <w:szCs w:val="20"/>
        </w:rPr>
        <w:t>II.</w:t>
      </w:r>
      <w:r w:rsidR="00CE4F42" w:rsidRPr="00D5218B">
        <w:rPr>
          <w:rFonts w:ascii="UnitPro-Light" w:hAnsi="UnitPro-Light" w:cs="UnitPro-Light"/>
          <w:sz w:val="20"/>
          <w:szCs w:val="20"/>
        </w:rPr>
        <w:t xml:space="preserve"> odst. </w:t>
      </w:r>
      <w:r w:rsidR="00D5218B">
        <w:rPr>
          <w:rFonts w:ascii="UnitPro-Light" w:hAnsi="UnitPro-Light" w:cs="UnitPro-Light"/>
          <w:sz w:val="20"/>
          <w:szCs w:val="20"/>
        </w:rPr>
        <w:t>1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="00F817F6">
        <w:rPr>
          <w:rFonts w:ascii="UnitPro-Light" w:hAnsi="UnitPro-Light" w:cs="UnitPro-Light"/>
          <w:sz w:val="20"/>
          <w:szCs w:val="20"/>
        </w:rPr>
        <w:t>v</w:t>
      </w:r>
      <w:r>
        <w:rPr>
          <w:rFonts w:ascii="UnitPro-Light" w:hAnsi="UnitPro-Light" w:cs="UnitPro-Light"/>
          <w:sz w:val="20"/>
          <w:szCs w:val="20"/>
        </w:rPr>
        <w:t>ěta první</w:t>
      </w:r>
      <w:r w:rsidR="00CE4F42" w:rsidRPr="00D5218B">
        <w:rPr>
          <w:rFonts w:ascii="UnitPro-Light" w:hAnsi="UnitPro-Light" w:cs="UnitPro-Light"/>
          <w:sz w:val="20"/>
          <w:szCs w:val="20"/>
        </w:rPr>
        <w:t xml:space="preserve"> </w:t>
      </w:r>
      <w:r w:rsidR="00C93E4E">
        <w:rPr>
          <w:rFonts w:ascii="UnitPro-Light" w:hAnsi="UnitPro-Light" w:cs="UnitPro-Light"/>
          <w:sz w:val="20"/>
          <w:szCs w:val="20"/>
        </w:rPr>
        <w:t>dohody</w:t>
      </w:r>
      <w:r w:rsidR="002642D9" w:rsidRPr="00D5218B">
        <w:rPr>
          <w:rFonts w:ascii="UnitPro-Light" w:hAnsi="UnitPro-Light" w:cs="UnitPro-Light"/>
          <w:sz w:val="20"/>
          <w:szCs w:val="20"/>
        </w:rPr>
        <w:t xml:space="preserve"> se s účinností tohoto dodatku </w:t>
      </w:r>
      <w:r w:rsidR="00B62C94">
        <w:rPr>
          <w:rFonts w:ascii="UnitPro-Light" w:hAnsi="UnitPro-Light" w:cs="UnitPro-Light"/>
          <w:sz w:val="20"/>
          <w:szCs w:val="20"/>
        </w:rPr>
        <w:t>nahrazuje</w:t>
      </w:r>
      <w:r w:rsidR="00071C22" w:rsidRPr="00D5218B">
        <w:rPr>
          <w:rFonts w:ascii="UnitPro-Light" w:hAnsi="UnitPro-Light" w:cs="UnitPro-Light"/>
          <w:sz w:val="20"/>
          <w:szCs w:val="20"/>
        </w:rPr>
        <w:t xml:space="preserve"> </w:t>
      </w:r>
      <w:r w:rsidR="002642D9" w:rsidRPr="00D5218B">
        <w:rPr>
          <w:rFonts w:ascii="UnitPro-Light" w:hAnsi="UnitPro-Light" w:cs="UnitPro-Light"/>
          <w:sz w:val="20"/>
          <w:szCs w:val="20"/>
        </w:rPr>
        <w:t>následující</w:t>
      </w:r>
      <w:r w:rsidR="00B62C94">
        <w:rPr>
          <w:rFonts w:ascii="UnitPro-Light" w:hAnsi="UnitPro-Light" w:cs="UnitPro-Light"/>
          <w:sz w:val="20"/>
          <w:szCs w:val="20"/>
        </w:rPr>
        <w:t>m</w:t>
      </w:r>
      <w:r w:rsidR="002642D9" w:rsidRPr="00D5218B">
        <w:rPr>
          <w:rFonts w:ascii="UnitPro-Light" w:hAnsi="UnitPro-Light" w:cs="UnitPro-Light"/>
          <w:sz w:val="20"/>
          <w:szCs w:val="20"/>
        </w:rPr>
        <w:t xml:space="preserve"> znění</w:t>
      </w:r>
      <w:r w:rsidR="00B62C94">
        <w:rPr>
          <w:rFonts w:ascii="UnitPro-Light" w:hAnsi="UnitPro-Light" w:cs="UnitPro-Light"/>
          <w:sz w:val="20"/>
          <w:szCs w:val="20"/>
        </w:rPr>
        <w:t>m</w:t>
      </w:r>
      <w:r w:rsidR="002642D9" w:rsidRPr="00D5218B">
        <w:rPr>
          <w:rFonts w:ascii="UnitPro-Light" w:hAnsi="UnitPro-Light" w:cs="UnitPro-Light"/>
          <w:sz w:val="20"/>
          <w:szCs w:val="20"/>
        </w:rPr>
        <w:t xml:space="preserve">: </w:t>
      </w:r>
    </w:p>
    <w:p w14:paraId="076F8CD7" w14:textId="6AD8F89F" w:rsidR="00F817F6" w:rsidRDefault="000C4D39" w:rsidP="000C4D39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</w:t>
      </w:r>
      <w:r w:rsidRPr="000C4D39">
        <w:rPr>
          <w:rFonts w:ascii="UnitPro-Light" w:hAnsi="UnitPro-Light" w:cs="UnitPro-Light"/>
          <w:sz w:val="20"/>
          <w:szCs w:val="20"/>
          <w:u w:val="single"/>
        </w:rPr>
        <w:t>Cena aktualiza</w:t>
      </w:r>
      <w:r w:rsidRPr="0097052F">
        <w:rPr>
          <w:rFonts w:ascii="UnitPro-Light" w:hAnsi="UnitPro-Light" w:cs="UnitPro-Light"/>
          <w:sz w:val="20"/>
          <w:szCs w:val="20"/>
          <w:u w:val="single"/>
        </w:rPr>
        <w:t>cí:</w:t>
      </w:r>
      <w:r>
        <w:rPr>
          <w:rFonts w:ascii="UnitPro-Light" w:hAnsi="UnitPro-Light" w:cs="UnitPro-Light"/>
          <w:sz w:val="20"/>
          <w:szCs w:val="20"/>
        </w:rPr>
        <w:t xml:space="preserve"> Cena roční aktualizace uvedených digitálních map v uvedeném rozsahu činí, bez DPH 681.500,- Kč (slovy: </w:t>
      </w:r>
      <w:proofErr w:type="spellStart"/>
      <w:r>
        <w:rPr>
          <w:rFonts w:ascii="UnitPro-Light" w:hAnsi="UnitPro-Light" w:cs="UnitPro-Light"/>
          <w:sz w:val="20"/>
          <w:szCs w:val="20"/>
        </w:rPr>
        <w:t>šestsetosmdesátjednatisícpětset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korun českých)</w:t>
      </w:r>
      <w:r w:rsidR="00F817F6">
        <w:rPr>
          <w:rFonts w:ascii="UnitPro-Light" w:hAnsi="UnitPro-Light" w:cs="UnitPro-Light"/>
          <w:sz w:val="20"/>
          <w:szCs w:val="20"/>
        </w:rPr>
        <w:t xml:space="preserve">, DPH ve výši 21% činí 143.115,- Kč (slovy: </w:t>
      </w:r>
      <w:proofErr w:type="spellStart"/>
      <w:r w:rsidR="00F817F6">
        <w:rPr>
          <w:rFonts w:ascii="UnitPro-Light" w:hAnsi="UnitPro-Light" w:cs="UnitPro-Light"/>
          <w:sz w:val="20"/>
          <w:szCs w:val="20"/>
        </w:rPr>
        <w:t>jednostočtyřicettřitisícjednostopatnáct</w:t>
      </w:r>
      <w:proofErr w:type="spellEnd"/>
      <w:r w:rsidR="00F817F6">
        <w:rPr>
          <w:rFonts w:ascii="UnitPro-Light" w:hAnsi="UnitPro-Light" w:cs="UnitPro-Light"/>
          <w:sz w:val="20"/>
          <w:szCs w:val="20"/>
        </w:rPr>
        <w:t xml:space="preserve"> korun českých)</w:t>
      </w:r>
      <w:r w:rsidR="007810EC">
        <w:rPr>
          <w:rFonts w:ascii="UnitPro-Light" w:hAnsi="UnitPro-Light" w:cs="UnitPro-Light"/>
          <w:sz w:val="20"/>
          <w:szCs w:val="20"/>
        </w:rPr>
        <w:t xml:space="preserve">, celková cena s DPH činí 824.615,- Kč (slovy: </w:t>
      </w:r>
      <w:proofErr w:type="spellStart"/>
      <w:r w:rsidR="007810EC">
        <w:rPr>
          <w:rFonts w:ascii="UnitPro-Light" w:hAnsi="UnitPro-Light" w:cs="UnitPro-Light"/>
          <w:sz w:val="20"/>
          <w:szCs w:val="20"/>
        </w:rPr>
        <w:t>osmsetdvacetčtyřitisícšestsetpatnáct</w:t>
      </w:r>
      <w:proofErr w:type="spellEnd"/>
      <w:r w:rsidR="007810EC">
        <w:rPr>
          <w:rFonts w:ascii="UnitPro-Light" w:hAnsi="UnitPro-Light" w:cs="UnitPro-Light"/>
          <w:sz w:val="20"/>
          <w:szCs w:val="20"/>
        </w:rPr>
        <w:t xml:space="preserve"> korun českých).“</w:t>
      </w:r>
    </w:p>
    <w:p w14:paraId="654E3DD7" w14:textId="279FABED" w:rsidR="000E4C28" w:rsidRDefault="000E4C28" w:rsidP="000E4C28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E4C28">
        <w:rPr>
          <w:rFonts w:ascii="UnitPro-Light" w:hAnsi="UnitPro-Light" w:cs="UnitPro-Light"/>
          <w:sz w:val="20"/>
          <w:szCs w:val="20"/>
        </w:rPr>
        <w:t xml:space="preserve">Smluvní strany se dohodly, že v čl. III odst. 1 </w:t>
      </w:r>
      <w:r w:rsidR="00100F64">
        <w:rPr>
          <w:rFonts w:ascii="UnitPro-Light" w:hAnsi="UnitPro-Light" w:cs="UnitPro-Light"/>
          <w:sz w:val="20"/>
          <w:szCs w:val="20"/>
        </w:rPr>
        <w:t xml:space="preserve">věta čtvrtá </w:t>
      </w:r>
      <w:r w:rsidRPr="000E4C28">
        <w:rPr>
          <w:rFonts w:ascii="UnitPro-Light" w:hAnsi="UnitPro-Light" w:cs="UnitPro-Light"/>
          <w:sz w:val="20"/>
          <w:szCs w:val="20"/>
        </w:rPr>
        <w:t xml:space="preserve">se </w:t>
      </w:r>
      <w:r w:rsidRPr="00D5218B">
        <w:rPr>
          <w:rFonts w:ascii="UnitPro-Light" w:hAnsi="UnitPro-Light" w:cs="UnitPro-Light"/>
          <w:sz w:val="20"/>
          <w:szCs w:val="20"/>
        </w:rPr>
        <w:t xml:space="preserve">s účinností tohoto dodatku </w:t>
      </w:r>
      <w:r>
        <w:rPr>
          <w:rFonts w:ascii="UnitPro-Light" w:hAnsi="UnitPro-Light" w:cs="UnitPro-Light"/>
          <w:sz w:val="20"/>
          <w:szCs w:val="20"/>
        </w:rPr>
        <w:t>nahrazuje</w:t>
      </w:r>
      <w:r w:rsidRPr="00D5218B">
        <w:rPr>
          <w:rFonts w:ascii="UnitPro-Light" w:hAnsi="UnitPro-Light" w:cs="UnitPro-Light"/>
          <w:sz w:val="20"/>
          <w:szCs w:val="20"/>
        </w:rPr>
        <w:t xml:space="preserve"> následující</w:t>
      </w:r>
      <w:r>
        <w:rPr>
          <w:rFonts w:ascii="UnitPro-Light" w:hAnsi="UnitPro-Light" w:cs="UnitPro-Light"/>
          <w:sz w:val="20"/>
          <w:szCs w:val="20"/>
        </w:rPr>
        <w:t>m</w:t>
      </w:r>
      <w:r w:rsidRPr="00D5218B">
        <w:rPr>
          <w:rFonts w:ascii="UnitPro-Light" w:hAnsi="UnitPro-Light" w:cs="UnitPro-Light"/>
          <w:sz w:val="20"/>
          <w:szCs w:val="20"/>
        </w:rPr>
        <w:t xml:space="preserve"> znění</w:t>
      </w:r>
      <w:r>
        <w:rPr>
          <w:rFonts w:ascii="UnitPro-Light" w:hAnsi="UnitPro-Light" w:cs="UnitPro-Light"/>
          <w:sz w:val="20"/>
          <w:szCs w:val="20"/>
        </w:rPr>
        <w:t>m</w:t>
      </w:r>
      <w:r w:rsidRPr="00D5218B">
        <w:rPr>
          <w:rFonts w:ascii="UnitPro-Light" w:hAnsi="UnitPro-Light" w:cs="UnitPro-Light"/>
          <w:sz w:val="20"/>
          <w:szCs w:val="20"/>
        </w:rPr>
        <w:t xml:space="preserve">: </w:t>
      </w:r>
    </w:p>
    <w:p w14:paraId="05A75792" w14:textId="42292BB0" w:rsidR="000E4C28" w:rsidRDefault="000E4C28" w:rsidP="000E4C28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„Termín fakturace je stanoven k termínu pr</w:t>
      </w:r>
      <w:r w:rsidR="00820BCA">
        <w:rPr>
          <w:rFonts w:ascii="UnitPro-Light" w:hAnsi="UnitPro-Light" w:cs="UnitPro-Light"/>
          <w:sz w:val="20"/>
          <w:szCs w:val="20"/>
        </w:rPr>
        <w:t>v</w:t>
      </w:r>
      <w:r>
        <w:rPr>
          <w:rFonts w:ascii="UnitPro-Light" w:hAnsi="UnitPro-Light" w:cs="UnitPro-Light"/>
          <w:sz w:val="20"/>
          <w:szCs w:val="20"/>
        </w:rPr>
        <w:t>ního předání digitálních</w:t>
      </w:r>
      <w:r w:rsidR="00820BCA">
        <w:rPr>
          <w:rFonts w:ascii="UnitPro-Light" w:hAnsi="UnitPro-Light" w:cs="UnitPro-Light"/>
          <w:sz w:val="20"/>
          <w:szCs w:val="20"/>
        </w:rPr>
        <w:t xml:space="preserve"> </w:t>
      </w:r>
      <w:r>
        <w:rPr>
          <w:rFonts w:ascii="UnitPro-Light" w:hAnsi="UnitPro-Light" w:cs="UnitPro-Light"/>
          <w:sz w:val="20"/>
          <w:szCs w:val="20"/>
        </w:rPr>
        <w:t>map v každém kalendářním roce po dobu platnosti této dohody, tj. ke dni dle bodu 1a) od</w:t>
      </w:r>
      <w:r w:rsidR="00820BCA">
        <w:rPr>
          <w:rFonts w:ascii="UnitPro-Light" w:hAnsi="UnitPro-Light" w:cs="UnitPro-Light"/>
          <w:sz w:val="20"/>
          <w:szCs w:val="20"/>
        </w:rPr>
        <w:t>st</w:t>
      </w:r>
      <w:r>
        <w:rPr>
          <w:rFonts w:ascii="UnitPro-Light" w:hAnsi="UnitPro-Light" w:cs="UnitPro-Light"/>
          <w:sz w:val="20"/>
          <w:szCs w:val="20"/>
        </w:rPr>
        <w:t>avce IV. této dohody, ve výjimečných případech souvisejících s rozšířením předmětu této dohody je termín fakturace stanoven k termínu druhého předání digitálních map v daném kalendářním roce, tj. ke dni dle bodu 1</w:t>
      </w:r>
      <w:r w:rsidR="00820BCA">
        <w:rPr>
          <w:rFonts w:ascii="UnitPro-Light" w:hAnsi="UnitPro-Light" w:cs="UnitPro-Light"/>
          <w:sz w:val="20"/>
          <w:szCs w:val="20"/>
        </w:rPr>
        <w:t>b) odstavce IV. této dohody.“</w:t>
      </w:r>
    </w:p>
    <w:p w14:paraId="1A2E536A" w14:textId="5959CE5A" w:rsidR="0097052F" w:rsidRPr="000E4C28" w:rsidRDefault="00F817F6" w:rsidP="00F817F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E4C28">
        <w:rPr>
          <w:rFonts w:ascii="UnitPro-Light" w:hAnsi="UnitPro-Light" w:cs="UnitPro-Light"/>
          <w:sz w:val="20"/>
          <w:szCs w:val="20"/>
        </w:rPr>
        <w:t xml:space="preserve">Smluvní strany </w:t>
      </w:r>
      <w:r w:rsidRPr="000E4C28">
        <w:rPr>
          <w:rFonts w:ascii="UnitPro-Light" w:eastAsia="Times New Roman" w:hAnsi="UnitPro-Light" w:cs="UnitPro-Light"/>
          <w:sz w:val="20"/>
          <w:szCs w:val="20"/>
        </w:rPr>
        <w:t>se dohodly, že čl. III.</w:t>
      </w:r>
      <w:r w:rsidRPr="000E4C28">
        <w:rPr>
          <w:rFonts w:ascii="UnitPro-Light" w:hAnsi="UnitPro-Light" w:cs="UnitPro-Light"/>
          <w:sz w:val="20"/>
          <w:szCs w:val="20"/>
        </w:rPr>
        <w:t xml:space="preserve"> odst. 1 věta pátá dohody se s účinností tohoto dodatku nahrazuje následujícím zněním: </w:t>
      </w:r>
    </w:p>
    <w:p w14:paraId="2B34FFA9" w14:textId="7E42B7F6" w:rsidR="000C4D39" w:rsidRPr="00F817F6" w:rsidRDefault="00F817F6" w:rsidP="0097052F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</w:t>
      </w:r>
      <w:r w:rsidR="000C4D39" w:rsidRPr="00F817F6">
        <w:rPr>
          <w:rFonts w:ascii="UnitPro-Light" w:hAnsi="UnitPro-Light" w:cs="UnitPro-Light"/>
          <w:sz w:val="20"/>
          <w:szCs w:val="20"/>
        </w:rPr>
        <w:t xml:space="preserve">Celková cena za aktualizace činí, bez DPH 2.663.000,- Kč (slovy: </w:t>
      </w:r>
      <w:proofErr w:type="spellStart"/>
      <w:r w:rsidR="000C4D39" w:rsidRPr="00F817F6">
        <w:rPr>
          <w:rFonts w:ascii="UnitPro-Light" w:hAnsi="UnitPro-Light" w:cs="UnitPro-Light"/>
          <w:sz w:val="20"/>
          <w:szCs w:val="20"/>
        </w:rPr>
        <w:t>dvamilionyšestsettřicettřitisíc</w:t>
      </w:r>
      <w:proofErr w:type="spellEnd"/>
      <w:r w:rsidR="000C4D39" w:rsidRPr="00F817F6">
        <w:rPr>
          <w:rFonts w:ascii="UnitPro-Light" w:hAnsi="UnitPro-Light" w:cs="UnitPro-Light"/>
          <w:sz w:val="20"/>
          <w:szCs w:val="20"/>
        </w:rPr>
        <w:t xml:space="preserve"> korun českých).“</w:t>
      </w:r>
    </w:p>
    <w:p w14:paraId="42F14F37" w14:textId="0BBB0149" w:rsidR="00DB56A4" w:rsidRDefault="00DB56A4" w:rsidP="00DB56A4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Smluvní strany se</w:t>
      </w:r>
      <w:r w:rsidR="00512AB1">
        <w:rPr>
          <w:rFonts w:ascii="UnitPro-Light" w:hAnsi="UnitPro-Light" w:cs="UnitPro-Light"/>
          <w:sz w:val="20"/>
          <w:szCs w:val="20"/>
        </w:rPr>
        <w:t xml:space="preserve"> dále </w:t>
      </w:r>
      <w:r w:rsidR="007810EC">
        <w:rPr>
          <w:rFonts w:ascii="UnitPro-Light" w:hAnsi="UnitPro-Light" w:cs="UnitPro-Light"/>
          <w:sz w:val="20"/>
          <w:szCs w:val="20"/>
        </w:rPr>
        <w:t xml:space="preserve">dohodly, že za </w:t>
      </w:r>
      <w:r w:rsidR="00100F64">
        <w:rPr>
          <w:rFonts w:ascii="UnitPro-Light" w:hAnsi="UnitPro-Light" w:cs="UnitPro-Light"/>
          <w:sz w:val="20"/>
          <w:szCs w:val="20"/>
        </w:rPr>
        <w:t>článek</w:t>
      </w:r>
      <w:r w:rsidR="007810EC">
        <w:rPr>
          <w:rFonts w:ascii="UnitPro-Light" w:hAnsi="UnitPro-Light" w:cs="UnitPro-Light"/>
          <w:sz w:val="20"/>
          <w:szCs w:val="20"/>
        </w:rPr>
        <w:t xml:space="preserve"> 2</w:t>
      </w:r>
      <w:r>
        <w:rPr>
          <w:rFonts w:ascii="UnitPro-Light" w:hAnsi="UnitPro-Light" w:cs="UnitPro-Light"/>
          <w:sz w:val="20"/>
          <w:szCs w:val="20"/>
        </w:rPr>
        <w:t xml:space="preserve"> dohody se vkládá nový odstavec 3 v</w:t>
      </w:r>
      <w:r w:rsidR="002C4C60">
        <w:rPr>
          <w:rFonts w:ascii="UnitPro-Light" w:hAnsi="UnitPro-Light" w:cs="UnitPro-Light"/>
          <w:sz w:val="20"/>
          <w:szCs w:val="20"/>
        </w:rPr>
        <w:t xml:space="preserve"> následujícím </w:t>
      </w:r>
      <w:r>
        <w:rPr>
          <w:rFonts w:ascii="UnitPro-Light" w:hAnsi="UnitPro-Light" w:cs="UnitPro-Light"/>
          <w:sz w:val="20"/>
          <w:szCs w:val="20"/>
        </w:rPr>
        <w:t>znění:</w:t>
      </w:r>
    </w:p>
    <w:p w14:paraId="58E73100" w14:textId="77777777" w:rsidR="00830052" w:rsidRDefault="0097052F" w:rsidP="000C4D39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  <w:u w:val="single"/>
        </w:rPr>
        <w:t>„</w:t>
      </w:r>
      <w:r w:rsidR="00DB56A4" w:rsidRPr="002C4C60">
        <w:rPr>
          <w:rFonts w:ascii="UnitPro-Light" w:hAnsi="UnitPro-Light" w:cs="UnitPro-Light"/>
          <w:sz w:val="20"/>
          <w:szCs w:val="20"/>
          <w:u w:val="single"/>
        </w:rPr>
        <w:t>Cena nákupu datových sad:</w:t>
      </w:r>
      <w:r w:rsidR="00DB56A4">
        <w:rPr>
          <w:rFonts w:ascii="UnitPro-Light" w:hAnsi="UnitPro-Light" w:cs="UnitPro-Light"/>
          <w:sz w:val="20"/>
          <w:szCs w:val="20"/>
        </w:rPr>
        <w:t xml:space="preserve"> Cena za dodávku datových sad činí, bez DPH 241.500,- </w:t>
      </w:r>
      <w:r>
        <w:rPr>
          <w:rFonts w:ascii="UnitPro-Light" w:hAnsi="UnitPro-Light" w:cs="UnitPro-Light"/>
          <w:sz w:val="20"/>
          <w:szCs w:val="20"/>
        </w:rPr>
        <w:t xml:space="preserve">Kč (slovy: </w:t>
      </w:r>
      <w:proofErr w:type="spellStart"/>
      <w:r>
        <w:rPr>
          <w:rFonts w:ascii="UnitPro-Light" w:hAnsi="UnitPro-Light" w:cs="UnitPro-Light"/>
          <w:sz w:val="20"/>
          <w:szCs w:val="20"/>
        </w:rPr>
        <w:t>dvěstěčtyřicetjednatisícpětset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korun českých), DPH ve výši 21% činí 50.715,- Kč (slovy: </w:t>
      </w:r>
      <w:proofErr w:type="spellStart"/>
      <w:r>
        <w:rPr>
          <w:rFonts w:ascii="UnitPro-Light" w:hAnsi="UnitPro-Light" w:cs="UnitPro-Light"/>
          <w:sz w:val="20"/>
          <w:szCs w:val="20"/>
        </w:rPr>
        <w:t>padesáttisícsedmsetpatnáct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tisíc korun českých), celková cena s DPH činí 292.215,- Kč (slovy: </w:t>
      </w:r>
      <w:proofErr w:type="spellStart"/>
      <w:r>
        <w:rPr>
          <w:rFonts w:ascii="UnitPro-Light" w:hAnsi="UnitPro-Light" w:cs="UnitPro-Light"/>
          <w:sz w:val="20"/>
          <w:szCs w:val="20"/>
        </w:rPr>
        <w:t>dvěstědevadesátdvatisícdvěstěpatnáct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korun českých).</w:t>
      </w:r>
      <w:r w:rsidR="00830052">
        <w:rPr>
          <w:rFonts w:ascii="UnitPro-Light" w:hAnsi="UnitPro-Light" w:cs="UnitPro-Light"/>
          <w:sz w:val="20"/>
          <w:szCs w:val="20"/>
        </w:rPr>
        <w:t xml:space="preserve"> </w:t>
      </w:r>
    </w:p>
    <w:p w14:paraId="5DAFAEC4" w14:textId="384FB407" w:rsidR="00830052" w:rsidRDefault="00830052" w:rsidP="000C4D39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Předmět dodávky uvádí následující tabulka: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332"/>
        <w:gridCol w:w="1985"/>
        <w:gridCol w:w="2092"/>
      </w:tblGrid>
      <w:tr w:rsidR="00830052" w:rsidRPr="00C93E4E" w14:paraId="2F59BB97" w14:textId="77777777" w:rsidTr="00C93802">
        <w:tc>
          <w:tcPr>
            <w:tcW w:w="2159" w:type="dxa"/>
          </w:tcPr>
          <w:p w14:paraId="3BB27437" w14:textId="77777777" w:rsidR="00830052" w:rsidRPr="00C93E4E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Název organizace</w:t>
            </w:r>
          </w:p>
        </w:tc>
        <w:tc>
          <w:tcPr>
            <w:tcW w:w="2332" w:type="dxa"/>
          </w:tcPr>
          <w:p w14:paraId="48214389" w14:textId="77777777" w:rsidR="00830052" w:rsidRPr="00C93E4E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Název digitální mapy</w:t>
            </w:r>
          </w:p>
        </w:tc>
        <w:tc>
          <w:tcPr>
            <w:tcW w:w="1985" w:type="dxa"/>
          </w:tcPr>
          <w:p w14:paraId="3F28CBA4" w14:textId="77777777" w:rsidR="00830052" w:rsidRPr="00C93E4E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Formát datového souboru</w:t>
            </w:r>
          </w:p>
        </w:tc>
        <w:tc>
          <w:tcPr>
            <w:tcW w:w="2092" w:type="dxa"/>
          </w:tcPr>
          <w:p w14:paraId="1B19297F" w14:textId="77777777" w:rsidR="00830052" w:rsidRPr="00C93E4E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b/>
                <w:sz w:val="20"/>
                <w:szCs w:val="20"/>
              </w:rPr>
            </w:pPr>
            <w:r w:rsidRPr="00C93E4E">
              <w:rPr>
                <w:rFonts w:ascii="UnitPro-Light" w:hAnsi="UnitPro-Light" w:cs="UnitPro-Light"/>
                <w:b/>
                <w:sz w:val="20"/>
                <w:szCs w:val="20"/>
              </w:rPr>
              <w:t>Rozsah území</w:t>
            </w:r>
          </w:p>
        </w:tc>
      </w:tr>
      <w:tr w:rsidR="00830052" w14:paraId="5CCD08AB" w14:textId="77777777" w:rsidTr="00C93802">
        <w:tc>
          <w:tcPr>
            <w:tcW w:w="2159" w:type="dxa"/>
            <w:vMerge w:val="restart"/>
          </w:tcPr>
          <w:p w14:paraId="207E4A27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Technologie hlavního města Prahy, a.s.</w:t>
            </w:r>
          </w:p>
        </w:tc>
        <w:tc>
          <w:tcPr>
            <w:tcW w:w="2332" w:type="dxa"/>
          </w:tcPr>
          <w:p w14:paraId="27EF79C9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Geodatabáze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StreetNet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CZE</w:t>
            </w:r>
          </w:p>
        </w:tc>
        <w:tc>
          <w:tcPr>
            <w:tcW w:w="1985" w:type="dxa"/>
          </w:tcPr>
          <w:p w14:paraId="291FCFAA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 xml:space="preserve">ESRI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Shapefile</w:t>
            </w:r>
            <w:proofErr w:type="spellEnd"/>
          </w:p>
        </w:tc>
        <w:tc>
          <w:tcPr>
            <w:tcW w:w="2092" w:type="dxa"/>
          </w:tcPr>
          <w:p w14:paraId="446E76B6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Praha</w:t>
            </w:r>
          </w:p>
        </w:tc>
      </w:tr>
      <w:tr w:rsidR="00830052" w14:paraId="14485C98" w14:textId="77777777" w:rsidTr="00C93802">
        <w:tc>
          <w:tcPr>
            <w:tcW w:w="2159" w:type="dxa"/>
            <w:vMerge/>
          </w:tcPr>
          <w:p w14:paraId="40D27F2F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65F99A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 xml:space="preserve">Datová sada </w:t>
            </w:r>
            <w:proofErr w:type="spellStart"/>
            <w:r>
              <w:rPr>
                <w:rFonts w:ascii="UnitPro-Light" w:hAnsi="UnitPro-Light" w:cs="UnitPro-Light"/>
                <w:sz w:val="20"/>
                <w:szCs w:val="20"/>
              </w:rPr>
              <w:t>StreetNet</w:t>
            </w:r>
            <w:proofErr w:type="spellEnd"/>
            <w:r>
              <w:rPr>
                <w:rFonts w:ascii="UnitPro-Light" w:hAnsi="UnitPro-Light" w:cs="UnitPro-Light"/>
                <w:sz w:val="20"/>
                <w:szCs w:val="20"/>
              </w:rPr>
              <w:t xml:space="preserve"> NAV</w:t>
            </w:r>
          </w:p>
        </w:tc>
        <w:tc>
          <w:tcPr>
            <w:tcW w:w="1985" w:type="dxa"/>
          </w:tcPr>
          <w:p w14:paraId="71256661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DBF</w:t>
            </w:r>
          </w:p>
        </w:tc>
        <w:tc>
          <w:tcPr>
            <w:tcW w:w="2092" w:type="dxa"/>
          </w:tcPr>
          <w:p w14:paraId="42D5847C" w14:textId="77777777" w:rsidR="00830052" w:rsidRDefault="00830052" w:rsidP="00C938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UnitPro-Light" w:hAnsi="UnitPro-Light" w:cs="UnitPro-Light"/>
                <w:sz w:val="20"/>
                <w:szCs w:val="20"/>
              </w:rPr>
            </w:pPr>
            <w:r>
              <w:rPr>
                <w:rFonts w:ascii="UnitPro-Light" w:hAnsi="UnitPro-Light" w:cs="UnitPro-Light"/>
                <w:sz w:val="20"/>
                <w:szCs w:val="20"/>
              </w:rPr>
              <w:t>Praha</w:t>
            </w:r>
          </w:p>
        </w:tc>
      </w:tr>
    </w:tbl>
    <w:p w14:paraId="3E78C187" w14:textId="64876A87" w:rsidR="00DB56A4" w:rsidRDefault="000E4C28" w:rsidP="00830052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</w:p>
    <w:p w14:paraId="3A0EA20C" w14:textId="1CD48721" w:rsidR="000E4C28" w:rsidRPr="00830052" w:rsidRDefault="000E4C28" w:rsidP="000E4C28">
      <w:pPr>
        <w:spacing w:after="120"/>
        <w:ind w:left="708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Termín fakturace je stanoven k termínu nejbližšího předání digitálních map dle bodu 1 odst. 4 „dohody“ v daném kalendářním roce.“</w:t>
      </w:r>
    </w:p>
    <w:p w14:paraId="0DA2B709" w14:textId="1E14BD2B" w:rsidR="000C4D39" w:rsidRDefault="000C4D39" w:rsidP="000C4D39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D5218B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čl. </w:t>
      </w:r>
      <w:r>
        <w:rPr>
          <w:rFonts w:ascii="UnitPro-Light" w:eastAsia="Times New Roman" w:hAnsi="UnitPro-Light" w:cs="UnitPro-Light"/>
          <w:sz w:val="20"/>
          <w:szCs w:val="20"/>
        </w:rPr>
        <w:t>I</w:t>
      </w:r>
      <w:r w:rsidRPr="00D5218B">
        <w:rPr>
          <w:rFonts w:ascii="UnitPro-Light" w:eastAsia="Times New Roman" w:hAnsi="UnitPro-Light" w:cs="UnitPro-Light"/>
          <w:sz w:val="20"/>
          <w:szCs w:val="20"/>
        </w:rPr>
        <w:t>II.</w:t>
      </w:r>
      <w:r w:rsidRPr="00D5218B">
        <w:rPr>
          <w:rFonts w:ascii="UnitPro-Light" w:hAnsi="UnitPro-Light" w:cs="UnitPro-Light"/>
          <w:sz w:val="20"/>
          <w:szCs w:val="20"/>
        </w:rPr>
        <w:t xml:space="preserve"> odst. </w:t>
      </w:r>
      <w:r w:rsidR="007810EC">
        <w:rPr>
          <w:rFonts w:ascii="UnitPro-Light" w:hAnsi="UnitPro-Light" w:cs="UnitPro-Light"/>
          <w:sz w:val="20"/>
          <w:szCs w:val="20"/>
        </w:rPr>
        <w:t>3</w:t>
      </w:r>
      <w:r w:rsidRPr="00D5218B">
        <w:rPr>
          <w:rFonts w:ascii="UnitPro-Light" w:hAnsi="UnitPro-Light" w:cs="UnitPro-Light"/>
          <w:sz w:val="20"/>
          <w:szCs w:val="20"/>
        </w:rPr>
        <w:t xml:space="preserve"> </w:t>
      </w:r>
      <w:r>
        <w:rPr>
          <w:rFonts w:ascii="UnitPro-Light" w:hAnsi="UnitPro-Light" w:cs="UnitPro-Light"/>
          <w:sz w:val="20"/>
          <w:szCs w:val="20"/>
        </w:rPr>
        <w:t>dohody</w:t>
      </w:r>
      <w:r w:rsidRPr="00D5218B">
        <w:rPr>
          <w:rFonts w:ascii="UnitPro-Light" w:hAnsi="UnitPro-Light" w:cs="UnitPro-Light"/>
          <w:sz w:val="20"/>
          <w:szCs w:val="20"/>
        </w:rPr>
        <w:t xml:space="preserve"> se s účinností tohoto dodatku</w:t>
      </w:r>
      <w:r w:rsidR="00512AB1">
        <w:rPr>
          <w:rFonts w:ascii="UnitPro-Light" w:hAnsi="UnitPro-Light" w:cs="UnitPro-Light"/>
          <w:sz w:val="20"/>
          <w:szCs w:val="20"/>
        </w:rPr>
        <w:t xml:space="preserve"> </w:t>
      </w:r>
      <w:r w:rsidR="00F817F6">
        <w:rPr>
          <w:rFonts w:ascii="UnitPro-Light" w:hAnsi="UnitPro-Light" w:cs="UnitPro-Light"/>
          <w:sz w:val="20"/>
          <w:szCs w:val="20"/>
        </w:rPr>
        <w:t xml:space="preserve">nahrazuje odst. 4 </w:t>
      </w:r>
      <w:r w:rsidR="00F817F6">
        <w:rPr>
          <w:rFonts w:ascii="UnitPro-Light" w:hAnsi="UnitPro-Light" w:cs="UnitPro-Light"/>
          <w:sz w:val="20"/>
          <w:szCs w:val="20"/>
        </w:rPr>
        <w:br/>
        <w:t xml:space="preserve">s </w:t>
      </w:r>
      <w:r w:rsidRPr="00D5218B">
        <w:rPr>
          <w:rFonts w:ascii="UnitPro-Light" w:hAnsi="UnitPro-Light" w:cs="UnitPro-Light"/>
          <w:sz w:val="20"/>
          <w:szCs w:val="20"/>
        </w:rPr>
        <w:t>následující</w:t>
      </w:r>
      <w:r>
        <w:rPr>
          <w:rFonts w:ascii="UnitPro-Light" w:hAnsi="UnitPro-Light" w:cs="UnitPro-Light"/>
          <w:sz w:val="20"/>
          <w:szCs w:val="20"/>
        </w:rPr>
        <w:t>m</w:t>
      </w:r>
      <w:r w:rsidRPr="00D5218B">
        <w:rPr>
          <w:rFonts w:ascii="UnitPro-Light" w:hAnsi="UnitPro-Light" w:cs="UnitPro-Light"/>
          <w:sz w:val="20"/>
          <w:szCs w:val="20"/>
        </w:rPr>
        <w:t xml:space="preserve"> znění</w:t>
      </w:r>
      <w:r>
        <w:rPr>
          <w:rFonts w:ascii="UnitPro-Light" w:hAnsi="UnitPro-Light" w:cs="UnitPro-Light"/>
          <w:sz w:val="20"/>
          <w:szCs w:val="20"/>
        </w:rPr>
        <w:t>m</w:t>
      </w:r>
      <w:r w:rsidRPr="00D5218B">
        <w:rPr>
          <w:rFonts w:ascii="UnitPro-Light" w:hAnsi="UnitPro-Light" w:cs="UnitPro-Light"/>
          <w:sz w:val="20"/>
          <w:szCs w:val="20"/>
        </w:rPr>
        <w:t xml:space="preserve">: </w:t>
      </w:r>
    </w:p>
    <w:p w14:paraId="0220BD3B" w14:textId="63AC2260" w:rsidR="000C4D39" w:rsidRDefault="000C4D39" w:rsidP="000C4D39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„Celková cena za předmět smlouvy (aktualizace + konzultace</w:t>
      </w:r>
      <w:r w:rsidR="00512AB1">
        <w:rPr>
          <w:rFonts w:ascii="UnitPro-Light" w:hAnsi="UnitPro-Light" w:cs="UnitPro-Light"/>
          <w:sz w:val="20"/>
          <w:szCs w:val="20"/>
        </w:rPr>
        <w:t xml:space="preserve"> + nákup datových sad</w:t>
      </w:r>
      <w:r>
        <w:rPr>
          <w:rFonts w:ascii="UnitPro-Light" w:hAnsi="UnitPro-Light" w:cs="UnitPro-Light"/>
          <w:sz w:val="20"/>
          <w:szCs w:val="20"/>
        </w:rPr>
        <w:t xml:space="preserve">) činí, bez DPH </w:t>
      </w:r>
      <w:r w:rsidR="00830052">
        <w:rPr>
          <w:rFonts w:ascii="UnitPro-Light" w:hAnsi="UnitPro-Light" w:cs="UnitPro-Light"/>
          <w:sz w:val="20"/>
          <w:szCs w:val="20"/>
        </w:rPr>
        <w:t>3.129.500</w:t>
      </w:r>
      <w:r w:rsidRPr="00512AB1">
        <w:rPr>
          <w:rFonts w:ascii="UnitPro-Light" w:hAnsi="UnitPro-Light" w:cs="UnitPro-Light"/>
          <w:sz w:val="20"/>
          <w:szCs w:val="20"/>
        </w:rPr>
        <w:t>,-</w:t>
      </w:r>
      <w:r>
        <w:rPr>
          <w:rFonts w:ascii="UnitPro-Light" w:hAnsi="UnitPro-Light" w:cs="UnitPro-Light"/>
          <w:sz w:val="20"/>
          <w:szCs w:val="20"/>
        </w:rPr>
        <w:t xml:space="preserve"> Kč (slovy: </w:t>
      </w:r>
      <w:proofErr w:type="spellStart"/>
      <w:r w:rsidR="00830052">
        <w:rPr>
          <w:rFonts w:ascii="UnitPro-Light" w:hAnsi="UnitPro-Light" w:cs="UnitPro-Light"/>
          <w:sz w:val="20"/>
          <w:szCs w:val="20"/>
        </w:rPr>
        <w:t>třimilionyjednostodvacetdevěttisícpětset</w:t>
      </w:r>
      <w:proofErr w:type="spellEnd"/>
      <w:r w:rsidR="00830052">
        <w:rPr>
          <w:rFonts w:ascii="UnitPro-Light" w:hAnsi="UnitPro-Light" w:cs="UnitPro-Light"/>
          <w:sz w:val="20"/>
          <w:szCs w:val="20"/>
        </w:rPr>
        <w:t xml:space="preserve"> </w:t>
      </w:r>
      <w:r>
        <w:rPr>
          <w:rFonts w:ascii="UnitPro-Light" w:hAnsi="UnitPro-Light" w:cs="UnitPro-Light"/>
          <w:sz w:val="20"/>
          <w:szCs w:val="20"/>
        </w:rPr>
        <w:t>korun českých).“</w:t>
      </w:r>
    </w:p>
    <w:p w14:paraId="30CD1761" w14:textId="77777777" w:rsidR="001770A6" w:rsidRDefault="001770A6" w:rsidP="000C4D39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4FCED3DD" w14:textId="77777777" w:rsidR="007810EC" w:rsidRPr="003B1E01" w:rsidRDefault="007810EC" w:rsidP="000C4D39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DB180DD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7810EC">
        <w:rPr>
          <w:rFonts w:ascii="UnitPro-Light" w:hAnsi="UnitPro-Light" w:cs="UnitPro-Light"/>
          <w:sz w:val="20"/>
          <w:szCs w:val="20"/>
        </w:rPr>
        <w:t>dohody</w:t>
      </w:r>
      <w:r w:rsidRPr="003B1E01">
        <w:rPr>
          <w:rFonts w:ascii="UnitPro-Light" w:hAnsi="UnitPro-Light" w:cs="UnitPro-Light"/>
          <w:sz w:val="20"/>
          <w:szCs w:val="20"/>
        </w:rPr>
        <w:t xml:space="preserve">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lastRenderedPageBreak/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306AF3ED" w14:textId="3324B5F0" w:rsidR="0097052F" w:rsidRPr="00820BCA" w:rsidRDefault="00CB6839" w:rsidP="00820BC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D5218B">
        <w:rPr>
          <w:rFonts w:ascii="UnitPro-Light" w:hAnsi="UnitPro-Light" w:cs="UnitPro-Light"/>
          <w:sz w:val="20"/>
          <w:szCs w:val="20"/>
        </w:rPr>
        <w:t xml:space="preserve">Smluvní strany výslovně souhlasí s uveřejněním </w:t>
      </w:r>
      <w:r w:rsidR="007810EC">
        <w:rPr>
          <w:rFonts w:ascii="UnitPro-Light" w:hAnsi="UnitPro-Light" w:cs="UnitPro-Light"/>
          <w:sz w:val="20"/>
          <w:szCs w:val="20"/>
        </w:rPr>
        <w:t>tohoto dodatku</w:t>
      </w:r>
      <w:r w:rsidRPr="00D5218B">
        <w:rPr>
          <w:rFonts w:ascii="UnitPro-Light" w:hAnsi="UnitPro-Light" w:cs="UnitPro-Light"/>
          <w:sz w:val="20"/>
          <w:szCs w:val="20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7810EC">
        <w:rPr>
          <w:rFonts w:ascii="UnitPro-Light" w:hAnsi="UnitPro-Light" w:cs="UnitPro-Light"/>
          <w:sz w:val="20"/>
          <w:szCs w:val="20"/>
        </w:rPr>
        <w:t xml:space="preserve">dodatku </w:t>
      </w:r>
      <w:r w:rsidRPr="00D5218B">
        <w:rPr>
          <w:rFonts w:ascii="UnitPro-Light" w:hAnsi="UnitPro-Light" w:cs="UnitPro-Light"/>
          <w:sz w:val="20"/>
          <w:szCs w:val="20"/>
        </w:rPr>
        <w:t xml:space="preserve">zasláním správci registru smluv nejpozději ve lhůtě do 30 dnů od podpisu </w:t>
      </w:r>
      <w:r w:rsidR="007810EC">
        <w:rPr>
          <w:rFonts w:ascii="UnitPro-Light" w:hAnsi="UnitPro-Light" w:cs="UnitPro-Light"/>
          <w:sz w:val="20"/>
          <w:szCs w:val="20"/>
        </w:rPr>
        <w:t>dodatku</w:t>
      </w:r>
      <w:r w:rsidRPr="00D5218B">
        <w:rPr>
          <w:rFonts w:ascii="UnitPro-Light" w:hAnsi="UnitPro-Light" w:cs="UnitPro-Light"/>
          <w:sz w:val="20"/>
          <w:szCs w:val="20"/>
        </w:rPr>
        <w:t xml:space="preserve"> oběma smluvními stranami. Zhotovitel obdrží potvrzení o uveřejnění v registru smluv automaticky vygenerované správcem registru smluv do své datové schránky</w:t>
      </w:r>
      <w:r w:rsidR="00D5218B" w:rsidRPr="00D5218B">
        <w:rPr>
          <w:rFonts w:ascii="UnitPro-Light" w:hAnsi="UnitPro-Light" w:cs="UnitPro-Light"/>
          <w:sz w:val="20"/>
          <w:szCs w:val="20"/>
        </w:rPr>
        <w:t>.</w:t>
      </w:r>
    </w:p>
    <w:p w14:paraId="5D26DC99" w14:textId="69220A51" w:rsidR="007810EC" w:rsidRPr="0097052F" w:rsidRDefault="0055783B" w:rsidP="0097052F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D5218B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D5218B">
        <w:rPr>
          <w:rFonts w:ascii="UnitPro-Light" w:hAnsi="UnitPro-Light" w:cs="UnitPro-Light"/>
          <w:sz w:val="20"/>
          <w:szCs w:val="20"/>
        </w:rPr>
        <w:t> tomto dodatku</w:t>
      </w:r>
      <w:r w:rsidR="007B77BE" w:rsidRPr="00D5218B">
        <w:rPr>
          <w:rFonts w:ascii="UnitPro-Light" w:hAnsi="UnitPro-Light" w:cs="UnitPro-Light"/>
          <w:sz w:val="20"/>
          <w:szCs w:val="20"/>
        </w:rPr>
        <w:t xml:space="preserve"> </w:t>
      </w:r>
      <w:r w:rsidRPr="00D5218B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380C79EA" w:rsidR="00A935CF" w:rsidRPr="00D5218B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UnitPro-Light" w:hAnsi="UnitPro-Light" w:cs="UnitPro-Light"/>
          <w:b/>
          <w:sz w:val="20"/>
          <w:szCs w:val="20"/>
        </w:rPr>
      </w:pPr>
      <w:r w:rsidRPr="00D5218B">
        <w:rPr>
          <w:rFonts w:ascii="UnitPro-Light" w:hAnsi="UnitPro-Light" w:cs="UnitPro-Light"/>
          <w:sz w:val="20"/>
          <w:szCs w:val="20"/>
        </w:rPr>
        <w:t>Dodatek</w:t>
      </w:r>
      <w:r w:rsidR="00C94D31" w:rsidRPr="00D5218B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D5218B">
        <w:rPr>
          <w:rFonts w:ascii="UnitPro-Light" w:hAnsi="UnitPro-Light" w:cs="UnitPro-Light"/>
          <w:sz w:val="20"/>
          <w:szCs w:val="20"/>
        </w:rPr>
        <w:t xml:space="preserve"> </w:t>
      </w:r>
    </w:p>
    <w:p w14:paraId="51ADE6BD" w14:textId="77777777" w:rsidR="00D5218B" w:rsidRDefault="00D5218B" w:rsidP="00D5218B">
      <w:pPr>
        <w:pStyle w:val="Odstavecseseznamem"/>
        <w:spacing w:after="0"/>
        <w:contextualSpacing w:val="0"/>
        <w:jc w:val="both"/>
        <w:rPr>
          <w:rFonts w:ascii="UnitPro-Light" w:hAnsi="UnitPro-Light" w:cs="UnitPro-Light"/>
          <w:sz w:val="20"/>
          <w:szCs w:val="20"/>
        </w:rPr>
      </w:pPr>
    </w:p>
    <w:p w14:paraId="36E9C076" w14:textId="77777777" w:rsidR="007810EC" w:rsidRDefault="007810EC" w:rsidP="00BD6B2C">
      <w:pPr>
        <w:pStyle w:val="Odstavecseseznamem"/>
        <w:spacing w:after="0"/>
        <w:ind w:left="0"/>
        <w:contextualSpacing w:val="0"/>
        <w:jc w:val="both"/>
        <w:rPr>
          <w:rFonts w:ascii="UnitPro-Light" w:hAnsi="UnitPro-Light" w:cs="UnitPro-Light"/>
          <w:sz w:val="20"/>
          <w:szCs w:val="20"/>
        </w:rPr>
      </w:pPr>
    </w:p>
    <w:p w14:paraId="035639DE" w14:textId="1DF6B43F" w:rsidR="00BD6B2C" w:rsidRPr="00BD6B2C" w:rsidRDefault="00BD6B2C" w:rsidP="00BD6B2C">
      <w:pPr>
        <w:pStyle w:val="Odstavecseseznamem"/>
        <w:spacing w:after="0"/>
        <w:ind w:left="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BD6B2C">
        <w:rPr>
          <w:rFonts w:ascii="UnitPro-Light" w:hAnsi="UnitPro-Light" w:cs="UnitPro-Light"/>
          <w:sz w:val="20"/>
          <w:szCs w:val="20"/>
        </w:rPr>
        <w:t>Příloha: Nabídka dat CEDA</w:t>
      </w: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0893167" w14:textId="77777777" w:rsidR="007810EC" w:rsidRDefault="007810EC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6A3921A5" w14:textId="77777777" w:rsidR="007810EC" w:rsidRDefault="007810EC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CC0B21" w14:textId="77777777" w:rsidR="007810EC" w:rsidRPr="003B1E01" w:rsidRDefault="007810EC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1B7001A4" w14:textId="2A17EC2C" w:rsidR="00A935CF" w:rsidRPr="007810EC" w:rsidRDefault="007810EC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za objednatele:</w:t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za zhotovitele:</w:t>
      </w: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8D3F397" w14:textId="77777777" w:rsidR="007810EC" w:rsidRPr="003B1E01" w:rsidRDefault="007810EC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1BC6F8C3" w:rsidR="00CE4F42" w:rsidRPr="00D5218B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D5218B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841FA4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D5218B">
        <w:rPr>
          <w:rFonts w:ascii="UnitPro-Light" w:hAnsi="UnitPro-Light" w:cs="UnitPro-Light"/>
          <w:b/>
          <w:sz w:val="20"/>
          <w:szCs w:val="20"/>
        </w:rPr>
        <w:t xml:space="preserve">      </w:t>
      </w:r>
      <w:r w:rsidR="00006C69" w:rsidRPr="00D5218B">
        <w:rPr>
          <w:rFonts w:ascii="UnitPro-Light" w:hAnsi="UnitPro-Light" w:cs="UnitPro-Light"/>
          <w:b/>
          <w:sz w:val="20"/>
          <w:szCs w:val="20"/>
        </w:rPr>
        <w:tab/>
      </w:r>
      <w:r w:rsidR="009A73B5" w:rsidRPr="00D5218B">
        <w:rPr>
          <w:rFonts w:ascii="UnitPro-Light" w:hAnsi="UnitPro-Light" w:cs="UnitPro-Light"/>
          <w:b/>
          <w:sz w:val="20"/>
          <w:szCs w:val="20"/>
        </w:rPr>
        <w:tab/>
      </w:r>
      <w:r w:rsidR="009A73B5" w:rsidRPr="00D5218B">
        <w:rPr>
          <w:rFonts w:ascii="UnitPro-Light" w:hAnsi="UnitPro-Light" w:cs="UnitPro-Light"/>
          <w:b/>
          <w:sz w:val="20"/>
          <w:szCs w:val="20"/>
        </w:rPr>
        <w:tab/>
      </w:r>
      <w:r w:rsidR="009A73B5" w:rsidRPr="00D5218B">
        <w:rPr>
          <w:rFonts w:ascii="UnitPro-Light" w:hAnsi="UnitPro-Light" w:cs="UnitPro-Light"/>
          <w:b/>
          <w:sz w:val="20"/>
          <w:szCs w:val="20"/>
        </w:rPr>
        <w:tab/>
      </w:r>
      <w:r w:rsidR="009A73B5" w:rsidRPr="00D5218B">
        <w:rPr>
          <w:rFonts w:ascii="UnitPro-Light" w:hAnsi="UnitPro-Light" w:cs="UnitPro-Light"/>
          <w:b/>
          <w:sz w:val="20"/>
          <w:szCs w:val="20"/>
        </w:rPr>
        <w:tab/>
      </w:r>
      <w:r w:rsidR="00D5218B">
        <w:rPr>
          <w:rFonts w:ascii="UnitPro-Light" w:hAnsi="UnitPro-Light" w:cs="UnitPro-Light"/>
          <w:b/>
          <w:sz w:val="20"/>
          <w:szCs w:val="20"/>
        </w:rPr>
        <w:tab/>
      </w:r>
      <w:r w:rsidR="00841FA4">
        <w:rPr>
          <w:rFonts w:ascii="UnitPro-Light" w:hAnsi="UnitPro-Light" w:cs="UnitPro-Light"/>
          <w:b/>
          <w:sz w:val="20"/>
          <w:szCs w:val="20"/>
        </w:rPr>
        <w:t>Mgr. Radovan Prokeš</w:t>
      </w:r>
    </w:p>
    <w:p w14:paraId="1868CB94" w14:textId="488ABE5E" w:rsidR="00A935CF" w:rsidRDefault="00841FA4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ředitel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předseda představenstva</w:t>
      </w:r>
    </w:p>
    <w:p w14:paraId="3B420D3C" w14:textId="77777777" w:rsidR="00841FA4" w:rsidRDefault="00841FA4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00279B5" w14:textId="77777777" w:rsidR="00841FA4" w:rsidRDefault="00841FA4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1634B269" w14:textId="77777777" w:rsidR="007810EC" w:rsidRDefault="007810EC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EAD35B7" w14:textId="77777777" w:rsidR="007810EC" w:rsidRDefault="007810EC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2A03F676" w14:textId="24FB9215" w:rsidR="00841FA4" w:rsidRDefault="00841FA4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………………………………………………………</w:t>
      </w:r>
    </w:p>
    <w:p w14:paraId="621FE580" w14:textId="3F876069" w:rsidR="00841FA4" w:rsidRPr="001E0B4F" w:rsidRDefault="00841FA4" w:rsidP="00006C69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 w:rsidRPr="001E0B4F">
        <w:rPr>
          <w:rFonts w:ascii="UnitPro-Light" w:hAnsi="UnitPro-Light" w:cs="UnitPro-Light"/>
          <w:b/>
          <w:sz w:val="20"/>
          <w:szCs w:val="20"/>
        </w:rPr>
        <w:t>Romana Krásová</w:t>
      </w:r>
    </w:p>
    <w:p w14:paraId="478A6726" w14:textId="0C10847D" w:rsidR="00841FA4" w:rsidRPr="003B1E01" w:rsidRDefault="00841FA4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členka představenstva</w:t>
      </w:r>
    </w:p>
    <w:sectPr w:rsidR="00841FA4" w:rsidRPr="003B1E01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43A6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21F2A" w14:textId="77777777" w:rsidR="000C4D39" w:rsidRDefault="000C4D39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0C4D39" w:rsidRDefault="000C4D39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0C4D39" w:rsidRDefault="000C4D3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0C4D39" w:rsidRDefault="000C4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2513" w14:textId="77777777" w:rsidR="000C4D39" w:rsidRDefault="000C4D39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0C4D39" w:rsidRDefault="000C4D39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78F2" w14:textId="57DFD2ED" w:rsidR="000C4D39" w:rsidRPr="00694AC1" w:rsidRDefault="000C4D39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694AC1">
      <w:rPr>
        <w:rFonts w:ascii="UnitPro-Light" w:hAnsi="UnitPro-Light" w:cs="UnitPro-Light"/>
        <w:sz w:val="20"/>
      </w:rPr>
      <w:t>č. smlouvy objednatele: ZAK 1</w:t>
    </w:r>
    <w:r>
      <w:rPr>
        <w:rFonts w:ascii="UnitPro-Light" w:hAnsi="UnitPro-Light" w:cs="UnitPro-Light"/>
        <w:sz w:val="20"/>
      </w:rPr>
      <w:t>8-0173</w:t>
    </w:r>
  </w:p>
  <w:p w14:paraId="0200A13A" w14:textId="174C3BA9" w:rsidR="000C4D39" w:rsidRPr="003B1E01" w:rsidRDefault="000C4D39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694AC1">
      <w:rPr>
        <w:rFonts w:ascii="UnitPro-Light" w:hAnsi="UnitPro-Light" w:cs="UnitPro-Light"/>
        <w:sz w:val="20"/>
      </w:rPr>
      <w:t>č. smlouvy zhotovit</w:t>
    </w:r>
    <w:r>
      <w:rPr>
        <w:rFonts w:ascii="UnitPro-Light" w:hAnsi="UnitPro-Light" w:cs="UnitPro-Light"/>
        <w:sz w:val="20"/>
      </w:rPr>
      <w:t>ele: 600_DPA_JJe_18_019</w:t>
    </w:r>
  </w:p>
  <w:p w14:paraId="6D35E238" w14:textId="77777777" w:rsidR="000C4D39" w:rsidRDefault="000C4D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ájková Martina Mgr. (IPR/SPE)">
    <w15:presenceInfo w15:providerId="AD" w15:userId="S-1-5-21-4055400197-654460755-3914899531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C4D39"/>
    <w:rsid w:val="000E4C28"/>
    <w:rsid w:val="00100F64"/>
    <w:rsid w:val="001136A3"/>
    <w:rsid w:val="00130B54"/>
    <w:rsid w:val="00156451"/>
    <w:rsid w:val="001770A6"/>
    <w:rsid w:val="001A4F97"/>
    <w:rsid w:val="001E0B4F"/>
    <w:rsid w:val="001E7B9C"/>
    <w:rsid w:val="002077C2"/>
    <w:rsid w:val="00231B5B"/>
    <w:rsid w:val="0026139E"/>
    <w:rsid w:val="002642D9"/>
    <w:rsid w:val="002A0BF7"/>
    <w:rsid w:val="002A2CDA"/>
    <w:rsid w:val="002B688F"/>
    <w:rsid w:val="002C4C60"/>
    <w:rsid w:val="002F5FEA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186B"/>
    <w:rsid w:val="0042593D"/>
    <w:rsid w:val="00426818"/>
    <w:rsid w:val="004910F0"/>
    <w:rsid w:val="004A30FA"/>
    <w:rsid w:val="004B30E0"/>
    <w:rsid w:val="004D188E"/>
    <w:rsid w:val="004F69FE"/>
    <w:rsid w:val="00500F93"/>
    <w:rsid w:val="00512AAA"/>
    <w:rsid w:val="00512AB1"/>
    <w:rsid w:val="00533C6B"/>
    <w:rsid w:val="005571FE"/>
    <w:rsid w:val="0055783B"/>
    <w:rsid w:val="005602BF"/>
    <w:rsid w:val="00576F87"/>
    <w:rsid w:val="005839E5"/>
    <w:rsid w:val="005F2BF7"/>
    <w:rsid w:val="005F4A45"/>
    <w:rsid w:val="005F4F3B"/>
    <w:rsid w:val="00627A32"/>
    <w:rsid w:val="00667961"/>
    <w:rsid w:val="006714D3"/>
    <w:rsid w:val="006759AB"/>
    <w:rsid w:val="00694AC1"/>
    <w:rsid w:val="006B4036"/>
    <w:rsid w:val="006F3997"/>
    <w:rsid w:val="00756299"/>
    <w:rsid w:val="00772464"/>
    <w:rsid w:val="00780343"/>
    <w:rsid w:val="007810EC"/>
    <w:rsid w:val="007B6DBB"/>
    <w:rsid w:val="007B77BE"/>
    <w:rsid w:val="007D30A8"/>
    <w:rsid w:val="00820BCA"/>
    <w:rsid w:val="00830052"/>
    <w:rsid w:val="00835B76"/>
    <w:rsid w:val="008409D5"/>
    <w:rsid w:val="00841FA4"/>
    <w:rsid w:val="00854BD4"/>
    <w:rsid w:val="00867A1F"/>
    <w:rsid w:val="008952CE"/>
    <w:rsid w:val="009052C7"/>
    <w:rsid w:val="009174E2"/>
    <w:rsid w:val="00940310"/>
    <w:rsid w:val="00961B57"/>
    <w:rsid w:val="0097052F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A0888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62C94"/>
    <w:rsid w:val="00B971C4"/>
    <w:rsid w:val="00BD6B2C"/>
    <w:rsid w:val="00BE65F0"/>
    <w:rsid w:val="00BF3CA4"/>
    <w:rsid w:val="00C2756A"/>
    <w:rsid w:val="00C93E4E"/>
    <w:rsid w:val="00C94D31"/>
    <w:rsid w:val="00CA0753"/>
    <w:rsid w:val="00CB6839"/>
    <w:rsid w:val="00CD4E63"/>
    <w:rsid w:val="00CE4F42"/>
    <w:rsid w:val="00CF34BB"/>
    <w:rsid w:val="00CF58CA"/>
    <w:rsid w:val="00D00F18"/>
    <w:rsid w:val="00D15DCF"/>
    <w:rsid w:val="00D31533"/>
    <w:rsid w:val="00D40A95"/>
    <w:rsid w:val="00D5218B"/>
    <w:rsid w:val="00D804D1"/>
    <w:rsid w:val="00DA7AB6"/>
    <w:rsid w:val="00DB56A4"/>
    <w:rsid w:val="00DD6A56"/>
    <w:rsid w:val="00DF158E"/>
    <w:rsid w:val="00E01AE6"/>
    <w:rsid w:val="00E30876"/>
    <w:rsid w:val="00E33A62"/>
    <w:rsid w:val="00E54FB6"/>
    <w:rsid w:val="00E76647"/>
    <w:rsid w:val="00E772E3"/>
    <w:rsid w:val="00EA711E"/>
    <w:rsid w:val="00EB2DE9"/>
    <w:rsid w:val="00ED5F08"/>
    <w:rsid w:val="00F1680C"/>
    <w:rsid w:val="00F2682A"/>
    <w:rsid w:val="00F33E31"/>
    <w:rsid w:val="00F43A2E"/>
    <w:rsid w:val="00F817F6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F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F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ADB0E3-EA09-4A26-8306-33AE8616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14</cp:revision>
  <cp:lastPrinted>2019-11-08T11:01:00Z</cp:lastPrinted>
  <dcterms:created xsi:type="dcterms:W3CDTF">2019-11-18T08:52:00Z</dcterms:created>
  <dcterms:modified xsi:type="dcterms:W3CDTF">2019-12-02T09:39:00Z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