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60" w:rsidRDefault="00741401">
      <w:pPr>
        <w:spacing w:after="201" w:line="250" w:lineRule="auto"/>
        <w:ind w:left="0" w:firstLine="1"/>
        <w:jc w:val="center"/>
      </w:pPr>
      <w:r>
        <w:rPr>
          <w:sz w:val="22"/>
        </w:rPr>
        <w:t>SMLOUVA o dodávce tepelné energie číslo smlouvy: 20940</w:t>
      </w:r>
    </w:p>
    <w:p w:rsidR="00C85260" w:rsidRDefault="00741401">
      <w:pPr>
        <w:spacing w:after="207" w:line="259" w:lineRule="auto"/>
        <w:ind w:left="0" w:right="22" w:firstLine="0"/>
        <w:jc w:val="center"/>
      </w:pPr>
      <w:r>
        <w:rPr>
          <w:sz w:val="20"/>
        </w:rPr>
        <w:t>Dodavatel:</w:t>
      </w:r>
    </w:p>
    <w:tbl>
      <w:tblPr>
        <w:tblStyle w:val="TableGrid"/>
        <w:tblW w:w="7704" w:type="dxa"/>
        <w:tblInd w:w="-35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5026"/>
      </w:tblGrid>
      <w:tr w:rsidR="00C85260">
        <w:trPr>
          <w:trHeight w:val="212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Obchodní firma: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Veolia Energie CR, a.s.</w:t>
            </w:r>
          </w:p>
        </w:tc>
      </w:tr>
      <w:tr w:rsidR="00C85260">
        <w:trPr>
          <w:trHeight w:val="218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43" w:firstLine="0"/>
              <w:jc w:val="left"/>
            </w:pPr>
            <w:r>
              <w:t>Se sídlem: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28. října 3337/7, Moravská Ostrava, 702 00 Ostrava</w:t>
            </w:r>
          </w:p>
        </w:tc>
      </w:tr>
      <w:tr w:rsidR="00C85260">
        <w:trPr>
          <w:trHeight w:val="220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Zapsaná: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36" w:firstLine="0"/>
            </w:pPr>
            <w:r>
              <w:t>u Krajského soudu v Ostravě v obchodním rejstříku, SP. zn. B 318</w:t>
            </w:r>
          </w:p>
        </w:tc>
      </w:tr>
      <w:tr w:rsidR="00C85260">
        <w:trPr>
          <w:trHeight w:val="210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36" w:firstLine="0"/>
              <w:jc w:val="left"/>
            </w:pPr>
            <w:r>
              <w:t>Zastoupená: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6F2373">
            <w:pPr>
              <w:spacing w:after="0" w:line="259" w:lineRule="auto"/>
              <w:ind w:left="36" w:firstLine="0"/>
              <w:jc w:val="left"/>
            </w:pPr>
            <w:r w:rsidRPr="006F2373">
              <w:rPr>
                <w:highlight w:val="black"/>
              </w:rPr>
              <w:t>…………………..</w:t>
            </w:r>
            <w:r w:rsidR="00741401">
              <w:t>, obchodní ředitel na základě pověření</w:t>
            </w:r>
          </w:p>
        </w:tc>
      </w:tr>
      <w:tr w:rsidR="00C85260">
        <w:trPr>
          <w:trHeight w:val="21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36" w:firstLine="0"/>
              <w:jc w:val="left"/>
            </w:pPr>
            <w:r>
              <w:t>Bankovní spojení: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36" w:firstLine="0"/>
              <w:jc w:val="left"/>
            </w:pPr>
            <w:r>
              <w:t>Komerční banka, a.s., Praha</w:t>
            </w:r>
          </w:p>
        </w:tc>
      </w:tr>
      <w:tr w:rsidR="00C85260">
        <w:trPr>
          <w:trHeight w:val="206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36" w:firstLine="0"/>
              <w:jc w:val="left"/>
            </w:pPr>
            <w:r>
              <w:t>Císlo účtu: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6F2373">
            <w:pPr>
              <w:spacing w:after="0" w:line="259" w:lineRule="auto"/>
              <w:ind w:left="50" w:firstLine="0"/>
              <w:jc w:val="left"/>
            </w:pPr>
            <w:r w:rsidRPr="006F2373">
              <w:rPr>
                <w:highlight w:val="black"/>
              </w:rPr>
              <w:t>…………………</w:t>
            </w:r>
            <w:r w:rsidR="00741401" w:rsidRPr="006F2373">
              <w:rPr>
                <w:highlight w:val="black"/>
              </w:rPr>
              <w:t>/0100</w:t>
            </w:r>
          </w:p>
        </w:tc>
      </w:tr>
      <w:tr w:rsidR="00C85260">
        <w:trPr>
          <w:trHeight w:val="224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36" w:firstLine="0"/>
              <w:jc w:val="left"/>
            </w:pPr>
            <w:r>
              <w:t>IČO: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22" w:firstLine="0"/>
              <w:jc w:val="left"/>
            </w:pPr>
            <w:r>
              <w:rPr>
                <w:sz w:val="20"/>
              </w:rPr>
              <w:t>45 19 34 10</w:t>
            </w:r>
          </w:p>
        </w:tc>
      </w:tr>
      <w:tr w:rsidR="00C85260">
        <w:trPr>
          <w:trHeight w:val="213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36" w:firstLine="0"/>
              <w:jc w:val="left"/>
            </w:pPr>
            <w:r>
              <w:t>DIČ: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29" w:firstLine="0"/>
              <w:jc w:val="left"/>
            </w:pPr>
            <w:r>
              <w:t>CZ45193410</w:t>
            </w:r>
          </w:p>
        </w:tc>
      </w:tr>
      <w:tr w:rsidR="00C85260">
        <w:trPr>
          <w:trHeight w:val="220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22" w:firstLine="0"/>
              <w:jc w:val="left"/>
            </w:pPr>
            <w:r>
              <w:t>Zákaznická linka: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>800 800 860</w:t>
            </w:r>
          </w:p>
        </w:tc>
      </w:tr>
      <w:tr w:rsidR="00C85260">
        <w:trPr>
          <w:trHeight w:val="227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29" w:firstLine="0"/>
              <w:jc w:val="left"/>
            </w:pPr>
            <w:r>
              <w:t>Internetové stránky: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22" w:firstLine="0"/>
              <w:jc w:val="left"/>
            </w:pPr>
            <w:r>
              <w:rPr>
                <w:u w:val="single" w:color="000000"/>
              </w:rPr>
              <w:t>www.veoliaenergie.cz</w:t>
            </w:r>
          </w:p>
        </w:tc>
      </w:tr>
      <w:tr w:rsidR="00C85260">
        <w:trPr>
          <w:trHeight w:val="216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29" w:firstLine="0"/>
              <w:jc w:val="left"/>
            </w:pPr>
            <w:r>
              <w:t>Kontaktní tel.</w:t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2047" name="Picture 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Picture 20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2048" name="Picture 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Picture 20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6F2373">
            <w:pPr>
              <w:spacing w:after="0" w:line="259" w:lineRule="auto"/>
              <w:ind w:left="29" w:firstLine="0"/>
              <w:jc w:val="left"/>
            </w:pPr>
            <w:r w:rsidRPr="006F2373">
              <w:rPr>
                <w:highlight w:val="black"/>
              </w:rPr>
              <w:t>…………………………………</w:t>
            </w:r>
          </w:p>
        </w:tc>
      </w:tr>
      <w:tr w:rsidR="00C85260">
        <w:trPr>
          <w:trHeight w:val="983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22" w:firstLine="0"/>
              <w:jc w:val="left"/>
            </w:pPr>
            <w:r>
              <w:t>Kontaktní e-mail: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6F2373">
            <w:pPr>
              <w:spacing w:after="430" w:line="259" w:lineRule="auto"/>
              <w:ind w:left="22" w:firstLine="0"/>
              <w:jc w:val="left"/>
            </w:pPr>
            <w:r w:rsidRPr="006F2373">
              <w:rPr>
                <w:highlight w:val="black"/>
                <w:u w:val="single" w:color="000000"/>
              </w:rPr>
              <w:t>………………………………..</w:t>
            </w:r>
          </w:p>
          <w:p w:rsidR="00C85260" w:rsidRDefault="00741401">
            <w:pPr>
              <w:spacing w:after="0" w:line="259" w:lineRule="auto"/>
              <w:ind w:left="1526" w:firstLine="0"/>
              <w:jc w:val="left"/>
            </w:pPr>
            <w:r>
              <w:rPr>
                <w:sz w:val="20"/>
              </w:rPr>
              <w:t>Odběratel:</w:t>
            </w:r>
          </w:p>
        </w:tc>
      </w:tr>
      <w:tr w:rsidR="00C85260">
        <w:trPr>
          <w:trHeight w:val="322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Obchodní firma: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260" w:rsidRDefault="00741401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Archeologické centrum Olomouc, příspěvková organizace</w:t>
            </w:r>
          </w:p>
        </w:tc>
      </w:tr>
      <w:tr w:rsidR="00C85260">
        <w:trPr>
          <w:trHeight w:val="216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Se sídlem: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22" w:firstLine="0"/>
              <w:jc w:val="left"/>
            </w:pPr>
            <w:r>
              <w:t>U Hradiska 42/6, Olomouc — Klášterní Hradisko, PSČ 77900</w:t>
            </w:r>
          </w:p>
        </w:tc>
      </w:tr>
      <w:tr w:rsidR="00C85260" w:rsidTr="006F2373">
        <w:trPr>
          <w:trHeight w:val="592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Zapsaná: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14" w:right="922" w:firstLine="0"/>
              <w:jc w:val="left"/>
            </w:pPr>
            <w:r>
              <w:t>v obchodním rejstříku u Krajského soudu v Ostravě SP. zn. Pr 874</w:t>
            </w:r>
          </w:p>
        </w:tc>
      </w:tr>
      <w:tr w:rsidR="00C85260">
        <w:trPr>
          <w:trHeight w:val="219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7" w:firstLine="0"/>
              <w:jc w:val="left"/>
            </w:pPr>
            <w:r>
              <w:t>Zastoupená: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6F2373">
            <w:pPr>
              <w:spacing w:after="0" w:line="259" w:lineRule="auto"/>
              <w:ind w:left="14" w:firstLine="0"/>
              <w:jc w:val="left"/>
            </w:pPr>
            <w:r w:rsidRPr="006F2373">
              <w:rPr>
                <w:highlight w:val="black"/>
              </w:rPr>
              <w:t>………………………</w:t>
            </w:r>
            <w:r w:rsidR="00741401">
              <w:t>, ředitel</w:t>
            </w:r>
          </w:p>
        </w:tc>
      </w:tr>
      <w:tr w:rsidR="00C85260">
        <w:trPr>
          <w:trHeight w:val="219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7" w:firstLine="0"/>
              <w:jc w:val="left"/>
            </w:pPr>
            <w:r>
              <w:t>Bankovní spojení: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14" w:firstLine="0"/>
              <w:jc w:val="left"/>
            </w:pPr>
            <w:r>
              <w:t>Komerční banka, a.s.</w:t>
            </w:r>
          </w:p>
        </w:tc>
      </w:tr>
      <w:tr w:rsidR="00C85260">
        <w:trPr>
          <w:trHeight w:val="203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7" w:firstLine="0"/>
              <w:jc w:val="left"/>
            </w:pPr>
            <w:r>
              <w:t>číslo účtu: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6F2373">
            <w:pPr>
              <w:spacing w:after="0" w:line="259" w:lineRule="auto"/>
              <w:ind w:left="7" w:firstLine="0"/>
              <w:jc w:val="left"/>
            </w:pPr>
            <w:r w:rsidRPr="006F2373">
              <w:rPr>
                <w:highlight w:val="black"/>
              </w:rPr>
              <w:t>………………………….</w:t>
            </w:r>
          </w:p>
        </w:tc>
      </w:tr>
      <w:tr w:rsidR="00C85260">
        <w:trPr>
          <w:trHeight w:val="224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7" w:firstLine="0"/>
              <w:jc w:val="left"/>
            </w:pPr>
            <w:r>
              <w:t>IČO: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750 08 271</w:t>
            </w:r>
          </w:p>
        </w:tc>
      </w:tr>
      <w:tr w:rsidR="00C85260">
        <w:trPr>
          <w:trHeight w:val="21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7" w:firstLine="0"/>
              <w:jc w:val="left"/>
            </w:pPr>
            <w:r>
              <w:t>CZ75008271</w:t>
            </w:r>
          </w:p>
        </w:tc>
      </w:tr>
      <w:tr w:rsidR="00C85260">
        <w:trPr>
          <w:trHeight w:val="222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0" w:firstLine="0"/>
              <w:jc w:val="left"/>
            </w:pPr>
            <w:r>
              <w:t>Kontaktní tel.: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6F2373">
            <w:pPr>
              <w:spacing w:after="0" w:line="259" w:lineRule="auto"/>
              <w:ind w:left="7" w:firstLine="0"/>
              <w:jc w:val="left"/>
            </w:pPr>
            <w:r w:rsidRPr="006F2373">
              <w:rPr>
                <w:highlight w:val="black"/>
              </w:rPr>
              <w:t>……………………………</w:t>
            </w:r>
          </w:p>
        </w:tc>
      </w:tr>
      <w:tr w:rsidR="00C85260">
        <w:trPr>
          <w:trHeight w:val="210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741401">
            <w:pPr>
              <w:spacing w:after="0" w:line="259" w:lineRule="auto"/>
              <w:ind w:left="0" w:firstLine="0"/>
              <w:jc w:val="left"/>
            </w:pPr>
            <w:r>
              <w:t>Kontaktní e-mail: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C85260" w:rsidRDefault="006F2373">
            <w:pPr>
              <w:spacing w:after="0" w:line="259" w:lineRule="auto"/>
              <w:ind w:left="0" w:firstLine="0"/>
              <w:jc w:val="left"/>
            </w:pPr>
            <w:r w:rsidRPr="006F2373">
              <w:rPr>
                <w:highlight w:val="black"/>
              </w:rPr>
              <w:t>………………………….</w:t>
            </w:r>
          </w:p>
        </w:tc>
      </w:tr>
    </w:tbl>
    <w:p w:rsidR="00C85260" w:rsidRDefault="00C85260">
      <w:pPr>
        <w:sectPr w:rsidR="00C852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2" w:h="16834"/>
          <w:pgMar w:top="2124" w:right="4918" w:bottom="2327" w:left="4730" w:header="1490" w:footer="1584" w:gutter="0"/>
          <w:cols w:space="708"/>
        </w:sectPr>
      </w:pPr>
    </w:p>
    <w:p w:rsidR="00C85260" w:rsidRDefault="00741401">
      <w:pPr>
        <w:ind w:left="24" w:right="50"/>
      </w:pPr>
      <w:r>
        <w:t xml:space="preserve">Adresa pro elektronické doručování faktur: , </w:t>
      </w:r>
      <w:r w:rsidR="006F2373" w:rsidRPr="006F2373">
        <w:rPr>
          <w:highlight w:val="black"/>
        </w:rPr>
        <w:t>…………….</w:t>
      </w:r>
    </w:p>
    <w:p w:rsidR="006F2373" w:rsidRDefault="006F2373">
      <w:pPr>
        <w:ind w:left="24" w:right="50"/>
      </w:pPr>
    </w:p>
    <w:p w:rsidR="00C85260" w:rsidRDefault="00741401">
      <w:pPr>
        <w:spacing w:after="454"/>
        <w:ind w:left="24" w:right="50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Odběratel je povinn</w:t>
      </w:r>
      <w:r>
        <w:t>ým subjektem ve smyslu zákona č. 340/2015 Sb., o zvláštních podmínkách účinnosti některých smluv, uveřejňování těchto smluv a o registru smluv (zákon o registru smluv), ve znění pozdějších předpisů.</w:t>
      </w:r>
    </w:p>
    <w:p w:rsidR="00C85260" w:rsidRDefault="00741401">
      <w:pPr>
        <w:spacing w:after="8" w:line="250" w:lineRule="auto"/>
        <w:ind w:left="115" w:right="158" w:firstLine="1"/>
        <w:jc w:val="center"/>
      </w:pPr>
      <w:r>
        <w:rPr>
          <w:sz w:val="22"/>
        </w:rPr>
        <w:t>Způsob platby:</w:t>
      </w:r>
    </w:p>
    <w:p w:rsidR="00C85260" w:rsidRDefault="00741401">
      <w:pPr>
        <w:spacing w:after="48" w:line="224" w:lineRule="auto"/>
        <w:ind w:left="32" w:hanging="1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219456</wp:posOffset>
                </wp:positionH>
                <wp:positionV relativeFrom="page">
                  <wp:posOffset>118872</wp:posOffset>
                </wp:positionV>
                <wp:extent cx="1143000" cy="1019556"/>
                <wp:effectExtent l="0" t="0" r="0" b="0"/>
                <wp:wrapTopAndBottom/>
                <wp:docPr id="38502" name="Group 38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019556"/>
                          <a:chOff x="0" y="0"/>
                          <a:chExt cx="1143000" cy="1019556"/>
                        </a:xfrm>
                      </wpg:grpSpPr>
                      <pic:pic xmlns:pic="http://schemas.openxmlformats.org/drawingml/2006/picture">
                        <pic:nvPicPr>
                          <pic:cNvPr id="41519" name="Picture 415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84" cy="1019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1005840" y="169164"/>
                            <a:ext cx="182423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5260" w:rsidRDefault="0074140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502" style="width:90pt;height:80.28pt;position:absolute;mso-position-horizontal-relative:page;mso-position-horizontal:absolute;margin-left:17.28pt;mso-position-vertical-relative:page;margin-top:9.36pt;" coordsize="11430,10195">
                <v:shape id="Picture 41519" style="position:absolute;width:11292;height:10195;left:0;top:0;" filled="f">
                  <v:imagedata r:id="rId30"/>
                </v:shape>
                <v:rect id="Rectangle 36" style="position:absolute;width:1824;height:1641;left:10058;top:1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06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05156" cy="18288"/>
            <wp:effectExtent l="0" t="0" r="0" b="0"/>
            <wp:docPr id="41515" name="Picture 4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5" name="Picture 4151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příkazem k úhradě</w:t>
      </w:r>
      <w:r>
        <w:rPr>
          <w:noProof/>
        </w:rPr>
        <w:drawing>
          <wp:inline distT="0" distB="0" distL="0" distR="0">
            <wp:extent cx="370332" cy="22860"/>
            <wp:effectExtent l="0" t="0" r="0" b="0"/>
            <wp:docPr id="41517" name="Picture 4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7" name="Picture 4151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033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60" w:rsidRDefault="00741401">
      <w:pPr>
        <w:spacing w:after="232"/>
        <w:ind w:left="24" w:right="50"/>
      </w:pPr>
      <w:r>
        <w:t xml:space="preserve">Smluvní strany, dodavatel a odběratel, uzavírají ve smyslu ust. 76 zákona č. 458/2000 Sb. o podmínkách podnikání a výkonu státní správy v energetických odvětvích a změně některých zákonů (energetický zákon), ve znění pozdějších </w:t>
      </w:r>
      <w:r>
        <w:t>předpisů, tuto smlouvu.</w:t>
      </w:r>
    </w:p>
    <w:p w:rsidR="00C85260" w:rsidRDefault="00741401">
      <w:pPr>
        <w:spacing w:after="8" w:line="250" w:lineRule="auto"/>
        <w:ind w:left="115" w:right="158" w:firstLine="1"/>
        <w:jc w:val="center"/>
      </w:pPr>
      <w:r>
        <w:rPr>
          <w:sz w:val="22"/>
        </w:rPr>
        <w:t>Člán</w:t>
      </w:r>
      <w:r>
        <w:rPr>
          <w:sz w:val="22"/>
        </w:rPr>
        <w:t>ek 1.</w:t>
      </w:r>
    </w:p>
    <w:p w:rsidR="00C85260" w:rsidRDefault="00741401">
      <w:pPr>
        <w:spacing w:after="8" w:line="250" w:lineRule="auto"/>
        <w:ind w:left="115" w:right="158" w:firstLine="1"/>
        <w:jc w:val="center"/>
      </w:pPr>
      <w:r>
        <w:rPr>
          <w:sz w:val="22"/>
        </w:rPr>
        <w:t>Předmět smlouvy</w:t>
      </w:r>
    </w:p>
    <w:p w:rsidR="00C85260" w:rsidRDefault="00741401">
      <w:pPr>
        <w:ind w:left="24" w:right="50"/>
      </w:pPr>
      <w:r>
        <w:t>Dodavatel se na základě této smlouvy zavazuje odběrateli po smluvní dobu odběru řádně dodávat tepelnou energii a teplonosnou látku (médium) a odběratel se zavazuje od dodavatele řádně odebírat po smluvní dobu odběru tepelnou energii a</w:t>
      </w:r>
      <w:r>
        <w:t xml:space="preserve"> teplonosnou látku (médium) a za tuto dodávku platit cenu, to vše v souladu s touto smlouvou a „Dodacími podmínkami ke Smlouvě o dodávce tepelné energie” (dále jen Dodací podmínky), které v souladu se zákonem č. 458/2000 Sb. o podmínkách podnikání a výkonu</w:t>
      </w:r>
      <w:r>
        <w:t xml:space="preserve"> </w:t>
      </w:r>
      <w:r>
        <w:lastRenderedPageBreak/>
        <w:t>státní správy v energetických odvětvích a změně některých zákonů (energetický zákon), ve znění pozdějších předpisů, vydává dodavatel jako nedílnou součást této smlouvy.</w:t>
      </w:r>
    </w:p>
    <w:p w:rsidR="00C85260" w:rsidRDefault="00741401">
      <w:pPr>
        <w:spacing w:after="212"/>
        <w:ind w:left="24" w:right="50"/>
      </w:pPr>
      <w:r>
        <w:t>Dodavatel prohlašuje, že je na základě jemu udělených licencí, koncesí a živnostenskýc</w:t>
      </w:r>
      <w:r>
        <w:t>h listů oprávněn v rámci svého předmětu podnikání provozovat zdroje tepelné energie a dodávat tepelnou energii odběrateli za úplatu.</w:t>
      </w:r>
    </w:p>
    <w:p w:rsidR="00C85260" w:rsidRDefault="00741401">
      <w:pPr>
        <w:spacing w:after="442"/>
        <w:ind w:left="24" w:right="50"/>
      </w:pPr>
      <w:r>
        <w:t>Odběratel prohlašuje, že je oprávněn ke sjednání dodávek tepelné energie pro odběrná místa uvedená v této smlouvě.</w:t>
      </w:r>
    </w:p>
    <w:p w:rsidR="00C85260" w:rsidRDefault="00741401">
      <w:pPr>
        <w:spacing w:after="8" w:line="250" w:lineRule="auto"/>
        <w:ind w:left="115" w:right="108" w:firstLine="1"/>
        <w:jc w:val="center"/>
      </w:pPr>
      <w:r>
        <w:rPr>
          <w:sz w:val="22"/>
        </w:rPr>
        <w:t>Článek 1</w:t>
      </w:r>
      <w:r>
        <w:rPr>
          <w:sz w:val="22"/>
        </w:rPr>
        <w:t>1.</w:t>
      </w:r>
    </w:p>
    <w:p w:rsidR="00C85260" w:rsidRDefault="00741401">
      <w:pPr>
        <w:spacing w:after="8" w:line="250" w:lineRule="auto"/>
        <w:ind w:left="115" w:right="115" w:firstLine="1"/>
        <w:jc w:val="center"/>
      </w:pPr>
      <w:r>
        <w:rPr>
          <w:sz w:val="22"/>
        </w:rPr>
        <w:t>Doba plnění</w:t>
      </w:r>
    </w:p>
    <w:p w:rsidR="00C85260" w:rsidRDefault="00741401">
      <w:pPr>
        <w:spacing w:after="450"/>
        <w:ind w:left="24" w:right="50"/>
      </w:pPr>
      <w:r>
        <w:t>Dodávka tepelné energie bude realizována po celou dobu účinnosti této smlouvy.</w:t>
      </w:r>
    </w:p>
    <w:p w:rsidR="00C85260" w:rsidRDefault="00741401">
      <w:pPr>
        <w:spacing w:after="8" w:line="250" w:lineRule="auto"/>
        <w:ind w:left="115" w:right="72" w:firstLine="1"/>
        <w:jc w:val="center"/>
      </w:pPr>
      <w:r>
        <w:rPr>
          <w:sz w:val="22"/>
        </w:rPr>
        <w:t>Článek 111.</w:t>
      </w:r>
    </w:p>
    <w:p w:rsidR="00C85260" w:rsidRDefault="00741401">
      <w:pPr>
        <w:spacing w:after="8" w:line="250" w:lineRule="auto"/>
        <w:ind w:left="115" w:right="65" w:firstLine="1"/>
        <w:jc w:val="center"/>
      </w:pPr>
      <w:r>
        <w:rPr>
          <w:sz w:val="22"/>
        </w:rPr>
        <w:t>Objem dodávky</w:t>
      </w:r>
    </w:p>
    <w:p w:rsidR="00C85260" w:rsidRDefault="00741401">
      <w:pPr>
        <w:spacing w:after="473" w:line="224" w:lineRule="auto"/>
        <w:ind w:left="32" w:right="22" w:hanging="10"/>
        <w:jc w:val="center"/>
      </w:pPr>
      <w:r>
        <w:t>Dohodnutá výše dodávky a odběru tepla v GJ je uvedena v „Diagramu na dodávku a odběr tepla”, který je nedílnou součástí této smlouvv. Tento diagram se sjednává pro každé odběrné místo odběratele samostatně zpravidla najeden kalendářní rok.</w:t>
      </w:r>
    </w:p>
    <w:p w:rsidR="00C85260" w:rsidRDefault="00741401">
      <w:pPr>
        <w:spacing w:after="8" w:line="250" w:lineRule="auto"/>
        <w:ind w:left="115" w:right="130" w:firstLine="1"/>
        <w:jc w:val="center"/>
      </w:pPr>
      <w:r>
        <w:rPr>
          <w:sz w:val="22"/>
        </w:rPr>
        <w:t>Článek IV.</w:t>
      </w:r>
    </w:p>
    <w:p w:rsidR="00C85260" w:rsidRDefault="00741401">
      <w:pPr>
        <w:spacing w:after="8" w:line="250" w:lineRule="auto"/>
        <w:ind w:left="115" w:right="115" w:firstLine="1"/>
        <w:jc w:val="center"/>
      </w:pPr>
      <w:r>
        <w:rPr>
          <w:sz w:val="22"/>
        </w:rPr>
        <w:t>Místo</w:t>
      </w:r>
      <w:r>
        <w:rPr>
          <w:sz w:val="22"/>
        </w:rPr>
        <w:t xml:space="preserve"> plnění</w:t>
      </w:r>
    </w:p>
    <w:p w:rsidR="00C85260" w:rsidRDefault="00741401">
      <w:pPr>
        <w:spacing w:after="453"/>
        <w:ind w:left="24" w:right="50"/>
      </w:pPr>
      <w:r>
        <w:t>Místem plnění se rozumí místo, kde teplonosná látka přejde ze zařízení dodavatele do zařízení odběratele a je upřesněno v „Technických údajích k odběru”, které tvoří nedílnou součást této smlouvy pro každé odběrné místo odběratele samostatně. V mís</w:t>
      </w:r>
      <w:r>
        <w:t>tě plnění přechází tepelná energie z vlastnictví dodavatele do vlastnictví odběratele.</w:t>
      </w:r>
    </w:p>
    <w:p w:rsidR="00C85260" w:rsidRDefault="00741401">
      <w:pPr>
        <w:spacing w:after="8" w:line="250" w:lineRule="auto"/>
        <w:ind w:left="115" w:right="137" w:firstLine="1"/>
        <w:jc w:val="center"/>
      </w:pPr>
      <w:r>
        <w:rPr>
          <w:sz w:val="22"/>
        </w:rPr>
        <w:t>Článek V.</w:t>
      </w:r>
    </w:p>
    <w:p w:rsidR="00C85260" w:rsidRDefault="00741401">
      <w:pPr>
        <w:spacing w:after="8" w:line="250" w:lineRule="auto"/>
        <w:ind w:left="115" w:right="130" w:firstLine="1"/>
        <w:jc w:val="center"/>
      </w:pPr>
      <w:r>
        <w:rPr>
          <w:sz w:val="22"/>
        </w:rPr>
        <w:t>Cena tepelné energie a teplonosné látky</w:t>
      </w:r>
    </w:p>
    <w:p w:rsidR="00C85260" w:rsidRDefault="00741401">
      <w:pPr>
        <w:numPr>
          <w:ilvl w:val="0"/>
          <w:numId w:val="1"/>
        </w:numPr>
        <w:spacing w:after="220" w:line="224" w:lineRule="auto"/>
        <w:ind w:left="440" w:right="36" w:hanging="346"/>
      </w:pPr>
      <w:r>
        <w:t>Cena dodávané tepelné energie a teplonosné látky je sjednána v „Ujednání o ceně”, které tvoří nedílnou součást této sml</w:t>
      </w:r>
      <w:r>
        <w:t>ouvy, za podmínek blíže určených v Dodacích podmínkách, s platností zpravidla najeden kalendářní rok.</w:t>
      </w:r>
    </w:p>
    <w:p w:rsidR="00C85260" w:rsidRDefault="00741401">
      <w:pPr>
        <w:numPr>
          <w:ilvl w:val="0"/>
          <w:numId w:val="1"/>
        </w:numPr>
        <w:ind w:left="440" w:right="36" w:hanging="346"/>
      </w:pPr>
      <w:r>
        <w:t>Změna ceny za dodávku:</w:t>
      </w:r>
    </w:p>
    <w:p w:rsidR="00C85260" w:rsidRDefault="00741401">
      <w:pPr>
        <w:ind w:left="536" w:right="50"/>
      </w:pPr>
      <w:r>
        <w:rPr>
          <w:noProof/>
        </w:rPr>
        <w:drawing>
          <wp:inline distT="0" distB="0" distL="0" distR="0">
            <wp:extent cx="64008" cy="86868"/>
            <wp:effectExtent l="0" t="0" r="0" b="0"/>
            <wp:docPr id="41521" name="Picture 4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1" name="Picture 4152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Pokud dojde ke změně cen tepelné energie, dodavatel oznámí odběrateli nové ceny bezodkladně.</w:t>
      </w:r>
    </w:p>
    <w:p w:rsidR="00C85260" w:rsidRDefault="00741401">
      <w:pPr>
        <w:numPr>
          <w:ilvl w:val="1"/>
          <w:numId w:val="1"/>
        </w:numPr>
        <w:ind w:right="50" w:hanging="338"/>
      </w:pPr>
      <w:r>
        <w:t>V případě, že odběratel neakceptuje novou oznámenou cenu, je povinen tuto skutečnost písemně oznámit a doručit dodavateli do 15. dne v měsíci uplatnění nové ceny (tj. v prvním měsíci účinnosti nové ceny), s odůvodněním, v čem považuje novou cenu za neopráv</w:t>
      </w:r>
      <w:r>
        <w:t>něnou. Nedojde-li takové oznámení dodavateli do uvedeného data, má se cena oznámená dodavatelem za sjednanou k 1. dni v měsíci uplatnění změny.</w:t>
      </w:r>
    </w:p>
    <w:p w:rsidR="00C85260" w:rsidRDefault="00741401">
      <w:pPr>
        <w:numPr>
          <w:ilvl w:val="1"/>
          <w:numId w:val="1"/>
        </w:numPr>
        <w:ind w:right="50" w:hanging="338"/>
      </w:pPr>
      <w:r>
        <w:t>Oznámí-li odběratel dodavateli, že neakceptuje oznámenou cenu dle čl. V písm. b) bodu 2 této smlouvy, a nedojde-</w:t>
      </w:r>
      <w:r>
        <w:t>li k dohodě o ceně do 30 dnů od data takového oznámení, je odběratel oprávněn podat návrh na rozhodnutí o ceně dotčenému orgánu státní správy.</w:t>
      </w:r>
    </w:p>
    <w:p w:rsidR="00C85260" w:rsidRDefault="00741401">
      <w:pPr>
        <w:numPr>
          <w:ilvl w:val="1"/>
          <w:numId w:val="1"/>
        </w:numPr>
        <w:ind w:right="50" w:hanging="338"/>
      </w:pPr>
      <w:r>
        <w:t>Do doby vydání pravomocného rozhodnutí o ceně je odběratel povinen platit novou cenu ve výši dodavatelem oznámené</w:t>
      </w:r>
      <w:r>
        <w:t>, a to za období počínaje 1. dnem v měsíci uplatnění změny. V případě rozhodnutí o ceně jiné, jsou strany povinny provést vzájemné vyrovnání pohledávek, a to do 15 dnů od data doručení pravomocného rozhodnutí o ceně dodavateli. Rozhodnutím o ceně (event. z</w:t>
      </w:r>
      <w:r>
        <w:t>amítnutím návrhu) se má cena za sjednanou.</w:t>
      </w:r>
    </w:p>
    <w:p w:rsidR="00C85260" w:rsidRDefault="00741401">
      <w:pPr>
        <w:numPr>
          <w:ilvl w:val="1"/>
          <w:numId w:val="1"/>
        </w:numPr>
        <w:spacing w:after="439"/>
        <w:ind w:right="50" w:hanging="338"/>
      </w:pPr>
      <w:r>
        <w:t>Je-li dodavatelem v rámci dodávky teplé vody (TV) dodávána i studená voda pro její přípravu, pak dodavatel uplatní vůči odběrateli ceny vodného a stočného tak, jak jsou stanoveny společností dodávající vodu dodava</w:t>
      </w:r>
      <w:r>
        <w:t>teli v příslušném vyúčtovacím období.</w:t>
      </w:r>
    </w:p>
    <w:p w:rsidR="00C85260" w:rsidRDefault="00741401">
      <w:pPr>
        <w:spacing w:after="8" w:line="250" w:lineRule="auto"/>
        <w:ind w:left="115" w:right="166" w:firstLine="1"/>
        <w:jc w:val="center"/>
      </w:pPr>
      <w:r>
        <w:rPr>
          <w:sz w:val="22"/>
        </w:rPr>
        <w:t>Článek Vl.</w:t>
      </w:r>
    </w:p>
    <w:p w:rsidR="00C85260" w:rsidRDefault="00741401">
      <w:pPr>
        <w:spacing w:after="8" w:line="250" w:lineRule="auto"/>
        <w:ind w:left="115" w:right="166" w:firstLine="1"/>
        <w:jc w:val="center"/>
      </w:pPr>
      <w:r>
        <w:rPr>
          <w:sz w:val="22"/>
        </w:rPr>
        <w:t>Doba platnosti</w:t>
      </w:r>
    </w:p>
    <w:p w:rsidR="00C85260" w:rsidRDefault="00741401">
      <w:pPr>
        <w:ind w:left="24" w:right="50"/>
      </w:pPr>
      <w:r>
        <w:t>Tato smlouva se uzavírá na dobu neurčitou. Smlouva může být vypovězena kteroukoli smluvní stranou bez uvedení důvodu s výpovědní dobou v délce Šesti kalendářních měsíců, která počne běžet prvn</w:t>
      </w:r>
      <w:r>
        <w:t>ím dnem měsíce následujícího po měsíci doručení výpovědi druhé smluvní straně.</w:t>
      </w:r>
    </w:p>
    <w:p w:rsidR="00C85260" w:rsidRDefault="00741401">
      <w:pPr>
        <w:spacing w:after="8" w:line="250" w:lineRule="auto"/>
        <w:ind w:left="115" w:firstLine="1"/>
        <w:jc w:val="center"/>
      </w:pPr>
      <w:r>
        <w:rPr>
          <w:sz w:val="22"/>
        </w:rPr>
        <w:lastRenderedPageBreak/>
        <w:t>Článek VII.</w:t>
      </w:r>
    </w:p>
    <w:p w:rsidR="00C85260" w:rsidRDefault="00741401">
      <w:pPr>
        <w:spacing w:after="24" w:line="216" w:lineRule="auto"/>
        <w:ind w:left="94" w:right="2765" w:firstLine="3391"/>
        <w:jc w:val="left"/>
      </w:pPr>
      <w:r>
        <w:rPr>
          <w:sz w:val="22"/>
        </w:rPr>
        <w:t>Ukončení platnosti smlouvy Platnost této smlouvy zaniká:</w:t>
      </w:r>
    </w:p>
    <w:p w:rsidR="00C85260" w:rsidRDefault="00741401">
      <w:pPr>
        <w:numPr>
          <w:ilvl w:val="0"/>
          <w:numId w:val="2"/>
        </w:numPr>
        <w:ind w:right="50" w:hanging="245"/>
      </w:pPr>
      <w:r>
        <w:t>uplynutím výpovědní doby dle článku VI. této smlouvy,</w:t>
      </w:r>
    </w:p>
    <w:p w:rsidR="00C85260" w:rsidRDefault="00741401">
      <w:pPr>
        <w:numPr>
          <w:ilvl w:val="0"/>
          <w:numId w:val="2"/>
        </w:numPr>
        <w:ind w:right="50" w:hanging="245"/>
      </w:pPr>
      <w:r>
        <w:t>na základě písemné dohodv obou smluvních stran; tato d</w:t>
      </w:r>
      <w:r>
        <w:t>ohoda musí obsahovat termíny a okolnosti, za kterých bude smluvní vztah ukončen,</w:t>
      </w:r>
    </w:p>
    <w:p w:rsidR="00C85260" w:rsidRDefault="00741401">
      <w:pPr>
        <w:numPr>
          <w:ilvl w:val="0"/>
          <w:numId w:val="2"/>
        </w:numPr>
        <w:ind w:right="50" w:hanging="245"/>
      </w:pPr>
      <w:r>
        <w:t>uzavřením nové písemné smlouvv za podmínek blíže specifikovaných v Dodacích podmínkách,</w:t>
      </w:r>
    </w:p>
    <w:p w:rsidR="00C85260" w:rsidRDefault="00741401">
      <w:pPr>
        <w:numPr>
          <w:ilvl w:val="0"/>
          <w:numId w:val="2"/>
        </w:numPr>
        <w:spacing w:after="173" w:line="259" w:lineRule="auto"/>
        <w:ind w:right="50" w:hanging="245"/>
      </w:pPr>
      <w:r>
        <w:rPr>
          <w:sz w:val="20"/>
        </w:rPr>
        <w:t>zánikem smluvní strany bez právního nástupce.</w:t>
      </w:r>
    </w:p>
    <w:p w:rsidR="00C85260" w:rsidRDefault="00741401">
      <w:pPr>
        <w:spacing w:after="908"/>
        <w:ind w:left="24" w:right="50"/>
      </w:pPr>
      <w:r>
        <w:t>Smluvní strany se dohodly, že dojde-li k odstoupení od této smlouvy v souladu se zákonem, pak se smlouva zruší s účinky do budoucna (ex nunc).</w:t>
      </w:r>
    </w:p>
    <w:p w:rsidR="00C85260" w:rsidRDefault="00741401">
      <w:pPr>
        <w:spacing w:after="8" w:line="250" w:lineRule="auto"/>
        <w:ind w:left="115" w:right="50" w:firstLine="1"/>
        <w:jc w:val="center"/>
      </w:pPr>
      <w:r>
        <w:rPr>
          <w:sz w:val="22"/>
        </w:rPr>
        <w:t>Článek VIII.</w:t>
      </w:r>
    </w:p>
    <w:p w:rsidR="00C85260" w:rsidRDefault="00741401">
      <w:pPr>
        <w:spacing w:after="8" w:line="250" w:lineRule="auto"/>
        <w:ind w:left="115" w:right="43" w:firstLine="1"/>
        <w:jc w:val="center"/>
      </w:pPr>
      <w:r>
        <w:rPr>
          <w:sz w:val="22"/>
        </w:rPr>
        <w:t>Fakturace a platební podmínky</w:t>
      </w:r>
    </w:p>
    <w:p w:rsidR="00C85260" w:rsidRDefault="00741401">
      <w:pPr>
        <w:numPr>
          <w:ilvl w:val="0"/>
          <w:numId w:val="3"/>
        </w:numPr>
        <w:spacing w:after="226"/>
        <w:ind w:right="50" w:hanging="274"/>
      </w:pPr>
      <w:r>
        <w:t>Množství dodané a odebrané tepelné energie a nevráceného kondenzátu do</w:t>
      </w:r>
      <w:r>
        <w:t xml:space="preserve">davatel vyhodnocuje, fakturuje a odběratel platí vždv za bezprostředně předcházej ící kalendářní měsíc. Platbu za tepelný výkon ve složeném tarifu odběratel hradí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281" name="Picture 8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" name="Picture 828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měsíčně ve výši jedné dvanáctiny roční sazby.</w:t>
      </w:r>
    </w:p>
    <w:p w:rsidR="00C85260" w:rsidRDefault="00741401">
      <w:pPr>
        <w:numPr>
          <w:ilvl w:val="0"/>
          <w:numId w:val="3"/>
        </w:numPr>
        <w:ind w:right="50" w:hanging="274"/>
      </w:pPr>
      <w:r>
        <w:t>Strany se dohodly, že v průběhu měsíce odběrat</w:t>
      </w:r>
      <w:r>
        <w:t>el platí jednu nebo více záloh na odebranou tepelnou energii v souladu s uzavřenou Dohodou o poskytování záloh, která je nedílnou součástí této smlouvy. Dohoda se uzavírá dle čl. X. bod</w:t>
      </w:r>
    </w:p>
    <w:p w:rsidR="00C85260" w:rsidRDefault="00741401">
      <w:pPr>
        <w:ind w:left="327" w:right="50"/>
      </w:pPr>
      <w:r>
        <w:t>23. Dodacích podmínek a je v ní uvedena konkrétní výše a termíny splat</w:t>
      </w:r>
      <w:r>
        <w:t>nosti záloh.</w:t>
      </w:r>
    </w:p>
    <w:p w:rsidR="00C85260" w:rsidRDefault="00741401">
      <w:pPr>
        <w:spacing w:after="239" w:line="259" w:lineRule="auto"/>
        <w:ind w:left="6660" w:firstLine="0"/>
        <w:jc w:val="left"/>
      </w:pPr>
      <w:r>
        <w:rPr>
          <w:noProof/>
        </w:rPr>
        <w:drawing>
          <wp:inline distT="0" distB="0" distL="0" distR="0">
            <wp:extent cx="4573" cy="4572"/>
            <wp:effectExtent l="0" t="0" r="0" b="0"/>
            <wp:docPr id="8282" name="Picture 8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" name="Picture 828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60" w:rsidRDefault="00741401">
      <w:pPr>
        <w:numPr>
          <w:ilvl w:val="0"/>
          <w:numId w:val="3"/>
        </w:numPr>
        <w:spacing w:after="0" w:line="259" w:lineRule="auto"/>
        <w:ind w:right="50" w:hanging="274"/>
      </w:pPr>
      <w:r>
        <w:rPr>
          <w:sz w:val="20"/>
        </w:rPr>
        <w:t>Fakturace</w:t>
      </w:r>
    </w:p>
    <w:p w:rsidR="00C85260" w:rsidRDefault="00741401">
      <w:pPr>
        <w:spacing w:after="208"/>
        <w:ind w:left="720" w:right="50" w:hanging="382"/>
      </w:pPr>
      <w:r>
        <w:rPr>
          <w:noProof/>
        </w:rPr>
        <w:drawing>
          <wp:inline distT="0" distB="0" distL="0" distR="0">
            <wp:extent cx="68580" cy="86868"/>
            <wp:effectExtent l="0" t="0" r="0" b="0"/>
            <wp:docPr id="41524" name="Picture 41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4" name="Picture 4152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Dodavatel vystaví daňový doklad (fakturu) za tepelnou energii, nevrácený kondenzát a za tepelný výkon za každý kalendářní měsíc a odešle do patnáctého kalendářního dne měsíce bezprostředně následujícího.</w:t>
      </w:r>
    </w:p>
    <w:p w:rsidR="00C85260" w:rsidRDefault="00741401">
      <w:pPr>
        <w:numPr>
          <w:ilvl w:val="1"/>
          <w:numId w:val="4"/>
        </w:numPr>
        <w:spacing w:after="265"/>
        <w:ind w:left="705" w:right="50" w:hanging="410"/>
      </w:pPr>
      <w:r>
        <w:t>Faktury jsou vystavovány na všechna odběrná místa odběratele, přičemž jejich součet za odběratele je uveden v soupisu faktur — daňovém dokladu.</w:t>
      </w:r>
    </w:p>
    <w:p w:rsidR="00C85260" w:rsidRDefault="00741401">
      <w:pPr>
        <w:numPr>
          <w:ilvl w:val="1"/>
          <w:numId w:val="4"/>
        </w:numPr>
        <w:spacing w:after="255"/>
        <w:ind w:left="705" w:right="50" w:hanging="410"/>
      </w:pPr>
      <w:r>
        <w:t>Faktury jsou vystavovány na všechna odběrná místa odběratele, přičemž jejich součet za odběratele je uveden v so</w:t>
      </w:r>
      <w:r>
        <w:t>upisu faktur — daňovém dokladu. Faktura bude splňovat všechny náležitosti daňového dokladu dle zákona č. 235/2004 Sb., o dani z přidané hodnoty, ve znění pozdějších předpisů.</w:t>
      </w:r>
    </w:p>
    <w:p w:rsidR="00C85260" w:rsidRDefault="00741401">
      <w:pPr>
        <w:numPr>
          <w:ilvl w:val="1"/>
          <w:numId w:val="4"/>
        </w:numPr>
        <w:spacing w:after="251"/>
        <w:ind w:left="705" w:right="50" w:hanging="410"/>
      </w:pPr>
      <w:r>
        <w:t>Odběratel v souladu s ust. ss 26, odst. 3 zákona č. 235/2004 Sb., o dani z přidan</w:t>
      </w:r>
      <w:r>
        <w:t>é hodnoty v platném znění souhlasí s použitím daňových dokladů v elektronické, resp. datové podobě a s jejich zasíláním na emailovou adresu, uvedenou v úvodu této smlouvy. Změnu emailové adresy může odběratel provést jednostranně, a to pouze písemně.</w:t>
      </w:r>
    </w:p>
    <w:p w:rsidR="00C85260" w:rsidRDefault="00741401">
      <w:pPr>
        <w:numPr>
          <w:ilvl w:val="1"/>
          <w:numId w:val="4"/>
        </w:numPr>
        <w:spacing w:after="211"/>
        <w:ind w:left="705" w:right="50" w:hanging="410"/>
      </w:pPr>
      <w:r>
        <w:t>Všech</w:t>
      </w:r>
      <w:r>
        <w:t>ny platby se považují za zaplacené připsáním na účet dodavatele.</w:t>
      </w:r>
    </w:p>
    <w:p w:rsidR="00C85260" w:rsidRDefault="00741401">
      <w:pPr>
        <w:numPr>
          <w:ilvl w:val="1"/>
          <w:numId w:val="4"/>
        </w:numPr>
        <w:spacing w:after="275"/>
        <w:ind w:left="705" w:right="50" w:hanging="410"/>
      </w:pPr>
      <w:r>
        <w:t>Ve fakturách bude odečtena skutečně zaplacená výše záloh.</w:t>
      </w:r>
    </w:p>
    <w:p w:rsidR="00C85260" w:rsidRDefault="00741401">
      <w:pPr>
        <w:numPr>
          <w:ilvl w:val="1"/>
          <w:numId w:val="4"/>
        </w:numPr>
        <w:spacing w:after="200"/>
        <w:ind w:left="705" w:right="50" w:hanging="410"/>
      </w:pPr>
      <w:r>
        <w:t>Faktury, vykazující za příslušný kalendářní měsíc po odečtení zaplacených záloh nedoplatek, jsou splatné do čtrnácti dnů ode dne odes</w:t>
      </w:r>
      <w:r>
        <w:t>lání.</w:t>
      </w:r>
    </w:p>
    <w:p w:rsidR="00C85260" w:rsidRDefault="00741401">
      <w:pPr>
        <w:numPr>
          <w:ilvl w:val="1"/>
          <w:numId w:val="4"/>
        </w:numPr>
        <w:spacing w:after="208"/>
        <w:ind w:left="705" w:right="50" w:hanging="410"/>
      </w:pPr>
      <w:r>
        <w:t>Faktury, vykazující za příslušný kalendářní měsíc po odečtení zaplacených záloh přeplatek, jsou splatné do čtrnácti dnů ode dne odeslání.</w:t>
      </w:r>
    </w:p>
    <w:p w:rsidR="00C85260" w:rsidRDefault="00741401">
      <w:pPr>
        <w:numPr>
          <w:ilvl w:val="1"/>
          <w:numId w:val="4"/>
        </w:numPr>
        <w:spacing w:after="168"/>
        <w:ind w:left="705" w:right="50" w:hanging="410"/>
      </w:pPr>
      <w:r>
        <w:t xml:space="preserve">V případě, že dodavatel má vůči odběrateli pohledávku, je dodavatel oprávněn přeplatek dle bodu 8 tohoto článku </w:t>
      </w:r>
      <w:r>
        <w:t>smlouvy jednostranně započíst s pohledávkou, kterou má za odběratelem.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8285" name="Picture 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" name="Picture 828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60" w:rsidRDefault="00741401">
      <w:pPr>
        <w:spacing w:after="242"/>
        <w:ind w:left="691" w:right="50" w:hanging="403"/>
      </w:pPr>
      <w:r>
        <w:rPr>
          <w:noProof/>
        </w:rPr>
        <w:lastRenderedPageBreak/>
        <w:drawing>
          <wp:inline distT="0" distB="0" distL="0" distR="0">
            <wp:extent cx="4572" cy="4573"/>
            <wp:effectExtent l="0" t="0" r="0" b="0"/>
            <wp:docPr id="8286" name="Picture 8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" name="Picture 828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IO. Pokud se smluvní strany dohodly na inkasním způsobu placení, pak je odběratel povinen zajistit povolení inkasa ze svého bankovního účtu ve prospěch účtu dodavatele a to nejpozději</w:t>
      </w:r>
      <w:r>
        <w:t xml:space="preserve"> k datu uzavření smlouvy.</w:t>
      </w:r>
    </w:p>
    <w:p w:rsidR="00C85260" w:rsidRDefault="00741401">
      <w:pPr>
        <w:ind w:left="305" w:right="50"/>
      </w:pPr>
      <w:r>
        <w:t>II. Změna bankovního spojení smluvních partnerů musí být oznámena písemně.</w:t>
      </w:r>
    </w:p>
    <w:p w:rsidR="00C85260" w:rsidRDefault="00C85260">
      <w:pPr>
        <w:sectPr w:rsidR="00C85260">
          <w:type w:val="continuous"/>
          <w:pgSz w:w="11902" w:h="16834"/>
          <w:pgMar w:top="2084" w:right="1440" w:bottom="2327" w:left="1159" w:header="708" w:footer="708" w:gutter="0"/>
          <w:cols w:space="708"/>
        </w:sectPr>
      </w:pPr>
    </w:p>
    <w:p w:rsidR="00C85260" w:rsidRDefault="00741401">
      <w:pPr>
        <w:numPr>
          <w:ilvl w:val="1"/>
          <w:numId w:val="5"/>
        </w:numPr>
        <w:spacing w:after="139"/>
        <w:ind w:right="50" w:hanging="382"/>
      </w:pPr>
      <w:r>
        <w:lastRenderedPageBreak/>
        <w:t>Způsob platby faktur a záloh. uvedený v této smlouvě na straně l, lze změnit písemným oznámením.</w:t>
      </w:r>
    </w:p>
    <w:p w:rsidR="00C85260" w:rsidRDefault="00741401">
      <w:pPr>
        <w:numPr>
          <w:ilvl w:val="1"/>
          <w:numId w:val="5"/>
        </w:numPr>
        <w:spacing w:after="192"/>
        <w:ind w:right="50" w:hanging="382"/>
      </w:pPr>
      <w:r>
        <w:t xml:space="preserve">V případech, kdy je s odběratelem sjednána cena tepla ve složené sazbě, fakturuje dodavatel měsíčně jednu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331" name="Picture 11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" name="Picture 1133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dvanáctinu roční sazby za sjednaný tepelný výkon a to i mimo otopné období, v období, kdv je odběrateli přerušena dodávka tepla z důvodu neplacení fa</w:t>
      </w:r>
      <w:r>
        <w:t>ktur za odebrané teplo nebo z jiných důvodů na straně odběratele.</w:t>
      </w:r>
    </w:p>
    <w:p w:rsidR="00C85260" w:rsidRDefault="00741401">
      <w:pPr>
        <w:numPr>
          <w:ilvl w:val="1"/>
          <w:numId w:val="5"/>
        </w:numPr>
        <w:spacing w:after="237"/>
        <w:ind w:right="50" w:hanging="382"/>
      </w:pPr>
      <w:r>
        <w:t>Veškeré platby přijaté dodavatelem od odběratele je dodavatel bez ohledu na identifikaci platby odběratelem oprávněn použít nejprve ke krytí příslušenství dluhu, zůstatek pak k úhradě nejsta</w:t>
      </w:r>
      <w:r>
        <w:t>rší splatné pohledávky.</w:t>
      </w:r>
    </w:p>
    <w:p w:rsidR="00C85260" w:rsidRDefault="00741401">
      <w:pPr>
        <w:numPr>
          <w:ilvl w:val="0"/>
          <w:numId w:val="3"/>
        </w:numPr>
        <w:spacing w:after="205"/>
        <w:ind w:right="50" w:hanging="274"/>
      </w:pPr>
      <w:r>
        <w:t>Odběratel je oprávněn před uplynutím doby splatnosti vrátit bez zaplacení fakturu, která neobsahuje některou z náležitosti dle odstavce c) nebo při reklamaci správnosti fakturované částkv. K vrácené faktuře musí být přiloženo písemn</w:t>
      </w:r>
      <w:r>
        <w:t>é zdůvodnění vrácení faktury.</w:t>
      </w:r>
    </w:p>
    <w:p w:rsidR="00C85260" w:rsidRDefault="00741401">
      <w:pPr>
        <w:numPr>
          <w:ilvl w:val="0"/>
          <w:numId w:val="3"/>
        </w:numPr>
        <w:spacing w:after="231"/>
        <w:ind w:right="50" w:hanging="274"/>
      </w:pPr>
      <w:r>
        <w:t>Případné nároky z reklamace dodávky tepelné energie nemají vliv na povinnost odběratele platit zálohy a vyúčtování za dodávku tepelné energie.</w:t>
      </w:r>
    </w:p>
    <w:p w:rsidR="00C85260" w:rsidRDefault="00741401">
      <w:pPr>
        <w:numPr>
          <w:ilvl w:val="0"/>
          <w:numId w:val="3"/>
        </w:numPr>
        <w:spacing w:after="438"/>
        <w:ind w:right="50" w:hanging="274"/>
      </w:pPr>
      <w:r>
        <w:t>Odběratel je oprávněn písemně reklamovat bez zbytečného odkladu, nejpozději však ve</w:t>
      </w:r>
      <w:r>
        <w:t xml:space="preserve"> lhůtě do jednoho roku od provedení úhrady, ty faktury, které byly proplaceny neoprávněně.</w:t>
      </w:r>
    </w:p>
    <w:p w:rsidR="00C85260" w:rsidRDefault="00741401">
      <w:pPr>
        <w:spacing w:after="8" w:line="250" w:lineRule="auto"/>
        <w:ind w:left="115" w:right="130" w:firstLine="1"/>
        <w:jc w:val="center"/>
      </w:pPr>
      <w:r>
        <w:rPr>
          <w:sz w:val="22"/>
        </w:rPr>
        <w:t>Článek IX.</w:t>
      </w:r>
    </w:p>
    <w:p w:rsidR="00C85260" w:rsidRDefault="00741401">
      <w:pPr>
        <w:spacing w:after="8" w:line="250" w:lineRule="auto"/>
        <w:ind w:left="115" w:right="115" w:firstLine="1"/>
        <w:jc w:val="center"/>
      </w:pPr>
      <w:r>
        <w:rPr>
          <w:sz w:val="22"/>
        </w:rPr>
        <w:t>Nedílné součásti smlouvy</w:t>
      </w:r>
    </w:p>
    <w:p w:rsidR="00C85260" w:rsidRDefault="00741401">
      <w:pPr>
        <w:numPr>
          <w:ilvl w:val="0"/>
          <w:numId w:val="6"/>
        </w:numPr>
        <w:ind w:right="50" w:hanging="410"/>
      </w:pPr>
      <w:r>
        <w:t>Cásti smlouvy, uzavírané pro každé odběrné místo samostatně:</w:t>
      </w:r>
    </w:p>
    <w:p w:rsidR="00C85260" w:rsidRDefault="00741401">
      <w:pPr>
        <w:numPr>
          <w:ilvl w:val="1"/>
          <w:numId w:val="6"/>
        </w:numPr>
        <w:ind w:right="50" w:hanging="274"/>
      </w:pPr>
      <w:r>
        <w:t>Přihláška k odběru tepla</w:t>
      </w:r>
    </w:p>
    <w:p w:rsidR="00C85260" w:rsidRDefault="00741401">
      <w:pPr>
        <w:numPr>
          <w:ilvl w:val="1"/>
          <w:numId w:val="6"/>
        </w:numPr>
        <w:ind w:right="50" w:hanging="274"/>
      </w:pPr>
      <w:r>
        <w:t>Technické údaje k odběru</w:t>
      </w:r>
    </w:p>
    <w:p w:rsidR="00C85260" w:rsidRDefault="00741401">
      <w:pPr>
        <w:numPr>
          <w:ilvl w:val="1"/>
          <w:numId w:val="6"/>
        </w:numPr>
        <w:ind w:right="50" w:hanging="274"/>
      </w:pPr>
      <w:r>
        <w:t>Diagram na dodávku a odběr tepla</w:t>
      </w:r>
    </w:p>
    <w:p w:rsidR="00C85260" w:rsidRDefault="00741401">
      <w:pPr>
        <w:numPr>
          <w:ilvl w:val="1"/>
          <w:numId w:val="6"/>
        </w:numPr>
        <w:ind w:right="50" w:hanging="274"/>
      </w:pPr>
      <w:r>
        <w:t>Regulační plán odběru tepla</w:t>
      </w:r>
    </w:p>
    <w:p w:rsidR="00C85260" w:rsidRDefault="00741401">
      <w:pPr>
        <w:spacing w:after="222"/>
        <w:ind w:left="435" w:right="50"/>
      </w:pPr>
      <w:r>
        <w:t>Obsah, perioda a postup sjednávání těchto částí smlouvy je upřesněn v Dodacích podmínkách.</w:t>
      </w:r>
    </w:p>
    <w:p w:rsidR="00C85260" w:rsidRDefault="00741401">
      <w:pPr>
        <w:numPr>
          <w:ilvl w:val="0"/>
          <w:numId w:val="6"/>
        </w:numPr>
        <w:ind w:right="50" w:hanging="410"/>
      </w:pPr>
      <w:r>
        <w:t>Cásti smlouvy, sjednávané periodicky pro všechna odběrná místa souhrnně:</w:t>
      </w:r>
    </w:p>
    <w:p w:rsidR="00C85260" w:rsidRDefault="00741401">
      <w:pPr>
        <w:numPr>
          <w:ilvl w:val="1"/>
          <w:numId w:val="6"/>
        </w:numPr>
        <w:ind w:right="50" w:hanging="274"/>
      </w:pPr>
      <w:r>
        <w:t>Ujednání o ceně</w:t>
      </w:r>
    </w:p>
    <w:p w:rsidR="00C85260" w:rsidRDefault="00741401">
      <w:pPr>
        <w:numPr>
          <w:ilvl w:val="1"/>
          <w:numId w:val="6"/>
        </w:numPr>
        <w:ind w:right="50" w:hanging="274"/>
      </w:pPr>
      <w:r>
        <w:t>Dohoda o poskyt</w:t>
      </w:r>
      <w:r>
        <w:t>ování záloh za odběr tepelné energie</w:t>
      </w:r>
    </w:p>
    <w:p w:rsidR="00C85260" w:rsidRDefault="00741401">
      <w:pPr>
        <w:ind w:left="435" w:right="50"/>
      </w:pPr>
      <w:r>
        <w:t>Obsah, perioda a postup sjednávání těchto částí smlouvy je upřesněn v ''Dodacích podmínkách”.</w:t>
      </w:r>
    </w:p>
    <w:p w:rsidR="00C85260" w:rsidRDefault="00741401">
      <w:pPr>
        <w:numPr>
          <w:ilvl w:val="0"/>
          <w:numId w:val="6"/>
        </w:numPr>
        <w:spacing w:after="113"/>
        <w:ind w:right="50" w:hanging="410"/>
      </w:pPr>
      <w:r>
        <w:t>Seznam odběrných míst, k nimž se vztahuje smlouva.</w:t>
      </w:r>
    </w:p>
    <w:p w:rsidR="00C85260" w:rsidRDefault="00741401">
      <w:pPr>
        <w:numPr>
          <w:ilvl w:val="0"/>
          <w:numId w:val="6"/>
        </w:numPr>
        <w:spacing w:after="461"/>
        <w:ind w:right="50" w:hanging="410"/>
      </w:pPr>
      <w:r>
        <w:t>Dodací podmínky ke Smlouvě o dodávce tepelné energie.</w:t>
      </w:r>
    </w:p>
    <w:p w:rsidR="00C85260" w:rsidRDefault="00741401">
      <w:pPr>
        <w:spacing w:after="8" w:line="250" w:lineRule="auto"/>
        <w:ind w:left="115" w:right="158" w:firstLine="1"/>
        <w:jc w:val="center"/>
      </w:pPr>
      <w:r>
        <w:rPr>
          <w:sz w:val="22"/>
        </w:rPr>
        <w:t>Clánek X.</w:t>
      </w:r>
    </w:p>
    <w:p w:rsidR="00C85260" w:rsidRDefault="00741401">
      <w:pPr>
        <w:spacing w:after="8" w:line="250" w:lineRule="auto"/>
        <w:ind w:left="115" w:right="151" w:firstLine="1"/>
        <w:jc w:val="center"/>
      </w:pPr>
      <w:r>
        <w:rPr>
          <w:sz w:val="22"/>
        </w:rPr>
        <w:t>Odběrná místa</w:t>
      </w:r>
    </w:p>
    <w:p w:rsidR="00C85260" w:rsidRDefault="00741401">
      <w:pPr>
        <w:spacing w:after="445"/>
        <w:ind w:left="24" w:right="50"/>
      </w:pPr>
      <w:r>
        <w:t>Tato smlouva platí pro všechna odběrná místa odběratele uvedená v Seznamu odběrných míst (Příloha č. 1), který je dle čl. IX. písm. c) nedílnou součástí této smlouvy.</w:t>
      </w:r>
    </w:p>
    <w:p w:rsidR="00C85260" w:rsidRDefault="00741401">
      <w:pPr>
        <w:spacing w:after="8" w:line="250" w:lineRule="auto"/>
        <w:ind w:left="115" w:right="173" w:firstLine="1"/>
        <w:jc w:val="center"/>
      </w:pPr>
      <w:r>
        <w:rPr>
          <w:sz w:val="22"/>
        </w:rPr>
        <w:t>Článek XI.</w:t>
      </w:r>
    </w:p>
    <w:p w:rsidR="00C85260" w:rsidRDefault="00741401">
      <w:pPr>
        <w:spacing w:after="8" w:line="250" w:lineRule="auto"/>
        <w:ind w:left="115" w:right="166" w:firstLine="1"/>
        <w:jc w:val="center"/>
      </w:pPr>
      <w:r>
        <w:rPr>
          <w:sz w:val="22"/>
        </w:rPr>
        <w:t>Následky porušení smluvních vztahů</w:t>
      </w:r>
    </w:p>
    <w:p w:rsidR="00C85260" w:rsidRDefault="00741401">
      <w:pPr>
        <w:numPr>
          <w:ilvl w:val="0"/>
          <w:numId w:val="7"/>
        </w:numPr>
        <w:spacing w:after="239"/>
        <w:ind w:right="50" w:hanging="410"/>
      </w:pPr>
      <w:r>
        <w:t>V případě prodlení se zaplacením jakýchkoliv peněžních závazků odběratele vůči dodavateli vyplývajících z této smlouvy, se odběratel zavazuje zaplatit dodavateli smluvní pokutu za dobu prodlení se zaplacením ve výši 0,05 % z dlužné částky za každý i započa</w:t>
      </w:r>
      <w:r>
        <w:t>tý den prodlení.</w:t>
      </w:r>
    </w:p>
    <w:p w:rsidR="00C85260" w:rsidRDefault="00741401">
      <w:pPr>
        <w:numPr>
          <w:ilvl w:val="0"/>
          <w:numId w:val="7"/>
        </w:numPr>
        <w:ind w:right="50" w:hanging="410"/>
      </w:pPr>
      <w:r>
        <w:t>Není-li uvedeno jinak, je smluvní pokuta splatná do 14 dnů od doručení písemné výzvy k jejímu zaplacení. Zaplacením smluvní pokuty nezaniká nárok dodavatele jako věřitele na úrok z prodlení dle ustanovení 1970 zákona</w:t>
      </w:r>
    </w:p>
    <w:p w:rsidR="00C85260" w:rsidRDefault="00741401">
      <w:pPr>
        <w:spacing w:after="220"/>
        <w:ind w:left="421" w:right="50"/>
      </w:pPr>
      <w:r>
        <w:t>č. 89/2012 Sb., občans</w:t>
      </w:r>
      <w:r>
        <w:t>ký zákoník, ve znění pozdějších předpisů.</w:t>
      </w:r>
    </w:p>
    <w:p w:rsidR="00C85260" w:rsidRDefault="00741401">
      <w:pPr>
        <w:numPr>
          <w:ilvl w:val="0"/>
          <w:numId w:val="7"/>
        </w:numPr>
        <w:ind w:right="50" w:hanging="410"/>
      </w:pPr>
      <w:r>
        <w:t>Dodavatel má právo omezit či pozastavit dodávku tepelné energie při opakovaném neplacení smluvených plateb včetně vyúčtování za odebranou tepelnou energii.</w:t>
      </w:r>
    </w:p>
    <w:p w:rsidR="00C85260" w:rsidRDefault="00741401">
      <w:pPr>
        <w:numPr>
          <w:ilvl w:val="0"/>
          <w:numId w:val="7"/>
        </w:numPr>
        <w:spacing w:after="196"/>
        <w:ind w:right="50" w:hanging="410"/>
      </w:pPr>
      <w:r>
        <w:lastRenderedPageBreak/>
        <w:t>Dojde-li opakovaně v důsledku porušení této smlouvy k omez</w:t>
      </w:r>
      <w:r>
        <w:t>ení či přerušení dodávek, je dodavatel opětovné zahájení dodávek (plných dodávek) oprávněn podmínit úhradou nákladů vzniklých z důvodu omezení či přerušení dodávek.</w:t>
      </w:r>
    </w:p>
    <w:p w:rsidR="00C85260" w:rsidRDefault="00741401">
      <w:pPr>
        <w:numPr>
          <w:ilvl w:val="0"/>
          <w:numId w:val="7"/>
        </w:numPr>
        <w:spacing w:after="280"/>
        <w:ind w:right="50" w:hanging="410"/>
      </w:pPr>
      <w:r>
        <w:t>Strany se dohodly, že závazek zaplatit smluvní pokutu nevylučuje právo dodavatele na náhrad</w:t>
      </w:r>
      <w:r>
        <w:t>u škody přesahující smluvní pokutu.</w:t>
      </w:r>
    </w:p>
    <w:p w:rsidR="00C85260" w:rsidRDefault="00741401">
      <w:pPr>
        <w:numPr>
          <w:ilvl w:val="0"/>
          <w:numId w:val="7"/>
        </w:numPr>
        <w:spacing w:after="234"/>
        <w:ind w:right="50" w:hanging="410"/>
      </w:pPr>
      <w:r>
        <w:t>Překročí-li odběratel sjednaný výkon, může dodavatel vyúčtovat odběrateli smluvní pokutu ve výši 400,- Kč za každou desetinu MW, o kterou byl sjednaný výkon překročen, a to za každý případ překročení sjednané hodnoty výk</w:t>
      </w:r>
      <w:r>
        <w:t>onu po dobu delší než 15 minut.</w:t>
      </w:r>
    </w:p>
    <w:p w:rsidR="00C85260" w:rsidRDefault="00741401">
      <w:pPr>
        <w:numPr>
          <w:ilvl w:val="0"/>
          <w:numId w:val="7"/>
        </w:numPr>
        <w:spacing w:after="270"/>
        <w:ind w:right="50" w:hanging="410"/>
      </w:pPr>
      <w:r>
        <w:t>Smluvní pokuta podle odstavce f) tohoto článku může být dodavatelem vyúčtována jen v případech, je-li výkon zjišt'ován v předávacím. resp. v měřícím místě u odběratele registračními přístroji nebo jinými průkaznými prostředk</w:t>
      </w:r>
      <w:r>
        <w:t>y.</w:t>
      </w:r>
    </w:p>
    <w:p w:rsidR="00C85260" w:rsidRDefault="00741401">
      <w:pPr>
        <w:numPr>
          <w:ilvl w:val="0"/>
          <w:numId w:val="7"/>
        </w:numPr>
        <w:spacing w:after="227"/>
        <w:ind w:right="50" w:hanging="410"/>
      </w:pPr>
      <w:r>
        <w:t>Jestliže překročí odběratel prokazatelně u odběrného místa, které je zařazeno v jednoduché sazbě, sjednaný maximální výkon, může mu dodavatel vyúčtovat smluvní pokutu ve výši 5 000,-Kč, a to za každý případ překročení sjednaného maximálního výkonu.</w:t>
      </w:r>
    </w:p>
    <w:p w:rsidR="00C85260" w:rsidRDefault="00741401">
      <w:pPr>
        <w:spacing w:after="8" w:line="250" w:lineRule="auto"/>
        <w:ind w:left="115" w:right="72" w:firstLine="1"/>
        <w:jc w:val="center"/>
      </w:pPr>
      <w:r>
        <w:rPr>
          <w:sz w:val="22"/>
        </w:rPr>
        <w:t>Článek XII.</w:t>
      </w:r>
    </w:p>
    <w:p w:rsidR="00C85260" w:rsidRDefault="00741401">
      <w:pPr>
        <w:spacing w:after="8" w:line="250" w:lineRule="auto"/>
        <w:ind w:left="115" w:right="79" w:firstLine="1"/>
        <w:jc w:val="center"/>
      </w:pPr>
      <w:r>
        <w:rPr>
          <w:sz w:val="22"/>
        </w:rPr>
        <w:t>Ochrana osobních údajů</w:t>
      </w:r>
    </w:p>
    <w:p w:rsidR="00C85260" w:rsidRDefault="00741401">
      <w:pPr>
        <w:numPr>
          <w:ilvl w:val="0"/>
          <w:numId w:val="8"/>
        </w:numPr>
        <w:spacing w:after="281"/>
        <w:ind w:right="50" w:hanging="403"/>
      </w:pPr>
      <w:r>
        <w:t>Odběratel bere na vědomí, že dodavatel pro účely plnění této smlouvy a pro zajištění efektivní komunikace mezi smluvními stranami v nezbytném rozsahu shromažďuje a zpracovává osobní údaje odběratele a kontaktních osob odb</w:t>
      </w:r>
      <w:r>
        <w:t>ěratele uvedených v této smlouvě a dále veškeré osobní údaje spojené s plněním této smlouvy. Odběratel tímto bere na vědomí, že zpracování osobních údajů je nezbytné k uzavření a plnění této smlouvy a k plnění zákonných povinností dodavatele, včetně povinn</w:t>
      </w:r>
      <w:r>
        <w:t>ostí vyplývajících z energetického zákona. Veškeré informace o tom, jak dodavatel osobní údaje zpracovává a chrání, jsou uvedené v Zásadách ochrany osobních údajů, které jsou dostupné na (dále jen „Zásady ochrany osobních údajů”).</w:t>
      </w:r>
    </w:p>
    <w:p w:rsidR="00C85260" w:rsidRDefault="00741401">
      <w:pPr>
        <w:numPr>
          <w:ilvl w:val="0"/>
          <w:numId w:val="8"/>
        </w:numPr>
        <w:spacing w:after="278"/>
        <w:ind w:right="50" w:hanging="403"/>
      </w:pPr>
      <w:r>
        <w:t>Odběratel se zavazuje inf</w:t>
      </w:r>
      <w:r>
        <w:t>ormovat všechny své zástupce, kontaktní osoby a jiné fyzické osoby, jejichž osobní údaje předává dodavateli, o zpracování jejich osobních údajů dodavatelem a seznámit tvto osoby se Zásadami ochrany osobních údajů.</w:t>
      </w:r>
    </w:p>
    <w:p w:rsidR="00C85260" w:rsidRDefault="00741401">
      <w:pPr>
        <w:numPr>
          <w:ilvl w:val="0"/>
          <w:numId w:val="8"/>
        </w:numPr>
        <w:spacing w:after="268"/>
        <w:ind w:right="50" w:hanging="403"/>
      </w:pPr>
      <w:r>
        <w:t>Odběratel dále bere na vědomí, že osobní ú</w:t>
      </w:r>
      <w:r>
        <w:t>daje mohou být v souladu se Zásadami ochrany osobních údajů zpřístupněny společnostem ze skupinv VEOLIA za účelem zajištění technické a administrativní podpory pro plnění smlouvy a dále subjektům ve smluvním vztahu s dodavatelem pro zajištění plnění práv a</w:t>
      </w:r>
      <w:r>
        <w:t xml:space="preserve"> povinností, jak je dále uvedeno v Zásadách ochranv osobních údajů.</w:t>
      </w:r>
    </w:p>
    <w:p w:rsidR="00C85260" w:rsidRDefault="00741401">
      <w:pPr>
        <w:spacing w:after="8" w:line="250" w:lineRule="auto"/>
        <w:ind w:left="115" w:right="137" w:firstLine="1"/>
        <w:jc w:val="center"/>
      </w:pPr>
      <w:r>
        <w:rPr>
          <w:sz w:val="22"/>
        </w:rPr>
        <w:t>Článek XIII.</w:t>
      </w:r>
    </w:p>
    <w:p w:rsidR="00C85260" w:rsidRDefault="00741401">
      <w:pPr>
        <w:spacing w:after="8" w:line="250" w:lineRule="auto"/>
        <w:ind w:left="115" w:right="122" w:firstLine="1"/>
        <w:jc w:val="center"/>
      </w:pPr>
      <w:r>
        <w:rPr>
          <w:sz w:val="22"/>
        </w:rPr>
        <w:t>Společná a závěrečná ustanovení</w:t>
      </w:r>
    </w:p>
    <w:p w:rsidR="00C85260" w:rsidRDefault="00741401">
      <w:pPr>
        <w:numPr>
          <w:ilvl w:val="0"/>
          <w:numId w:val="9"/>
        </w:numPr>
        <w:spacing w:after="226" w:line="218" w:lineRule="auto"/>
        <w:ind w:right="50" w:hanging="288"/>
      </w:pPr>
      <w:r>
        <w:rPr>
          <w:sz w:val="20"/>
        </w:rPr>
        <w:t>Smluvní strany se dohodly, že práva vyplývající z této smlouvy či jejího porušení se promlčují ve lhůtě 4 let ode dne, kdy právo mohlo být upla</w:t>
      </w:r>
      <w:r>
        <w:rPr>
          <w:sz w:val="20"/>
        </w:rPr>
        <w:t>tněno poprvé.</w:t>
      </w:r>
    </w:p>
    <w:p w:rsidR="00C85260" w:rsidRDefault="00741401">
      <w:pPr>
        <w:numPr>
          <w:ilvl w:val="0"/>
          <w:numId w:val="9"/>
        </w:numPr>
        <w:spacing w:after="222"/>
        <w:ind w:right="50" w:hanging="288"/>
      </w:pPr>
      <w:r>
        <w:t>Odběratel se zavazuje oznámit dodavateli změnu údajů uvedených ve smlouvě vztahujících se k osobě odběratele nebo významných skutečností na straně odběratele nebo týkajících se sjednaných odběrných míst jako jsou zejména: firma/název/jméno, s</w:t>
      </w:r>
      <w:r>
        <w:t>ídlo/místo výkonu podnikání/adresa či adresa pro doručování, statutární zástupce, pověřená osoba, bankovní spojení, prodej podniku nebo části podniku, přeměna odběratele, vstup do likvidace nebo zahájení insolvenčního řízení, vše písemně ve lhůtě nejpozděj</w:t>
      </w:r>
      <w:r>
        <w:t>i do 15 dnů od toho, kdy tato změna nastala. Změna údajů rozhodných pro fakturaci bude účinná nejdříve od 1. dne následujícího měsíce.</w:t>
      </w:r>
    </w:p>
    <w:p w:rsidR="00C85260" w:rsidRDefault="00741401">
      <w:pPr>
        <w:numPr>
          <w:ilvl w:val="0"/>
          <w:numId w:val="9"/>
        </w:numPr>
        <w:ind w:right="50" w:hanging="288"/>
      </w:pPr>
      <w:r>
        <w:t>Upravu procentního rozdělení odebraného tepla na teplo pro konečnou spotřebu v domácnostech a ostatní odběratele,</w:t>
      </w:r>
    </w:p>
    <w:p w:rsidR="00C85260" w:rsidRDefault="00741401">
      <w:pPr>
        <w:spacing w:after="29" w:line="259" w:lineRule="auto"/>
        <w:ind w:left="9245" w:firstLine="0"/>
        <w:jc w:val="left"/>
      </w:pP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4921" name="Picture 14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" name="Picture 1492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60" w:rsidRDefault="00741401">
      <w:pPr>
        <w:spacing w:after="221"/>
        <w:ind w:left="277" w:right="50"/>
      </w:pPr>
      <w:r>
        <w:t>stejně jako úpravu velikosti podlahových ploch, oznámenou písemně ze strany odběratele, bere dodavatel na vědomí a používá ji pro fakturaci tepla.</w:t>
      </w:r>
    </w:p>
    <w:p w:rsidR="00C85260" w:rsidRDefault="00741401">
      <w:pPr>
        <w:numPr>
          <w:ilvl w:val="0"/>
          <w:numId w:val="9"/>
        </w:numPr>
        <w:ind w:right="50" w:hanging="288"/>
      </w:pPr>
      <w:r>
        <w:t>Pro účely styku s dodavatelem (v oblasti provozních podmínek dodávky, parametrů teplonosné látky a teplotní k</w:t>
      </w:r>
      <w:r>
        <w:t>řivky) odběratel může jmenovitě určit pověřeného zástupce pro každé odběrné místo a jeho jméno a kontaktní spojení písemně oznámit dodavateli. Případné změny odběratel oznámí dodavateli vždy písemně a bez zbytečného odkladu.</w:t>
      </w:r>
    </w:p>
    <w:p w:rsidR="00C85260" w:rsidRDefault="00741401">
      <w:pPr>
        <w:spacing w:after="0" w:line="259" w:lineRule="auto"/>
        <w:ind w:left="261" w:hanging="10"/>
        <w:jc w:val="left"/>
      </w:pPr>
      <w:r>
        <w:rPr>
          <w:sz w:val="56"/>
        </w:rPr>
        <w:lastRenderedPageBreak/>
        <w:t xml:space="preserve">Q </w:t>
      </w:r>
    </w:p>
    <w:p w:rsidR="00C85260" w:rsidRDefault="00741401">
      <w:pPr>
        <w:numPr>
          <w:ilvl w:val="0"/>
          <w:numId w:val="9"/>
        </w:numPr>
        <w:spacing w:after="210"/>
        <w:ind w:right="50" w:hanging="288"/>
      </w:pPr>
      <w:r>
        <w:t xml:space="preserve">Odběratel tímto v souladu s </w:t>
      </w:r>
      <w:r>
        <w:t xml:space="preserve">ust. zákona č. 127/2005 Sb. o elektronických komunikacích a o změně některých souvisejících zákonů (zákon o elektronických komunikacích), ve znění pozdějších předpisů, uděluje souhlas s tím, aby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9581" name="Picture 19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" name="Picture 1958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adresv elektronické pošty odběratelem dodavateli sdělené pou</w:t>
      </w:r>
      <w:r>
        <w:t>žíval dodavatel pro komunikaci dle této smlouvy.</w:t>
      </w:r>
    </w:p>
    <w:p w:rsidR="00C85260" w:rsidRDefault="00741401">
      <w:pPr>
        <w:numPr>
          <w:ilvl w:val="0"/>
          <w:numId w:val="9"/>
        </w:numPr>
        <w:spacing w:after="206"/>
        <w:ind w:right="50" w:hanging="288"/>
      </w:pPr>
      <w:r>
        <w:t>Odběratel tímto v souladu se zákonem č. 235/2004 Sb. o dani z přidané hodnoty, ve znění pozdějších předpisů, uděluje souhlas s případným použitím daňového dokladu v elektronické podobě, který bude odběrateli</w:t>
      </w:r>
      <w:r>
        <w:t xml:space="preserve"> zasílán na doručovací adresu uvedenou v záhlaví této smlouvy, popř. jinak odběratelem sdělenou.</w:t>
      </w:r>
    </w:p>
    <w:p w:rsidR="00C85260" w:rsidRDefault="00741401">
      <w:pPr>
        <w:numPr>
          <w:ilvl w:val="0"/>
          <w:numId w:val="9"/>
        </w:numPr>
        <w:spacing w:after="241"/>
        <w:ind w:right="50" w:hanging="288"/>
      </w:pPr>
      <w:r>
        <w:t>Smluvní strany se zavazují zachovávat mlčenlivost o všech skutečnostech, o kterých se dozvěděly v souvislosti s touto smlouvou a které tvoří předmět obchodního</w:t>
      </w:r>
      <w:r>
        <w:t xml:space="preserve"> tajemství, přičemž předmětem obchodního tajemství dodavatele jsou zejména: cena tepla za GJ, objem tepla v GJ za určité období, velikost smluvního výkonu, cena za kW/MW smluvního výkonu, výše záloh a cenové vzorce.</w:t>
      </w:r>
    </w:p>
    <w:p w:rsidR="00C85260" w:rsidRDefault="00741401">
      <w:pPr>
        <w:numPr>
          <w:ilvl w:val="0"/>
          <w:numId w:val="9"/>
        </w:numPr>
        <w:spacing w:after="203"/>
        <w:ind w:right="50" w:hanging="288"/>
      </w:pPr>
      <w:r>
        <w:t xml:space="preserve">Smluvní strany se dohodly, že u dodávek </w:t>
      </w:r>
      <w:r>
        <w:t>tepelné energie nepodléhajících ustanovením zákona č. 458/2000 Sb. o podmínkách podnikání a ýkonu státní správy v energetických odvětvích a změně některých zákonů (energetický zákon), ve znění pozdějších předpisů se na podmínky dodávky tepelné energie použ</w:t>
      </w:r>
      <w:r>
        <w:t>ijí ustanovení zákona č. 458/2000 Sb. o podmínkách podnikání a výkonu státní správy v energetických odvětvích a změně některých zákonů (energetický zákon), ve znění pozdějších předpisů a prováděcích vvhlášek přiměřeně.</w:t>
      </w:r>
    </w:p>
    <w:p w:rsidR="00C85260" w:rsidRDefault="00741401">
      <w:pPr>
        <w:numPr>
          <w:ilvl w:val="0"/>
          <w:numId w:val="9"/>
        </w:numPr>
        <w:spacing w:after="217"/>
        <w:ind w:right="50" w:hanging="288"/>
      </w:pPr>
      <w:r>
        <w:t>Nejsou-li vzájemná práva a povinnosti</w:t>
      </w:r>
      <w:r>
        <w:t xml:space="preserve"> stran upraveny touto smlouvou ani zvláštním právním předpisem, řídí se zákonem č. 89/2012 Sb., občanský zákoník, ve znění pozdějších předpisů. Pro případ, že tato smlouva není uzavírána za současné přítomnosti obou smluvních stran, platí, že smlouva nebud</w:t>
      </w:r>
      <w:r>
        <w:t>e uzavřena, pokud ji odběratel podepíše s jakoukoliv změnou či odchylkou, byt' nepodstatnou, nebo dodatkem či s připojením jiných obchodních podmínek, než jsou podmínky dodavatele uvedené v Dodacích podmínkách, ledaže dodavatel takovou změnu či odchylku ne</w:t>
      </w:r>
      <w:r>
        <w:t>bo dodatek následně písemně výslovně schválí.</w:t>
      </w:r>
    </w:p>
    <w:p w:rsidR="00C85260" w:rsidRDefault="00741401">
      <w:pPr>
        <w:numPr>
          <w:ilvl w:val="0"/>
          <w:numId w:val="9"/>
        </w:numPr>
        <w:spacing w:after="188"/>
        <w:ind w:right="50" w:hanging="288"/>
      </w:pPr>
      <w:r>
        <w:t xml:space="preserve">Odběratel byl seznámen se všemi částmi této smlouvv včetně příloh, a je srozuměn s tím, že v Dodacích podmínkách se nachází další ujednání, ze kterých vznikají nebo mohou vznikat smluvním stranám další práva a </w:t>
      </w:r>
      <w:r>
        <w:t>povinnosti. Odběratel tímto výslovně prohlašuje, že byl s Dodacími podmínkami a jejich významem řádně seznámen.</w:t>
      </w:r>
    </w:p>
    <w:p w:rsidR="00C85260" w:rsidRDefault="00741401">
      <w:pPr>
        <w:numPr>
          <w:ilvl w:val="0"/>
          <w:numId w:val="9"/>
        </w:numPr>
        <w:spacing w:after="187"/>
        <w:ind w:right="50" w:hanging="288"/>
      </w:pPr>
      <w:r>
        <w:t xml:space="preserve">Smluvní strany se zavazují akceptovat změny této smlouvy, ke kterým dojde v důsledku změn obecně závazných právních norem. Odběratel bere na vědomí, že s ohledem na charakter podnikání v oblasti dodávek tepelné energie může vyvstat potřeba pozdějších změn </w:t>
      </w:r>
      <w:r>
        <w:t xml:space="preserve">Dodacích podmínek. Nastane-li taková situace, může dodavatel Dodací podmínky v přiměřeném rozsahu změnit. Nedojde-li k dohodě o změně Dodacích podmínek a dodavatel bude na jejich uplatnění trvat, oznámí změnu odběrateli písemně nejméně 30 dnů před nabytím </w:t>
      </w:r>
      <w:r>
        <w:t>jejich účinnosti vůči odběrateli s tím, že odběratel má právo změnu odmítnout a tuto smlouvu z tohoto důvodu vypovědět s výpovědní dobou 6 měsíců.</w:t>
      </w:r>
    </w:p>
    <w:p w:rsidR="00C85260" w:rsidRDefault="00741401">
      <w:pPr>
        <w:spacing w:after="204"/>
        <w:ind w:left="287" w:right="50" w:hanging="266"/>
      </w:pPr>
      <w:r>
        <w:t>I) Tato Smlouva, Dodací podmínky, Seznam odběrných míst a Ujednání o ceně se vyhotovují ve třech stejnopisech</w:t>
      </w:r>
      <w:r>
        <w:t xml:space="preserve"> s platností originálu. Odběratel obdrží jedno a dodavatel dvě vyhotovení. Ostatní části smlouvy se vyhotovují ve dvou stejnopisech s platností originálu. Odběratel i dodavatel obdrží po jednom vyhotovení. Veškeré změny a dodatky k této smlouvě vč. jejich </w:t>
      </w:r>
      <w:r>
        <w:t>nedílných součástí, kterými se mění práva a povinnosti stran, je možno činit pouze písemnou formou v listinné podobě opatřené podpisy obou smluvních stran.</w:t>
      </w:r>
    </w:p>
    <w:p w:rsidR="00C85260" w:rsidRDefault="00741401">
      <w:pPr>
        <w:numPr>
          <w:ilvl w:val="0"/>
          <w:numId w:val="10"/>
        </w:numPr>
        <w:spacing w:after="226" w:line="218" w:lineRule="auto"/>
        <w:ind w:right="43" w:hanging="262"/>
      </w:pPr>
      <w:r>
        <w:rPr>
          <w:sz w:val="20"/>
        </w:rPr>
        <w:t>Tato smlouva je platná dnem podpisu obou smluvních stran a účinnosti nabývá ke dni 01.12.2019.</w:t>
      </w:r>
    </w:p>
    <w:p w:rsidR="00C85260" w:rsidRDefault="00741401">
      <w:pPr>
        <w:numPr>
          <w:ilvl w:val="0"/>
          <w:numId w:val="10"/>
        </w:numPr>
        <w:spacing w:after="226" w:line="218" w:lineRule="auto"/>
        <w:ind w:right="43" w:hanging="262"/>
      </w:pPr>
      <w:r>
        <w:rPr>
          <w:sz w:val="20"/>
        </w:rPr>
        <w:t>Smluvní strany prohlašují, že si tuto smlouvu včetně všech nedílných součástí (příloh) před jejím podpisem přečetly, že údaje v ní jsou úplné, pravdivé a platné k datu podpisu. Odběratel prohlašuje, že se pečlivě seznámil s obsahem smlouvy, obsah smlouvy b</w:t>
      </w:r>
      <w:r>
        <w:rPr>
          <w:sz w:val="20"/>
        </w:rPr>
        <w:t xml:space="preserve">yl s ním projednán, prohlašuje, že měl možnost provést změny návrhu smlouvy předloženého dodavatelem a pokud takové vznesl a došlo o nich k dohodě, jsou věrně a výstižně zachyceny v této konečné verzi podepsané smluvními stranami a pouze ujednáními danými </w:t>
      </w:r>
      <w:r>
        <w:rPr>
          <w:sz w:val="20"/>
        </w:rPr>
        <w:t>v této smlouvě budou strany vázány a jsou jimi nahrazeny veškeré předchozí dohody. Ve vztahu k formulacím a ujednáním této smlouvy a všech nedílných součástí (příloh) pak prohlašuje, že těmto rozumí, chápe jejich význam, neobsahují pro odběratele překvapiv</w:t>
      </w:r>
      <w:r>
        <w:rPr>
          <w:sz w:val="20"/>
        </w:rPr>
        <w:t>á ustanovení a je si vědom všech práv a povinností, jež ze smlouvy, případně z porušení smlouvy stranám vyplývají. Strany dále prohlašují, že si nepřejí, aby nad rámec výslovných ustanovení této smlouvy byla jakákoliv práva a povinnosti dovozovány z dosava</w:t>
      </w:r>
      <w:r>
        <w:rPr>
          <w:sz w:val="20"/>
        </w:rPr>
        <w:t>dní či budoucí praxe zavedené mezi stranami či zvyklostí zachovávaných obecně či v odvětví týkajícím se předmětu plnění této smlouvy, ledaže je ve smlouvě výslovně</w:t>
      </w:r>
    </w:p>
    <w:p w:rsidR="00C85260" w:rsidRDefault="00741401">
      <w:pPr>
        <w:spacing w:after="0" w:line="259" w:lineRule="auto"/>
        <w:ind w:left="261" w:hanging="10"/>
        <w:jc w:val="left"/>
      </w:pPr>
      <w:bookmarkStart w:id="0" w:name="_GoBack"/>
      <w:bookmarkEnd w:id="0"/>
      <w:r>
        <w:rPr>
          <w:sz w:val="56"/>
        </w:rPr>
        <w:lastRenderedPageBreak/>
        <w:t xml:space="preserve">Q </w:t>
      </w:r>
    </w:p>
    <w:p w:rsidR="00C85260" w:rsidRDefault="00741401">
      <w:pPr>
        <w:spacing w:after="211"/>
        <w:ind w:left="334" w:right="50"/>
      </w:pPr>
      <w:r>
        <w:t>sjednáno jinak. Vedle shora uvedeného si strany potvrzují, že si nejsou vědomv žádných dosud mezi nimi zavedených obchodních zvyklost</w:t>
      </w:r>
      <w:r>
        <w:t>í či praxe.</w:t>
      </w:r>
    </w:p>
    <w:p w:rsidR="00C85260" w:rsidRDefault="00741401">
      <w:pPr>
        <w:numPr>
          <w:ilvl w:val="0"/>
          <w:numId w:val="10"/>
        </w:numPr>
        <w:spacing w:after="203"/>
        <w:ind w:right="43" w:hanging="262"/>
      </w:pPr>
      <w:r>
        <w:t>Osoby podepsané na této smlouvě prohlašují, že jsou oprávněny k takovému projevu vůle a že jsou oprávněny jednat jménem smluvní strany, jménem které vystupují.</w:t>
      </w:r>
    </w:p>
    <w:p w:rsidR="00C85260" w:rsidRDefault="00741401">
      <w:pPr>
        <w:numPr>
          <w:ilvl w:val="0"/>
          <w:numId w:val="10"/>
        </w:numPr>
        <w:spacing w:after="443"/>
        <w:ind w:right="43" w:hanging="262"/>
      </w:pPr>
      <w:r>
        <w:t>Smluvní strany se dohodly, že tato smlouva bude v souladu se zákonem č. 340/2015 Sb., o zvláštních podmínkách účinnosti některých smluv, uveřejňování těchto smluv a o registru smluv (zákon o registru smluv), ve znění pozdějších předpisů, uveřejněna prostře</w:t>
      </w:r>
      <w:r>
        <w:t>dnictvím registru smluv, a to nejpozději do 01.12.2019. Její uveřejnění se zavazuje zajistit na své náklady postupem stanoveným výše uvedeným zákonem dodavatel. Smluvní strany berou na vědomí a souhlasí s tím, že před uveřejněním této smlouvy v registru sm</w:t>
      </w:r>
      <w:r>
        <w:t>luv zaj istí dodavatel znečitelnění těch ustanovení, která představují výjimku z povinnosti uveřejnění podle Š3 odst. l, 2 zákona č. 340/2015 Sb., o zvláštních podmínkách účinnosti některých smluv, uveřejňování těchto smluv a o registru smluv (zákon o regi</w:t>
      </w:r>
      <w:r>
        <w:t xml:space="preserve">stru smluv), ve znění pozdějších předpisů, a to ustanovení tvořící obchodní tajemství dodavatele (cena tepla za GJ, objem tepla v GJ za určité období,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2217" name="Picture 22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7" name="Picture 2221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velikost smluvního výkonu, cena za kW/MW smluvního výkonu, výše záloh, cenové vzorce) a dále osobní údaj</w:t>
      </w:r>
      <w:r>
        <w:t>e, vč. podpisových vzorů zástupců smluvních stran. Odběratel prohlašuje, že se zveřejněním souhlasí a že tato smlouva neobsahuje žádná další ustanovení (nad rámec výše uvedených), která by požadoval znečitelnit. V případě, že dodavatel uveřejní tuto smlouv</w:t>
      </w:r>
      <w:r>
        <w:t>u v registru smluv v souladu s tímto ujednáním, zavazuje se odběratel nezveřejnit tuto smlouvu v registru smluv duplicitně.</w:t>
      </w:r>
    </w:p>
    <w:p w:rsidR="00C85260" w:rsidRDefault="00741401">
      <w:pPr>
        <w:spacing w:after="8" w:line="250" w:lineRule="auto"/>
        <w:ind w:left="115" w:right="79" w:firstLine="1"/>
        <w:jc w:val="center"/>
      </w:pPr>
      <w:r>
        <w:rPr>
          <w:sz w:val="22"/>
        </w:rPr>
        <w:t>Článek XIV.</w:t>
      </w:r>
    </w:p>
    <w:p w:rsidR="00C85260" w:rsidRDefault="00741401">
      <w:pPr>
        <w:spacing w:after="185" w:line="250" w:lineRule="auto"/>
        <w:ind w:left="115" w:right="101" w:firstLine="1"/>
        <w:jc w:val="center"/>
      </w:pPr>
      <w:r>
        <w:rPr>
          <w:sz w:val="22"/>
        </w:rPr>
        <w:t>Odběratel požaduje zasílat korespondenci, smluvní dokumenty a faktury na adresu:</w:t>
      </w:r>
    </w:p>
    <w:p w:rsidR="00C85260" w:rsidRDefault="00741401">
      <w:pPr>
        <w:spacing w:after="791" w:line="264" w:lineRule="auto"/>
        <w:ind w:left="36" w:right="2837" w:firstLine="0"/>
        <w:jc w:val="left"/>
      </w:pPr>
      <w:r>
        <w:t>obchodní firma</w:t>
      </w:r>
      <w:r>
        <w:tab/>
        <w:t>Archeologické centrum Ol</w:t>
      </w:r>
      <w:r>
        <w:t>omouc, příspěvková organizace ulice</w:t>
      </w:r>
      <w:r>
        <w:tab/>
        <w:t>U Hradiska 42/6 obec</w:t>
      </w:r>
      <w:r>
        <w:tab/>
        <w:t>Olomouc — Klášterní Hradisko PSČ</w:t>
      </w:r>
      <w:r>
        <w:tab/>
        <w:t>779 oo</w:t>
      </w:r>
    </w:p>
    <w:p w:rsidR="00C85260" w:rsidRDefault="00741401">
      <w:pPr>
        <w:pStyle w:val="Nadpis1"/>
        <w:ind w:left="1389" w:hanging="158"/>
      </w:pPr>
      <w:r>
        <w:rPr>
          <w:sz w:val="16"/>
        </w:rPr>
        <w:t>9 -Il- 2019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708660" cy="169164"/>
            <wp:effectExtent l="0" t="0" r="0" b="0"/>
            <wp:docPr id="22498" name="Picture 2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8" name="Picture 2249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60" w:rsidRDefault="00741401">
      <w:pPr>
        <w:tabs>
          <w:tab w:val="center" w:pos="5389"/>
        </w:tabs>
        <w:ind w:left="0" w:firstLine="0"/>
        <w:jc w:val="left"/>
      </w:pPr>
      <w:r>
        <w:t>V Praze dne....</w:t>
      </w:r>
      <w:r>
        <w:rPr>
          <w:noProof/>
        </w:rPr>
        <w:drawing>
          <wp:inline distT="0" distB="0" distL="0" distR="0">
            <wp:extent cx="585216" cy="18287"/>
            <wp:effectExtent l="0" t="0" r="0" b="0"/>
            <wp:docPr id="22500" name="Picture 2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0" name="Picture 2250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 Olomouci dne .</w:t>
      </w:r>
    </w:p>
    <w:p w:rsidR="00C85260" w:rsidRDefault="00741401">
      <w:pPr>
        <w:tabs>
          <w:tab w:val="center" w:pos="6181"/>
        </w:tabs>
        <w:spacing w:after="34" w:line="218" w:lineRule="auto"/>
        <w:ind w:left="-166" w:firstLine="0"/>
        <w:jc w:val="left"/>
      </w:pPr>
      <w:r>
        <w:rPr>
          <w:sz w:val="20"/>
        </w:rPr>
        <w:t>Za dodavatele:</w:t>
      </w:r>
      <w:r>
        <w:rPr>
          <w:sz w:val="20"/>
        </w:rPr>
        <w:tab/>
      </w:r>
    </w:p>
    <w:p w:rsidR="006F2373" w:rsidRDefault="00741401">
      <w:pPr>
        <w:ind w:left="24" w:right="139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3049524</wp:posOffset>
                </wp:positionH>
                <wp:positionV relativeFrom="paragraph">
                  <wp:posOffset>139683</wp:posOffset>
                </wp:positionV>
                <wp:extent cx="1828800" cy="644651"/>
                <wp:effectExtent l="0" t="0" r="0" b="0"/>
                <wp:wrapSquare wrapText="bothSides"/>
                <wp:docPr id="40929" name="Group 40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44651"/>
                          <a:chOff x="0" y="0"/>
                          <a:chExt cx="1828800" cy="644651"/>
                        </a:xfrm>
                      </wpg:grpSpPr>
                      <pic:pic xmlns:pic="http://schemas.openxmlformats.org/drawingml/2006/picture">
                        <pic:nvPicPr>
                          <pic:cNvPr id="41528" name="Picture 4152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5"/>
                            <a:ext cx="1828800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31" name="Rectangle 20731"/>
                        <wps:cNvSpPr/>
                        <wps:spPr>
                          <a:xfrm>
                            <a:off x="27432" y="0"/>
                            <a:ext cx="510784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5260" w:rsidRDefault="0074140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funkce: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32" name="Rectangle 20732"/>
                        <wps:cNvSpPr/>
                        <wps:spPr>
                          <a:xfrm>
                            <a:off x="411480" y="0"/>
                            <a:ext cx="395249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5260" w:rsidRDefault="0074140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ředitel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29" style="width:144pt;height:50.7599pt;position:absolute;mso-position-horizontal-relative:text;mso-position-horizontal:absolute;margin-left:240.12pt;mso-position-vertical-relative:text;margin-top:10.9987pt;" coordsize="18288,6446">
                <v:shape id="Picture 41528" style="position:absolute;width:18288;height:6309;left:0;top:137;" filled="f">
                  <v:imagedata r:id="rId45"/>
                </v:shape>
                <v:rect id="Rectangle 20731" style="position:absolute;width:5107;height:1337;left:27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funkce: </w:t>
                        </w:r>
                      </w:p>
                    </w:txbxContent>
                  </v:textbox>
                </v:rect>
                <v:rect id="Rectangle 20732" style="position:absolute;width:3952;height:1337;left:41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ředitel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jméno</w:t>
      </w:r>
      <w:r w:rsidRPr="006F2373">
        <w:rPr>
          <w:highlight w:val="black"/>
        </w:rPr>
        <w:t xml:space="preserve">: </w:t>
      </w:r>
      <w:r w:rsidR="006F2373" w:rsidRPr="006F2373">
        <w:rPr>
          <w:highlight w:val="black"/>
        </w:rPr>
        <w:t>……………………….</w:t>
      </w:r>
      <w:r w:rsidR="006F2373">
        <w:tab/>
      </w:r>
      <w:r w:rsidR="006F2373">
        <w:tab/>
      </w:r>
      <w:r>
        <w:t xml:space="preserve"> jméno: </w:t>
      </w:r>
      <w:r w:rsidR="006F2373" w:rsidRPr="006F2373">
        <w:rPr>
          <w:highlight w:val="black"/>
        </w:rPr>
        <w:t>…………………………</w:t>
      </w:r>
    </w:p>
    <w:p w:rsidR="00C85260" w:rsidRDefault="00741401">
      <w:pPr>
        <w:ind w:left="24" w:right="1390"/>
      </w:pPr>
      <w:r>
        <w:t xml:space="preserve"> funkce: obchodní ředitel na základě pověření</w:t>
      </w:r>
    </w:p>
    <w:p w:rsidR="00C85260" w:rsidRDefault="00C85260">
      <w:pPr>
        <w:sectPr w:rsidR="00C85260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2" w:h="16834"/>
          <w:pgMar w:top="1440" w:right="1454" w:bottom="1440" w:left="1174" w:header="1512" w:footer="1588" w:gutter="0"/>
          <w:cols w:space="708"/>
        </w:sectPr>
      </w:pPr>
    </w:p>
    <w:p w:rsidR="00C85260" w:rsidRDefault="00741401">
      <w:pPr>
        <w:spacing w:after="0" w:line="259" w:lineRule="auto"/>
        <w:ind w:left="-1440" w:right="10462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5260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2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01" w:rsidRDefault="00741401">
      <w:pPr>
        <w:spacing w:after="0" w:line="240" w:lineRule="auto"/>
      </w:pPr>
      <w:r>
        <w:separator/>
      </w:r>
    </w:p>
  </w:endnote>
  <w:endnote w:type="continuationSeparator" w:id="0">
    <w:p w:rsidR="00741401" w:rsidRDefault="0074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16" w:lineRule="auto"/>
      <w:ind w:left="-3571" w:right="-2261" w:firstLine="0"/>
      <w:jc w:val="left"/>
    </w:pPr>
    <w:r>
      <w:t xml:space="preserve">Smlouva </w:t>
    </w:r>
    <w:r>
      <w:rPr>
        <w:sz w:val="20"/>
      </w:rPr>
      <w:t xml:space="preserve">KS č. 20940 / </w:t>
    </w:r>
    <w:r>
      <w:t xml:space="preserve">Veolia </w:t>
    </w:r>
    <w:r>
      <w:rPr>
        <w:sz w:val="20"/>
      </w:rPr>
      <w:t xml:space="preserve">Energie ČR, a.s. </w:t>
    </w:r>
    <w:r>
      <w:rPr>
        <w:sz w:val="10"/>
      </w:rPr>
      <w:t xml:space="preserve">— </w:t>
    </w:r>
    <w:r>
      <w:t xml:space="preserve">Archeologické centrum Olomouc, p.o./verze 1/11.9.2019 </w:t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sz w:val="20"/>
      </w:rPr>
      <w:t xml:space="preserve">z </w:t>
    </w:r>
    <w: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16" w:lineRule="auto"/>
      <w:ind w:left="-3571" w:right="-2261" w:firstLine="0"/>
      <w:jc w:val="left"/>
    </w:pPr>
    <w:r>
      <w:t xml:space="preserve">Smlouva </w:t>
    </w:r>
    <w:r>
      <w:rPr>
        <w:sz w:val="20"/>
      </w:rPr>
      <w:t xml:space="preserve">KS č. 20940 / </w:t>
    </w:r>
    <w:r>
      <w:t xml:space="preserve">Veolia </w:t>
    </w:r>
    <w:r>
      <w:rPr>
        <w:sz w:val="20"/>
      </w:rPr>
      <w:t xml:space="preserve">Energie ČR, a.s. </w:t>
    </w:r>
    <w:r>
      <w:rPr>
        <w:sz w:val="10"/>
      </w:rPr>
      <w:t xml:space="preserve">— </w:t>
    </w:r>
    <w:r>
      <w:t xml:space="preserve">Archeologické centrum Olomouc, p.o./verze 1/11.9.2019 </w:t>
    </w:r>
    <w:r>
      <w:rPr>
        <w:sz w:val="20"/>
      </w:rPr>
      <w:t xml:space="preserve">Stránka </w:t>
    </w:r>
    <w:r>
      <w:fldChar w:fldCharType="begin"/>
    </w:r>
    <w:r>
      <w:instrText xml:space="preserve"> PAGE   \*</w:instrText>
    </w:r>
    <w:r>
      <w:instrText xml:space="preserve"> MERGEFORMAT </w:instrText>
    </w:r>
    <w:r>
      <w:fldChar w:fldCharType="separate"/>
    </w:r>
    <w:r w:rsidR="006F2373" w:rsidRPr="006F2373">
      <w:rPr>
        <w:noProof/>
        <w:sz w:val="28"/>
      </w:rPr>
      <w:t>4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sz w:val="20"/>
      </w:rPr>
      <w:t xml:space="preserve">z </w:t>
    </w: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16" w:lineRule="auto"/>
      <w:ind w:left="-3571" w:right="-2261" w:firstLine="0"/>
      <w:jc w:val="left"/>
    </w:pPr>
    <w:r>
      <w:t xml:space="preserve">Smlouva </w:t>
    </w:r>
    <w:r>
      <w:rPr>
        <w:sz w:val="20"/>
      </w:rPr>
      <w:t xml:space="preserve">KS č. 20940 / </w:t>
    </w:r>
    <w:r>
      <w:t xml:space="preserve">Veolia </w:t>
    </w:r>
    <w:r>
      <w:rPr>
        <w:sz w:val="20"/>
      </w:rPr>
      <w:t xml:space="preserve">Energie ČR, a.s. </w:t>
    </w:r>
    <w:r>
      <w:rPr>
        <w:sz w:val="10"/>
      </w:rPr>
      <w:t xml:space="preserve">— </w:t>
    </w:r>
    <w:r>
      <w:t xml:space="preserve">Archeologické centrum Olomouc, p.o./verze 1/11.9.2019 </w:t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sz w:val="20"/>
      </w:rPr>
      <w:t xml:space="preserve">z </w:t>
    </w:r>
    <w: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28" w:lineRule="auto"/>
      <w:ind w:left="29" w:right="626" w:hanging="7"/>
      <w:jc w:val="left"/>
    </w:pPr>
    <w:r>
      <w:t xml:space="preserve">Smlouva </w:t>
    </w:r>
    <w:r>
      <w:rPr>
        <w:sz w:val="20"/>
      </w:rPr>
      <w:t xml:space="preserve">KS č. </w:t>
    </w:r>
    <w:r>
      <w:t xml:space="preserve">20940 </w:t>
    </w:r>
    <w:r>
      <w:rPr>
        <w:sz w:val="20"/>
      </w:rPr>
      <w:t xml:space="preserve">/ </w:t>
    </w:r>
    <w:r>
      <w:t xml:space="preserve">Veolia Energie ČR, </w:t>
    </w:r>
    <w:r>
      <w:rPr>
        <w:sz w:val="20"/>
      </w:rPr>
      <w:t xml:space="preserve">a.s. </w:t>
    </w:r>
    <w:r>
      <w:t xml:space="preserve">Archeologické centrum </w:t>
    </w:r>
    <w:r>
      <w:rPr>
        <w:sz w:val="20"/>
      </w:rPr>
      <w:t xml:space="preserve">Olomouc, </w:t>
    </w:r>
    <w:r>
      <w:t xml:space="preserve">p.o./verze 1/1 1.9.2019 Stránka </w:t>
    </w: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  <w:r>
      <w:rPr>
        <w:sz w:val="20"/>
      </w:rPr>
      <w:t xml:space="preserve"> </w:t>
    </w:r>
    <w:r>
      <w:t>z 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28" w:lineRule="auto"/>
      <w:ind w:left="29" w:right="626" w:hanging="7"/>
      <w:jc w:val="left"/>
    </w:pPr>
    <w:r>
      <w:t xml:space="preserve">Smlouva </w:t>
    </w:r>
    <w:r>
      <w:rPr>
        <w:sz w:val="20"/>
      </w:rPr>
      <w:t xml:space="preserve">KS č. </w:t>
    </w:r>
    <w:r>
      <w:t xml:space="preserve">20940 </w:t>
    </w:r>
    <w:r>
      <w:rPr>
        <w:sz w:val="20"/>
      </w:rPr>
      <w:t xml:space="preserve">/ </w:t>
    </w:r>
    <w:r>
      <w:t xml:space="preserve">Veolia Energie ČR, </w:t>
    </w:r>
    <w:r>
      <w:rPr>
        <w:sz w:val="20"/>
      </w:rPr>
      <w:t xml:space="preserve">a.s. </w:t>
    </w:r>
    <w:r>
      <w:t xml:space="preserve">Archeologické centrum </w:t>
    </w:r>
    <w:r>
      <w:rPr>
        <w:sz w:val="20"/>
      </w:rPr>
      <w:t xml:space="preserve">Olomouc, </w:t>
    </w:r>
    <w:r>
      <w:t xml:space="preserve">p.o./verze 1/1 1.9.2019 Stránka </w:t>
    </w:r>
    <w:r>
      <w:fldChar w:fldCharType="begin"/>
    </w:r>
    <w:r>
      <w:instrText xml:space="preserve"> PAGE   \* MERGEFORMAT </w:instrText>
    </w:r>
    <w:r>
      <w:fldChar w:fldCharType="separate"/>
    </w:r>
    <w:r w:rsidR="006F2373" w:rsidRPr="006F2373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  <w:r>
      <w:t>z 7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28" w:lineRule="auto"/>
      <w:ind w:left="29" w:right="626" w:hanging="7"/>
      <w:jc w:val="left"/>
    </w:pPr>
    <w:r>
      <w:t xml:space="preserve">Smlouva </w:t>
    </w:r>
    <w:r>
      <w:rPr>
        <w:sz w:val="20"/>
      </w:rPr>
      <w:t xml:space="preserve">KS č. </w:t>
    </w:r>
    <w:r>
      <w:t xml:space="preserve">20940 </w:t>
    </w:r>
    <w:r>
      <w:rPr>
        <w:sz w:val="20"/>
      </w:rPr>
      <w:t xml:space="preserve">/ </w:t>
    </w:r>
    <w:r>
      <w:t xml:space="preserve">Veolia Energie ČR, </w:t>
    </w:r>
    <w:r>
      <w:rPr>
        <w:sz w:val="20"/>
      </w:rPr>
      <w:t xml:space="preserve">a.s. </w:t>
    </w:r>
    <w:r>
      <w:t xml:space="preserve">Archeologické centrum </w:t>
    </w:r>
    <w:r>
      <w:rPr>
        <w:sz w:val="20"/>
      </w:rPr>
      <w:t xml:space="preserve">Olomouc, </w:t>
    </w:r>
    <w:r>
      <w:t>p.o./verze 1/1 1.9.2</w:t>
    </w:r>
    <w:r>
      <w:t xml:space="preserve">019 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  <w:r>
      <w:rPr>
        <w:sz w:val="20"/>
      </w:rPr>
      <w:t xml:space="preserve"> </w:t>
    </w:r>
    <w:r>
      <w:t>z 7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C85260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C85260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C8526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01" w:rsidRDefault="00741401">
      <w:pPr>
        <w:spacing w:after="0" w:line="240" w:lineRule="auto"/>
      </w:pPr>
      <w:r>
        <w:separator/>
      </w:r>
    </w:p>
  </w:footnote>
  <w:footnote w:type="continuationSeparator" w:id="0">
    <w:p w:rsidR="00741401" w:rsidRDefault="0074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59" w:lineRule="auto"/>
      <w:ind w:left="-3283" w:firstLine="0"/>
      <w:jc w:val="left"/>
    </w:pPr>
    <w:r>
      <w:rPr>
        <w:sz w:val="56"/>
      </w:rPr>
      <w:t xml:space="preserve">Q </w:t>
    </w:r>
    <w:r>
      <w:rPr>
        <w:sz w:val="36"/>
      </w:rPr>
      <w:t>VEOLIA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59" w:lineRule="auto"/>
      <w:ind w:left="-3283" w:firstLine="0"/>
      <w:jc w:val="left"/>
    </w:pPr>
    <w:r>
      <w:rPr>
        <w:sz w:val="56"/>
      </w:rPr>
      <w:t xml:space="preserve">Q </w:t>
    </w:r>
    <w:r>
      <w:rPr>
        <w:sz w:val="36"/>
      </w:rPr>
      <w:t>VEOLIA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59" w:lineRule="auto"/>
      <w:ind w:left="-3283" w:firstLine="0"/>
      <w:jc w:val="left"/>
    </w:pPr>
    <w:r>
      <w:rPr>
        <w:sz w:val="56"/>
      </w:rPr>
      <w:t xml:space="preserve">Q </w:t>
    </w:r>
    <w:r>
      <w:rPr>
        <w:sz w:val="36"/>
      </w:rPr>
      <w:t>VEOLIA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59" w:lineRule="auto"/>
      <w:ind w:left="245" w:firstLine="0"/>
      <w:jc w:val="left"/>
    </w:pPr>
    <w:r>
      <w:rPr>
        <w:sz w:val="40"/>
      </w:rPr>
      <w:t>@VEOLIA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59" w:lineRule="auto"/>
      <w:ind w:left="245" w:firstLine="0"/>
      <w:jc w:val="left"/>
    </w:pPr>
    <w:r>
      <w:rPr>
        <w:sz w:val="40"/>
      </w:rPr>
      <w:t>@VEOLIA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741401">
    <w:pPr>
      <w:spacing w:after="0" w:line="259" w:lineRule="auto"/>
      <w:ind w:left="245" w:firstLine="0"/>
      <w:jc w:val="left"/>
    </w:pPr>
    <w:r>
      <w:rPr>
        <w:sz w:val="40"/>
      </w:rPr>
      <w:t>@VEOLIA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C85260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C85260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60" w:rsidRDefault="00C8526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B01"/>
    <w:multiLevelType w:val="hybridMultilevel"/>
    <w:tmpl w:val="60643DCC"/>
    <w:lvl w:ilvl="0" w:tplc="055ABFFE">
      <w:start w:val="2"/>
      <w:numFmt w:val="decimal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81B16">
      <w:start w:val="1"/>
      <w:numFmt w:val="lowerLetter"/>
      <w:lvlText w:val="%2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CE1140">
      <w:start w:val="1"/>
      <w:numFmt w:val="lowerRoman"/>
      <w:lvlText w:val="%3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B209B2">
      <w:start w:val="1"/>
      <w:numFmt w:val="decimal"/>
      <w:lvlText w:val="%4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22210">
      <w:start w:val="1"/>
      <w:numFmt w:val="lowerLetter"/>
      <w:lvlText w:val="%5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16C92E">
      <w:start w:val="1"/>
      <w:numFmt w:val="lowerRoman"/>
      <w:lvlText w:val="%6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6648E">
      <w:start w:val="1"/>
      <w:numFmt w:val="decimal"/>
      <w:lvlText w:val="%7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2C60A">
      <w:start w:val="1"/>
      <w:numFmt w:val="lowerLetter"/>
      <w:lvlText w:val="%8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FE7FFA">
      <w:start w:val="1"/>
      <w:numFmt w:val="lowerRoman"/>
      <w:lvlText w:val="%9"/>
      <w:lvlJc w:val="left"/>
      <w:pPr>
        <w:ind w:left="7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77F56"/>
    <w:multiLevelType w:val="hybridMultilevel"/>
    <w:tmpl w:val="B9DCD006"/>
    <w:lvl w:ilvl="0" w:tplc="0D5A8612">
      <w:start w:val="1"/>
      <w:numFmt w:val="lowerLetter"/>
      <w:lvlText w:val="%1)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3C94A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A02E7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1A2DF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82FD5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8DD6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D8654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72DB4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84C3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837F9"/>
    <w:multiLevelType w:val="hybridMultilevel"/>
    <w:tmpl w:val="20A0F73E"/>
    <w:lvl w:ilvl="0" w:tplc="9290072A">
      <w:start w:val="1"/>
      <w:numFmt w:val="lowerLetter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E0A4E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E23E1C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9765DAA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46FEA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509E80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58AD7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9EB59C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2CD02E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A05678"/>
    <w:multiLevelType w:val="hybridMultilevel"/>
    <w:tmpl w:val="0C486E52"/>
    <w:lvl w:ilvl="0" w:tplc="C234E600">
      <w:start w:val="1"/>
      <w:numFmt w:val="lowerLetter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7811B4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B60F5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6325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9E507C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CA5DE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24440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6E3A50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72170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15D5E"/>
    <w:multiLevelType w:val="hybridMultilevel"/>
    <w:tmpl w:val="634CC788"/>
    <w:lvl w:ilvl="0" w:tplc="68D6722E">
      <w:start w:val="1"/>
      <w:numFmt w:val="lowerLetter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A44DA6">
      <w:start w:val="2"/>
      <w:numFmt w:val="decimal"/>
      <w:lvlText w:val="%2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821272">
      <w:start w:val="1"/>
      <w:numFmt w:val="lowerRoman"/>
      <w:lvlText w:val="%3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2E02F0">
      <w:start w:val="1"/>
      <w:numFmt w:val="decimal"/>
      <w:lvlText w:val="%4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1EE9BA">
      <w:start w:val="1"/>
      <w:numFmt w:val="lowerLetter"/>
      <w:lvlText w:val="%5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38B1C0">
      <w:start w:val="1"/>
      <w:numFmt w:val="lowerRoman"/>
      <w:lvlText w:val="%6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7EE2CE">
      <w:start w:val="1"/>
      <w:numFmt w:val="decimal"/>
      <w:lvlText w:val="%7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E2B5CA">
      <w:start w:val="1"/>
      <w:numFmt w:val="lowerLetter"/>
      <w:lvlText w:val="%8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AE9AB4">
      <w:start w:val="1"/>
      <w:numFmt w:val="lowerRoman"/>
      <w:lvlText w:val="%9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8094A"/>
    <w:multiLevelType w:val="hybridMultilevel"/>
    <w:tmpl w:val="36361238"/>
    <w:lvl w:ilvl="0" w:tplc="30581A5E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CF1E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34487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8A505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E851D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449C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2E6AE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6EF61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4CBA4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45B13"/>
    <w:multiLevelType w:val="hybridMultilevel"/>
    <w:tmpl w:val="728E505E"/>
    <w:lvl w:ilvl="0" w:tplc="9CC6E8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DC91A0">
      <w:start w:val="2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F03F94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4C1E14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DE434E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CEA08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DA792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2F4A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A445C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9A2AD8"/>
    <w:multiLevelType w:val="hybridMultilevel"/>
    <w:tmpl w:val="DCC2B0E4"/>
    <w:lvl w:ilvl="0" w:tplc="CC3A83CC">
      <w:start w:val="13"/>
      <w:numFmt w:val="lowerLetter"/>
      <w:lvlText w:val="%1)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9E4FC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484BA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98835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A68E7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26283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5A43A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D2684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4A4C2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0C134B"/>
    <w:multiLevelType w:val="hybridMultilevel"/>
    <w:tmpl w:val="92C898F6"/>
    <w:lvl w:ilvl="0" w:tplc="B32AF1BE">
      <w:start w:val="1"/>
      <w:numFmt w:val="lowerLetter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F05A8E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7087CC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CA33EC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62EBC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CC35FA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326B7E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426FD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1E4F16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682438"/>
    <w:multiLevelType w:val="hybridMultilevel"/>
    <w:tmpl w:val="702CAC54"/>
    <w:lvl w:ilvl="0" w:tplc="AC3CE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0AB236">
      <w:start w:val="1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240592">
      <w:start w:val="1"/>
      <w:numFmt w:val="lowerRoman"/>
      <w:lvlText w:val="%3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F4311A">
      <w:start w:val="1"/>
      <w:numFmt w:val="decimal"/>
      <w:lvlText w:val="%4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A47DF6">
      <w:start w:val="1"/>
      <w:numFmt w:val="lowerLetter"/>
      <w:lvlText w:val="%5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54A4A2">
      <w:start w:val="1"/>
      <w:numFmt w:val="lowerRoman"/>
      <w:lvlText w:val="%6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C4AFD8">
      <w:start w:val="1"/>
      <w:numFmt w:val="decimal"/>
      <w:lvlText w:val="%7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D6D88C">
      <w:start w:val="1"/>
      <w:numFmt w:val="lowerLetter"/>
      <w:lvlText w:val="%8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B29EE4">
      <w:start w:val="1"/>
      <w:numFmt w:val="lowerRoman"/>
      <w:lvlText w:val="%9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E405C9"/>
    <w:multiLevelType w:val="hybridMultilevel"/>
    <w:tmpl w:val="22464306"/>
    <w:lvl w:ilvl="0" w:tplc="BB4AC08C">
      <w:start w:val="1"/>
      <w:numFmt w:val="lowerLetter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9E032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7613A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2BEC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DE9C2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AB9C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67E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CD25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7E730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60"/>
    <w:rsid w:val="005B5146"/>
    <w:rsid w:val="006F2373"/>
    <w:rsid w:val="00741401"/>
    <w:rsid w:val="00C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52C3"/>
  <w15:docId w15:val="{74CDE2E7-73D4-4A40-B5C2-0D2A6F53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7" w:hanging="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1"/>
      </w:numPr>
      <w:spacing w:after="0"/>
      <w:ind w:left="1231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9" Type="http://schemas.openxmlformats.org/officeDocument/2006/relationships/image" Target="media/image13.jpg"/><Relationship Id="rId51" Type="http://schemas.openxmlformats.org/officeDocument/2006/relationships/footer" Target="footer6.xml"/><Relationship Id="rId3" Type="http://schemas.openxmlformats.org/officeDocument/2006/relationships/settings" Target="settings.xml"/><Relationship Id="rId34" Type="http://schemas.openxmlformats.org/officeDocument/2006/relationships/image" Target="media/image8.jpg"/><Relationship Id="rId42" Type="http://schemas.openxmlformats.org/officeDocument/2006/relationships/image" Target="media/image16.jpg"/><Relationship Id="rId47" Type="http://schemas.openxmlformats.org/officeDocument/2006/relationships/header" Target="header5.xml"/><Relationship Id="rId50" Type="http://schemas.openxmlformats.org/officeDocument/2006/relationships/header" Target="header6.xml"/><Relationship Id="rId55" Type="http://schemas.openxmlformats.org/officeDocument/2006/relationships/footer" Target="footer7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33" Type="http://schemas.openxmlformats.org/officeDocument/2006/relationships/image" Target="media/image7.jpg"/><Relationship Id="rId38" Type="http://schemas.openxmlformats.org/officeDocument/2006/relationships/image" Target="media/image12.jpg"/><Relationship Id="rId46" Type="http://schemas.openxmlformats.org/officeDocument/2006/relationships/header" Target="header4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41" Type="http://schemas.openxmlformats.org/officeDocument/2006/relationships/image" Target="media/image15.jpg"/><Relationship Id="rId54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32" Type="http://schemas.openxmlformats.org/officeDocument/2006/relationships/image" Target="media/image6.jpg"/><Relationship Id="rId37" Type="http://schemas.openxmlformats.org/officeDocument/2006/relationships/image" Target="media/image11.jpg"/><Relationship Id="rId40" Type="http://schemas.openxmlformats.org/officeDocument/2006/relationships/image" Target="media/image14.jpg"/><Relationship Id="rId45" Type="http://schemas.openxmlformats.org/officeDocument/2006/relationships/image" Target="media/image56.jpg"/><Relationship Id="rId53" Type="http://schemas.openxmlformats.org/officeDocument/2006/relationships/header" Target="header7.xml"/><Relationship Id="rId58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36" Type="http://schemas.openxmlformats.org/officeDocument/2006/relationships/image" Target="media/image10.jpg"/><Relationship Id="rId49" Type="http://schemas.openxmlformats.org/officeDocument/2006/relationships/footer" Target="footer5.xml"/><Relationship Id="rId57" Type="http://schemas.openxmlformats.org/officeDocument/2006/relationships/header" Target="header9.xml"/><Relationship Id="rId10" Type="http://schemas.openxmlformats.org/officeDocument/2006/relationships/header" Target="header2.xml"/><Relationship Id="rId31" Type="http://schemas.openxmlformats.org/officeDocument/2006/relationships/image" Target="media/image5.jpg"/><Relationship Id="rId52" Type="http://schemas.openxmlformats.org/officeDocument/2006/relationships/image" Target="media/image18.jp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0" Type="http://schemas.openxmlformats.org/officeDocument/2006/relationships/image" Target="media/image60.jpg"/><Relationship Id="rId35" Type="http://schemas.openxmlformats.org/officeDocument/2006/relationships/image" Target="media/image9.jpg"/><Relationship Id="rId43" Type="http://schemas.openxmlformats.org/officeDocument/2006/relationships/image" Target="media/image17.jpg"/><Relationship Id="rId48" Type="http://schemas.openxmlformats.org/officeDocument/2006/relationships/footer" Target="footer4.xml"/><Relationship Id="rId56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3183</Words>
  <Characters>18786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Ivana</dc:creator>
  <cp:keywords/>
  <cp:lastModifiedBy>Navrátilová Ivana</cp:lastModifiedBy>
  <cp:revision>3</cp:revision>
  <dcterms:created xsi:type="dcterms:W3CDTF">2019-11-29T10:06:00Z</dcterms:created>
  <dcterms:modified xsi:type="dcterms:W3CDTF">2019-11-29T10:11:00Z</dcterms:modified>
</cp:coreProperties>
</file>