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60A78" w14:textId="77777777" w:rsidR="00AB6E1E" w:rsidRPr="00784EBF" w:rsidRDefault="00AB6E1E" w:rsidP="00A603E2">
      <w:pPr>
        <w:widowControl/>
        <w:jc w:val="center"/>
        <w:rPr>
          <w:rFonts w:ascii="Verdana" w:hAnsi="Verdana"/>
        </w:rPr>
      </w:pPr>
      <w:bookmarkStart w:id="0" w:name="OLE_LINK1"/>
      <w:bookmarkStart w:id="1" w:name="OLE_LINK2"/>
    </w:p>
    <w:p w14:paraId="4D6C605B" w14:textId="77777777" w:rsidR="00AB6E1E" w:rsidRPr="00784EBF" w:rsidRDefault="00AB6E1E" w:rsidP="00A603E2">
      <w:pPr>
        <w:widowControl/>
        <w:jc w:val="center"/>
        <w:rPr>
          <w:rFonts w:ascii="Verdana" w:hAnsi="Verdana"/>
        </w:rPr>
      </w:pPr>
    </w:p>
    <w:p w14:paraId="51B956D4" w14:textId="77777777" w:rsidR="00AB6E1E" w:rsidRPr="00D13347" w:rsidRDefault="00AB6E1E" w:rsidP="00A603E2">
      <w:pPr>
        <w:widowControl/>
        <w:jc w:val="center"/>
        <w:rPr>
          <w:rFonts w:ascii="Arial" w:hAnsi="Arial" w:cs="Arial"/>
        </w:rPr>
      </w:pPr>
    </w:p>
    <w:p w14:paraId="4E44DFB4" w14:textId="77777777" w:rsidR="00AB6E1E" w:rsidRPr="00D13347" w:rsidRDefault="00AB6E1E" w:rsidP="00A603E2">
      <w:pPr>
        <w:spacing w:before="120" w:line="240" w:lineRule="atLeast"/>
        <w:jc w:val="center"/>
        <w:rPr>
          <w:rFonts w:ascii="Arial" w:hAnsi="Arial" w:cs="Arial"/>
          <w:b/>
          <w:sz w:val="40"/>
        </w:rPr>
      </w:pPr>
      <w:r w:rsidRPr="00D13347">
        <w:rPr>
          <w:rFonts w:ascii="Arial" w:hAnsi="Arial" w:cs="Arial"/>
          <w:b/>
          <w:sz w:val="40"/>
        </w:rPr>
        <w:t>DODATEK</w:t>
      </w:r>
      <w:r w:rsidRPr="00D13347">
        <w:rPr>
          <w:rFonts w:ascii="Arial" w:hAnsi="Arial" w:cs="Arial"/>
          <w:b/>
          <w:sz w:val="28"/>
        </w:rPr>
        <w:t xml:space="preserve"> </w:t>
      </w:r>
      <w:r w:rsidRPr="00D13347">
        <w:rPr>
          <w:rFonts w:ascii="Arial" w:hAnsi="Arial" w:cs="Arial"/>
          <w:b/>
          <w:sz w:val="40"/>
        </w:rPr>
        <w:t xml:space="preserve">č. 5 </w:t>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r>
      <w:r w:rsidRPr="00D13347">
        <w:rPr>
          <w:rFonts w:ascii="Arial" w:hAnsi="Arial" w:cs="Arial"/>
          <w:b/>
          <w:sz w:val="40"/>
        </w:rPr>
        <w:softHyphen/>
        <w:t xml:space="preserve"> KE SMLOUVĚ</w:t>
      </w:r>
    </w:p>
    <w:p w14:paraId="4346CA51" w14:textId="77777777" w:rsidR="00AB6E1E" w:rsidRPr="00D13347" w:rsidRDefault="00AB6E1E" w:rsidP="00A603E2">
      <w:pPr>
        <w:spacing w:before="120" w:line="240" w:lineRule="atLeast"/>
        <w:jc w:val="center"/>
        <w:rPr>
          <w:rFonts w:ascii="Arial" w:hAnsi="Arial" w:cs="Arial"/>
          <w:b/>
          <w:sz w:val="28"/>
        </w:rPr>
      </w:pPr>
      <w:r w:rsidRPr="00D13347">
        <w:rPr>
          <w:rFonts w:ascii="Arial" w:hAnsi="Arial" w:cs="Arial"/>
          <w:b/>
          <w:sz w:val="28"/>
        </w:rPr>
        <w:t>č. S21/2002</w:t>
      </w:r>
    </w:p>
    <w:p w14:paraId="0DCC5BAC" w14:textId="77777777" w:rsidR="00AB6E1E" w:rsidRPr="00D13347" w:rsidRDefault="00AB6E1E" w:rsidP="00A603E2">
      <w:pPr>
        <w:spacing w:before="120" w:line="240" w:lineRule="atLeast"/>
        <w:jc w:val="center"/>
        <w:rPr>
          <w:rFonts w:ascii="Arial" w:hAnsi="Arial" w:cs="Arial"/>
          <w:b/>
          <w:sz w:val="28"/>
        </w:rPr>
      </w:pPr>
      <w:r w:rsidRPr="00D13347">
        <w:rPr>
          <w:rFonts w:ascii="Arial" w:hAnsi="Arial" w:cs="Arial"/>
          <w:b/>
          <w:sz w:val="28"/>
        </w:rPr>
        <w:t>(dále též „smlouva“)</w:t>
      </w:r>
    </w:p>
    <w:p w14:paraId="73E58B94" w14:textId="77777777" w:rsidR="00AB6E1E" w:rsidRPr="00D13347" w:rsidRDefault="00AB6E1E" w:rsidP="00A603E2">
      <w:pPr>
        <w:spacing w:before="120" w:line="240" w:lineRule="atLeast"/>
        <w:jc w:val="center"/>
        <w:rPr>
          <w:rFonts w:ascii="Arial" w:hAnsi="Arial" w:cs="Arial"/>
          <w:b/>
        </w:rPr>
      </w:pPr>
    </w:p>
    <w:p w14:paraId="4828B283" w14:textId="77777777" w:rsidR="00AB6E1E" w:rsidRPr="00D13347" w:rsidRDefault="00AB6E1E" w:rsidP="00A603E2">
      <w:pPr>
        <w:spacing w:before="120" w:line="240" w:lineRule="atLeast"/>
        <w:jc w:val="center"/>
        <w:rPr>
          <w:rFonts w:ascii="Arial" w:hAnsi="Arial" w:cs="Arial"/>
        </w:rPr>
      </w:pPr>
      <w:r w:rsidRPr="00D13347">
        <w:rPr>
          <w:rFonts w:ascii="Arial" w:hAnsi="Arial" w:cs="Arial"/>
        </w:rPr>
        <w:t>kterou uzavírají</w:t>
      </w:r>
    </w:p>
    <w:p w14:paraId="5C552E45" w14:textId="77777777" w:rsidR="00AB6E1E" w:rsidRPr="00D13347" w:rsidRDefault="00AB6E1E" w:rsidP="00A603E2">
      <w:pPr>
        <w:spacing w:before="120" w:line="240" w:lineRule="atLeast"/>
        <w:jc w:val="center"/>
        <w:rPr>
          <w:rFonts w:ascii="Arial" w:hAnsi="Arial" w:cs="Arial"/>
          <w:b/>
          <w:sz w:val="24"/>
        </w:rPr>
      </w:pPr>
    </w:p>
    <w:p w14:paraId="4ADCEF5F" w14:textId="77777777" w:rsidR="00AB6E1E" w:rsidRPr="00D13347" w:rsidRDefault="00AB6E1E" w:rsidP="00A603E2">
      <w:pPr>
        <w:spacing w:before="120" w:line="240" w:lineRule="atLeast"/>
        <w:jc w:val="center"/>
        <w:rPr>
          <w:rFonts w:ascii="Arial" w:hAnsi="Arial" w:cs="Arial"/>
          <w:b/>
          <w:sz w:val="32"/>
        </w:rPr>
      </w:pPr>
      <w:r w:rsidRPr="00D13347">
        <w:rPr>
          <w:rFonts w:ascii="Arial" w:hAnsi="Arial" w:cs="Arial"/>
          <w:b/>
          <w:sz w:val="28"/>
        </w:rPr>
        <w:t>Exportní garanční a pojišťovací společnost, a.s.</w:t>
      </w:r>
    </w:p>
    <w:p w14:paraId="18D7F558" w14:textId="77777777" w:rsidR="00AB6E1E" w:rsidRPr="00D13347" w:rsidRDefault="00AB6E1E" w:rsidP="00A603E2">
      <w:pPr>
        <w:pStyle w:val="Specifikace"/>
        <w:tabs>
          <w:tab w:val="clear" w:pos="2268"/>
          <w:tab w:val="clear" w:pos="4536"/>
        </w:tabs>
        <w:spacing w:line="240" w:lineRule="atLeast"/>
        <w:rPr>
          <w:rFonts w:ascii="Arial" w:hAnsi="Arial" w:cs="Arial"/>
        </w:rPr>
      </w:pPr>
      <w:r w:rsidRPr="00D13347">
        <w:rPr>
          <w:rFonts w:ascii="Arial" w:hAnsi="Arial" w:cs="Arial"/>
        </w:rPr>
        <w:t>Vodičkova 34/701</w:t>
      </w:r>
    </w:p>
    <w:p w14:paraId="2FEBDEAD"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b/>
        </w:rPr>
        <w:t xml:space="preserve">111 21 </w:t>
      </w:r>
      <w:r w:rsidRPr="00D13347">
        <w:rPr>
          <w:rFonts w:ascii="Arial" w:hAnsi="Arial" w:cs="Arial"/>
        </w:rPr>
        <w:t xml:space="preserve"> </w:t>
      </w:r>
      <w:r w:rsidRPr="00D13347">
        <w:rPr>
          <w:rFonts w:ascii="Arial" w:hAnsi="Arial" w:cs="Arial"/>
          <w:b/>
        </w:rPr>
        <w:t>Praha 1, Nové Město</w:t>
      </w:r>
    </w:p>
    <w:p w14:paraId="06CA650C"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b/>
        </w:rPr>
        <w:t xml:space="preserve">    IČO: 45279314 DIČ: </w:t>
      </w:r>
      <w:r w:rsidRPr="00D13347">
        <w:rPr>
          <w:rFonts w:ascii="Arial" w:hAnsi="Arial" w:cs="Arial"/>
          <w:b/>
          <w:bCs/>
        </w:rPr>
        <w:t>CZ45279314</w:t>
      </w:r>
    </w:p>
    <w:p w14:paraId="1D933ACE" w14:textId="77777777" w:rsidR="00AB6E1E" w:rsidRPr="00D13347" w:rsidRDefault="00AB6E1E" w:rsidP="00A603E2">
      <w:pPr>
        <w:spacing w:before="120" w:line="240" w:lineRule="atLeast"/>
        <w:jc w:val="center"/>
        <w:rPr>
          <w:rFonts w:ascii="Arial" w:hAnsi="Arial" w:cs="Arial"/>
        </w:rPr>
      </w:pPr>
      <w:r w:rsidRPr="00D13347">
        <w:rPr>
          <w:rFonts w:ascii="Arial" w:hAnsi="Arial" w:cs="Arial"/>
        </w:rPr>
        <w:t>Zapsaná v obchodním rejstříku, vedeném Městským soudem v Praze,</w:t>
      </w:r>
    </w:p>
    <w:p w14:paraId="3443A237"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rPr>
        <w:t xml:space="preserve">oddíl B, vložka 1619 </w:t>
      </w:r>
    </w:p>
    <w:p w14:paraId="21B2E65C"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b/>
        </w:rPr>
        <w:t xml:space="preserve">zastoupená: </w:t>
      </w:r>
    </w:p>
    <w:p w14:paraId="673C0ABF"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rPr>
        <w:t xml:space="preserve"> </w:t>
      </w:r>
      <w:r w:rsidRPr="00D13347">
        <w:rPr>
          <w:rFonts w:ascii="Arial" w:hAnsi="Arial" w:cs="Arial"/>
          <w:b/>
        </w:rPr>
        <w:t>Ing. Martinem Růžičkou, členem představenstva a Ing. Silvií Goldscheiderovou, výkonnou ředitelkou úseku 120</w:t>
      </w:r>
    </w:p>
    <w:p w14:paraId="05752B7D"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b/>
        </w:rPr>
        <w:t xml:space="preserve">kontaktní e-mail: </w:t>
      </w:r>
      <w:r w:rsidR="00F53D76">
        <w:rPr>
          <w:rFonts w:ascii="Arial" w:hAnsi="Arial" w:cs="Arial"/>
          <w:b/>
        </w:rPr>
        <w:t>xxx</w:t>
      </w:r>
    </w:p>
    <w:p w14:paraId="7B1215AD"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b/>
        </w:rPr>
        <w:t>bankovní spojení:</w:t>
      </w:r>
      <w:r w:rsidR="00C5652E" w:rsidRPr="00D13347">
        <w:rPr>
          <w:rFonts w:ascii="Arial" w:hAnsi="Arial" w:cs="Arial"/>
          <w:b/>
        </w:rPr>
        <w:t xml:space="preserve"> </w:t>
      </w:r>
      <w:r w:rsidR="0003319B" w:rsidRPr="00D13347">
        <w:rPr>
          <w:rFonts w:ascii="Arial" w:hAnsi="Arial" w:cs="Arial"/>
          <w:b/>
        </w:rPr>
        <w:t>41908111/0100</w:t>
      </w:r>
    </w:p>
    <w:p w14:paraId="7FD681AF" w14:textId="77777777" w:rsidR="00AB6E1E" w:rsidRPr="00D13347" w:rsidRDefault="00AB6E1E" w:rsidP="00D13347">
      <w:pPr>
        <w:spacing w:before="120" w:line="240" w:lineRule="atLeast"/>
        <w:jc w:val="center"/>
        <w:rPr>
          <w:rFonts w:ascii="Arial" w:hAnsi="Arial" w:cs="Arial"/>
        </w:rPr>
      </w:pPr>
      <w:r w:rsidRPr="00D13347">
        <w:rPr>
          <w:rFonts w:ascii="Arial" w:hAnsi="Arial" w:cs="Arial"/>
        </w:rPr>
        <w:t xml:space="preserve">dále též </w:t>
      </w:r>
      <w:r w:rsidR="00C5652E" w:rsidRPr="00D13347">
        <w:rPr>
          <w:rFonts w:ascii="Arial" w:hAnsi="Arial" w:cs="Arial"/>
        </w:rPr>
        <w:t>„</w:t>
      </w:r>
      <w:r w:rsidRPr="00D13347">
        <w:rPr>
          <w:rFonts w:ascii="Arial" w:hAnsi="Arial" w:cs="Arial"/>
        </w:rPr>
        <w:t>objednatel</w:t>
      </w:r>
      <w:r w:rsidR="00C5652E" w:rsidRPr="00D13347">
        <w:rPr>
          <w:rFonts w:ascii="Arial" w:hAnsi="Arial" w:cs="Arial"/>
        </w:rPr>
        <w:t>“</w:t>
      </w:r>
    </w:p>
    <w:p w14:paraId="633A0FBB" w14:textId="77777777" w:rsidR="00AB6E1E" w:rsidRPr="00D13347" w:rsidRDefault="00AB6E1E" w:rsidP="00A603E2">
      <w:pPr>
        <w:spacing w:before="120" w:line="240" w:lineRule="atLeast"/>
        <w:jc w:val="center"/>
        <w:rPr>
          <w:rFonts w:ascii="Arial" w:hAnsi="Arial" w:cs="Arial"/>
        </w:rPr>
      </w:pPr>
      <w:r w:rsidRPr="00D13347">
        <w:rPr>
          <w:rFonts w:ascii="Arial" w:hAnsi="Arial" w:cs="Arial"/>
        </w:rPr>
        <w:t xml:space="preserve"> a</w:t>
      </w:r>
    </w:p>
    <w:p w14:paraId="457A6E32" w14:textId="77777777" w:rsidR="00AB6E1E" w:rsidRPr="00D13347" w:rsidRDefault="00AB6E1E" w:rsidP="00D13347">
      <w:pPr>
        <w:spacing w:before="120" w:line="240" w:lineRule="atLeast"/>
        <w:jc w:val="center"/>
        <w:rPr>
          <w:rFonts w:ascii="Arial" w:hAnsi="Arial" w:cs="Arial"/>
          <w:b/>
        </w:rPr>
      </w:pPr>
    </w:p>
    <w:p w14:paraId="04E25846" w14:textId="77777777" w:rsidR="00AB6E1E" w:rsidRPr="00D13347" w:rsidRDefault="00AB6E1E" w:rsidP="00A603E2">
      <w:pPr>
        <w:spacing w:before="120" w:line="240" w:lineRule="atLeast"/>
        <w:jc w:val="center"/>
        <w:rPr>
          <w:rFonts w:ascii="Arial" w:hAnsi="Arial" w:cs="Arial"/>
          <w:b/>
          <w:color w:val="333399"/>
          <w:sz w:val="28"/>
        </w:rPr>
      </w:pPr>
      <w:r w:rsidRPr="00D13347">
        <w:rPr>
          <w:rFonts w:ascii="Arial" w:hAnsi="Arial" w:cs="Arial"/>
          <w:b/>
          <w:sz w:val="28"/>
        </w:rPr>
        <w:t xml:space="preserve"> </w:t>
      </w:r>
      <w:r w:rsidRPr="00D13347">
        <w:rPr>
          <w:rFonts w:ascii="Arial" w:hAnsi="Arial" w:cs="Arial"/>
          <w:b/>
          <w:color w:val="333399"/>
          <w:sz w:val="28"/>
        </w:rPr>
        <w:t xml:space="preserve">COMPEKON s.r.o.     </w:t>
      </w:r>
    </w:p>
    <w:p w14:paraId="7A611C50"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b/>
        </w:rPr>
        <w:t xml:space="preserve">  Velká Dlážka 7     </w:t>
      </w:r>
    </w:p>
    <w:p w14:paraId="7A8833AD"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b/>
        </w:rPr>
        <w:t xml:space="preserve">  750 02 Přerov   </w:t>
      </w:r>
    </w:p>
    <w:p w14:paraId="56337566"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b/>
        </w:rPr>
        <w:t>IČO: 47153075  DIČ: CZ47153075</w:t>
      </w:r>
    </w:p>
    <w:p w14:paraId="0F2BA625"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rPr>
        <w:t>Zapsaná v obchodní</w:t>
      </w:r>
      <w:r w:rsidR="00D83BE8">
        <w:rPr>
          <w:rFonts w:ascii="Arial" w:hAnsi="Arial" w:cs="Arial"/>
        </w:rPr>
        <w:t>m</w:t>
      </w:r>
      <w:r w:rsidRPr="00D13347">
        <w:rPr>
          <w:rFonts w:ascii="Arial" w:hAnsi="Arial" w:cs="Arial"/>
        </w:rPr>
        <w:t xml:space="preserve"> rejstříku, </w:t>
      </w:r>
      <w:r w:rsidR="003D41B2" w:rsidRPr="00D13347">
        <w:rPr>
          <w:rFonts w:ascii="Arial" w:hAnsi="Arial" w:cs="Arial"/>
        </w:rPr>
        <w:t>vedené</w:t>
      </w:r>
      <w:r w:rsidR="003D41B2">
        <w:rPr>
          <w:rFonts w:ascii="Arial" w:hAnsi="Arial" w:cs="Arial"/>
        </w:rPr>
        <w:t>m</w:t>
      </w:r>
      <w:r w:rsidR="003D41B2" w:rsidRPr="00D13347">
        <w:rPr>
          <w:rFonts w:ascii="Arial" w:hAnsi="Arial" w:cs="Arial"/>
        </w:rPr>
        <w:t xml:space="preserve"> Krajským</w:t>
      </w:r>
      <w:r w:rsidRPr="00D13347">
        <w:rPr>
          <w:rFonts w:ascii="Arial" w:hAnsi="Arial" w:cs="Arial"/>
        </w:rPr>
        <w:t xml:space="preserve"> soudem v</w:t>
      </w:r>
      <w:r w:rsidR="00D83BE8">
        <w:rPr>
          <w:rFonts w:ascii="Arial" w:hAnsi="Arial" w:cs="Arial"/>
        </w:rPr>
        <w:t> </w:t>
      </w:r>
      <w:r w:rsidRPr="00D13347">
        <w:rPr>
          <w:rFonts w:ascii="Arial" w:hAnsi="Arial" w:cs="Arial"/>
        </w:rPr>
        <w:t>Ostravě</w:t>
      </w:r>
      <w:r w:rsidR="00D83BE8">
        <w:rPr>
          <w:rFonts w:ascii="Arial" w:hAnsi="Arial" w:cs="Arial"/>
        </w:rPr>
        <w:t>,</w:t>
      </w:r>
      <w:r w:rsidRPr="00D13347">
        <w:rPr>
          <w:rFonts w:ascii="Arial" w:hAnsi="Arial" w:cs="Arial"/>
        </w:rPr>
        <w:t xml:space="preserve"> oddíl C, vložka 3928</w:t>
      </w:r>
    </w:p>
    <w:p w14:paraId="189195FC"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b/>
        </w:rPr>
        <w:t xml:space="preserve">zastoupená: </w:t>
      </w:r>
    </w:p>
    <w:p w14:paraId="2433B566"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b/>
        </w:rPr>
        <w:t>Ing. Pavl</w:t>
      </w:r>
      <w:r w:rsidR="00F0679C" w:rsidRPr="00D13347">
        <w:rPr>
          <w:rFonts w:ascii="Arial" w:hAnsi="Arial" w:cs="Arial"/>
          <w:b/>
        </w:rPr>
        <w:t>em</w:t>
      </w:r>
      <w:r w:rsidRPr="00D13347">
        <w:rPr>
          <w:rFonts w:ascii="Arial" w:hAnsi="Arial" w:cs="Arial"/>
          <w:b/>
        </w:rPr>
        <w:t xml:space="preserve"> Zamc</w:t>
      </w:r>
      <w:r w:rsidR="00F0679C" w:rsidRPr="00D13347">
        <w:rPr>
          <w:rFonts w:ascii="Arial" w:hAnsi="Arial" w:cs="Arial"/>
          <w:b/>
        </w:rPr>
        <w:t>em</w:t>
      </w:r>
      <w:r w:rsidRPr="00D13347">
        <w:rPr>
          <w:rFonts w:ascii="Arial" w:hAnsi="Arial" w:cs="Arial"/>
          <w:b/>
        </w:rPr>
        <w:t xml:space="preserve"> – jednatel</w:t>
      </w:r>
      <w:r w:rsidR="00F0679C" w:rsidRPr="00D13347">
        <w:rPr>
          <w:rFonts w:ascii="Arial" w:hAnsi="Arial" w:cs="Arial"/>
          <w:b/>
        </w:rPr>
        <w:t>em</w:t>
      </w:r>
      <w:r w:rsidRPr="00D13347">
        <w:rPr>
          <w:rFonts w:ascii="Arial" w:hAnsi="Arial" w:cs="Arial"/>
          <w:b/>
        </w:rPr>
        <w:t xml:space="preserve"> společnosti</w:t>
      </w:r>
    </w:p>
    <w:p w14:paraId="6EC2BD27" w14:textId="77777777" w:rsidR="00AB6E1E" w:rsidRPr="00D13347" w:rsidRDefault="00AB6E1E" w:rsidP="00A603E2">
      <w:pPr>
        <w:spacing w:before="120" w:line="240" w:lineRule="atLeast"/>
        <w:jc w:val="center"/>
        <w:rPr>
          <w:rFonts w:ascii="Arial" w:hAnsi="Arial" w:cs="Arial"/>
          <w:b/>
        </w:rPr>
      </w:pPr>
      <w:r w:rsidRPr="00D13347">
        <w:rPr>
          <w:rFonts w:ascii="Arial" w:hAnsi="Arial" w:cs="Arial"/>
          <w:b/>
        </w:rPr>
        <w:t>kontaktní e-mail:</w:t>
      </w:r>
      <w:r w:rsidR="00F53D76">
        <w:rPr>
          <w:rFonts w:ascii="Arial" w:hAnsi="Arial" w:cs="Arial"/>
          <w:b/>
        </w:rPr>
        <w:t xml:space="preserve"> xxx</w:t>
      </w:r>
    </w:p>
    <w:p w14:paraId="3FDF7CBA" w14:textId="77777777" w:rsidR="00AB6E1E" w:rsidRPr="00D13347" w:rsidRDefault="00AB6E1E" w:rsidP="00A603E2">
      <w:pPr>
        <w:spacing w:before="120" w:line="240" w:lineRule="atLeast"/>
        <w:jc w:val="center"/>
        <w:rPr>
          <w:rFonts w:ascii="Arial" w:hAnsi="Arial" w:cs="Arial"/>
        </w:rPr>
      </w:pPr>
      <w:r w:rsidRPr="00D13347">
        <w:rPr>
          <w:rFonts w:ascii="Arial" w:hAnsi="Arial" w:cs="Arial"/>
          <w:b/>
        </w:rPr>
        <w:t>bankovní spojení:</w:t>
      </w:r>
      <w:r w:rsidR="00F53D76">
        <w:rPr>
          <w:rFonts w:ascii="Arial" w:hAnsi="Arial" w:cs="Arial"/>
          <w:b/>
        </w:rPr>
        <w:t xml:space="preserve"> 685240831/0100</w:t>
      </w:r>
    </w:p>
    <w:p w14:paraId="7BC0B346" w14:textId="77777777" w:rsidR="00AB6E1E" w:rsidRPr="00D13347" w:rsidRDefault="00AB6E1E" w:rsidP="00A603E2">
      <w:pPr>
        <w:spacing w:before="120" w:line="240" w:lineRule="atLeast"/>
        <w:jc w:val="center"/>
        <w:rPr>
          <w:rFonts w:ascii="Arial" w:hAnsi="Arial" w:cs="Arial"/>
        </w:rPr>
      </w:pPr>
      <w:r w:rsidRPr="00D13347">
        <w:rPr>
          <w:rFonts w:ascii="Arial" w:hAnsi="Arial" w:cs="Arial"/>
        </w:rPr>
        <w:t xml:space="preserve"> dá</w:t>
      </w:r>
      <w:bookmarkStart w:id="2" w:name="_GoBack"/>
      <w:bookmarkEnd w:id="2"/>
      <w:r w:rsidRPr="00D13347">
        <w:rPr>
          <w:rFonts w:ascii="Arial" w:hAnsi="Arial" w:cs="Arial"/>
        </w:rPr>
        <w:t>le též „dodavatel“</w:t>
      </w:r>
    </w:p>
    <w:p w14:paraId="2AAA7E1D" w14:textId="77777777" w:rsidR="00AB6E1E" w:rsidRPr="00D13347" w:rsidRDefault="00AB6E1E" w:rsidP="00A603E2">
      <w:pPr>
        <w:spacing w:before="120" w:line="240" w:lineRule="atLeast"/>
        <w:jc w:val="center"/>
        <w:rPr>
          <w:rFonts w:ascii="Arial" w:hAnsi="Arial" w:cs="Arial"/>
        </w:rPr>
      </w:pPr>
    </w:p>
    <w:p w14:paraId="69B4F7C6" w14:textId="77777777" w:rsidR="00AB6E1E" w:rsidRPr="00D13347" w:rsidRDefault="00AB6E1E" w:rsidP="004C0035">
      <w:pPr>
        <w:spacing w:before="120" w:line="240" w:lineRule="atLeast"/>
        <w:jc w:val="center"/>
        <w:rPr>
          <w:rFonts w:ascii="Arial" w:hAnsi="Arial" w:cs="Arial"/>
          <w:b/>
        </w:rPr>
      </w:pPr>
      <w:r w:rsidRPr="00D13347">
        <w:rPr>
          <w:rFonts w:ascii="Arial" w:hAnsi="Arial" w:cs="Arial"/>
          <w:b/>
        </w:rPr>
        <w:t>společně dále též „smluvní strany“</w:t>
      </w:r>
    </w:p>
    <w:p w14:paraId="5E924D94" w14:textId="77777777" w:rsidR="00AB6E1E" w:rsidRDefault="00AB6E1E" w:rsidP="00A603E2">
      <w:pPr>
        <w:spacing w:before="120" w:line="240" w:lineRule="atLeast"/>
        <w:rPr>
          <w:rFonts w:ascii="Verdana" w:hAnsi="Verdana"/>
          <w:b/>
        </w:rPr>
      </w:pPr>
    </w:p>
    <w:p w14:paraId="2DB72120" w14:textId="77777777" w:rsidR="00AB6E1E" w:rsidRDefault="00AB6E1E" w:rsidP="00A603E2">
      <w:pPr>
        <w:spacing w:before="120" w:line="240" w:lineRule="atLeast"/>
        <w:rPr>
          <w:rFonts w:ascii="Verdana" w:hAnsi="Verdana"/>
          <w:b/>
        </w:rPr>
      </w:pPr>
    </w:p>
    <w:p w14:paraId="657E93DA" w14:textId="77777777" w:rsidR="00AB6E1E" w:rsidRDefault="00AB6E1E" w:rsidP="00A603E2">
      <w:pPr>
        <w:spacing w:before="120" w:line="240" w:lineRule="atLeast"/>
        <w:rPr>
          <w:rFonts w:ascii="Verdana" w:hAnsi="Verdana"/>
          <w:b/>
        </w:rPr>
      </w:pPr>
    </w:p>
    <w:p w14:paraId="43FAFA1F" w14:textId="77777777" w:rsidR="00AB6E1E" w:rsidRDefault="00AB6E1E" w:rsidP="00A603E2">
      <w:pPr>
        <w:spacing w:before="120" w:line="240" w:lineRule="atLeast"/>
        <w:rPr>
          <w:rFonts w:ascii="Verdana" w:hAnsi="Verdana"/>
          <w:b/>
        </w:rPr>
      </w:pPr>
    </w:p>
    <w:p w14:paraId="0E5A4EA2" w14:textId="77777777" w:rsidR="002109B6" w:rsidRDefault="002109B6" w:rsidP="00A603E2">
      <w:pPr>
        <w:spacing w:before="120" w:line="240" w:lineRule="atLeast"/>
        <w:rPr>
          <w:rFonts w:ascii="Verdana" w:hAnsi="Verdana"/>
          <w:b/>
        </w:rPr>
      </w:pPr>
    </w:p>
    <w:p w14:paraId="39874863" w14:textId="77777777" w:rsidR="00AB6E1E" w:rsidRPr="00D13347" w:rsidRDefault="00AB6E1E" w:rsidP="00A603E2">
      <w:pPr>
        <w:pStyle w:val="Nadpis1"/>
        <w:ind w:left="0" w:firstLine="0"/>
        <w:rPr>
          <w:rFonts w:cs="Arial"/>
        </w:rPr>
      </w:pPr>
      <w:r w:rsidRPr="00D13347">
        <w:rPr>
          <w:rFonts w:cs="Arial"/>
        </w:rPr>
        <w:lastRenderedPageBreak/>
        <w:t>Předmět dodatku</w:t>
      </w:r>
    </w:p>
    <w:p w14:paraId="15F0C5E6" w14:textId="77777777" w:rsidR="00AB6E1E" w:rsidRPr="002109B6" w:rsidRDefault="00AB6E1E" w:rsidP="00A603E2">
      <w:pPr>
        <w:pStyle w:val="Nadpis2"/>
        <w:numPr>
          <w:ilvl w:val="0"/>
          <w:numId w:val="0"/>
        </w:numPr>
        <w:rPr>
          <w:rFonts w:cs="Arial"/>
          <w:b/>
          <w:color w:val="auto"/>
          <w:kern w:val="0"/>
          <w:szCs w:val="22"/>
        </w:rPr>
      </w:pPr>
      <w:r w:rsidRPr="002109B6">
        <w:rPr>
          <w:rFonts w:cs="Arial"/>
          <w:color w:val="auto"/>
          <w:kern w:val="0"/>
          <w:szCs w:val="22"/>
        </w:rPr>
        <w:t xml:space="preserve">Předmětem dodatku je upřesnění počtu používaných licencí k IS Compekon a prostředí Uniface, úprava platebních podmínek, </w:t>
      </w:r>
      <w:r w:rsidR="00F0679C" w:rsidRPr="002109B6">
        <w:rPr>
          <w:rFonts w:cs="Arial"/>
          <w:color w:val="auto"/>
          <w:kern w:val="0"/>
          <w:szCs w:val="22"/>
        </w:rPr>
        <w:t>úprava</w:t>
      </w:r>
      <w:r w:rsidR="00CB43BC" w:rsidRPr="002109B6">
        <w:rPr>
          <w:rFonts w:cs="Arial"/>
          <w:color w:val="auto"/>
          <w:kern w:val="0"/>
          <w:szCs w:val="22"/>
        </w:rPr>
        <w:t xml:space="preserve"> Odpovědnost</w:t>
      </w:r>
      <w:r w:rsidR="00F0679C" w:rsidRPr="002109B6">
        <w:rPr>
          <w:rFonts w:cs="Arial"/>
          <w:color w:val="auto"/>
          <w:kern w:val="0"/>
          <w:szCs w:val="22"/>
        </w:rPr>
        <w:t>i</w:t>
      </w:r>
      <w:r w:rsidR="00CB43BC" w:rsidRPr="002109B6">
        <w:rPr>
          <w:rFonts w:cs="Arial"/>
          <w:color w:val="auto"/>
          <w:kern w:val="0"/>
          <w:szCs w:val="22"/>
        </w:rPr>
        <w:t xml:space="preserve"> za škodu, </w:t>
      </w:r>
      <w:r w:rsidRPr="002109B6">
        <w:rPr>
          <w:rFonts w:cs="Arial"/>
          <w:color w:val="auto"/>
          <w:kern w:val="0"/>
          <w:szCs w:val="22"/>
        </w:rPr>
        <w:t xml:space="preserve">aktualizace přílohy č. 2 smlouvy, doplnění přílohy č. 4, narovnání pochybností ohledně dodatku č. 2 ke smlouvě a dodatku č. 4 ke smlouvě a stanovení odpovědných osob objednatele a dodavatele. </w:t>
      </w:r>
    </w:p>
    <w:p w14:paraId="50E4CA6A" w14:textId="77777777" w:rsidR="00AB6E1E" w:rsidRDefault="00AB6E1E" w:rsidP="00A603E2">
      <w:pPr>
        <w:pStyle w:val="Zkladntextodsazen2"/>
        <w:ind w:left="0"/>
        <w:rPr>
          <w:rFonts w:ascii="Verdana" w:hAnsi="Verdana"/>
        </w:rPr>
      </w:pPr>
    </w:p>
    <w:p w14:paraId="743637BF" w14:textId="77777777" w:rsidR="00AB6E1E" w:rsidRDefault="00AB6E1E" w:rsidP="002109B6">
      <w:pPr>
        <w:pStyle w:val="Nadpis1"/>
        <w:rPr>
          <w:bCs/>
          <w:szCs w:val="32"/>
        </w:rPr>
      </w:pPr>
      <w:r w:rsidRPr="003C37DF">
        <w:rPr>
          <w:bCs/>
          <w:szCs w:val="32"/>
        </w:rPr>
        <w:t xml:space="preserve">Přehled </w:t>
      </w:r>
      <w:r>
        <w:rPr>
          <w:bCs/>
          <w:szCs w:val="32"/>
        </w:rPr>
        <w:t>zakoupených</w:t>
      </w:r>
      <w:r w:rsidRPr="003C37DF">
        <w:rPr>
          <w:bCs/>
          <w:szCs w:val="32"/>
        </w:rPr>
        <w:t xml:space="preserve"> licencí a pravidelných plateb</w:t>
      </w:r>
    </w:p>
    <w:p w14:paraId="5F058229" w14:textId="77777777" w:rsidR="00A603E2" w:rsidRDefault="00EB2C23" w:rsidP="007F611D">
      <w:pPr>
        <w:pStyle w:val="Nadpis2"/>
        <w:numPr>
          <w:ilvl w:val="1"/>
          <w:numId w:val="16"/>
        </w:numPr>
        <w:ind w:left="0" w:firstLine="0"/>
        <w:rPr>
          <w:szCs w:val="22"/>
        </w:rPr>
      </w:pPr>
      <w:r>
        <w:rPr>
          <w:szCs w:val="22"/>
        </w:rPr>
        <w:t>O</w:t>
      </w:r>
      <w:r w:rsidRPr="00EB2C23">
        <w:rPr>
          <w:szCs w:val="22"/>
        </w:rPr>
        <w:t xml:space="preserve">bjednatel je uživatelem níže uvedených licencí poskytnutých Objednatelem: </w:t>
      </w:r>
      <w:r w:rsidR="00A603E2" w:rsidRPr="00D13347">
        <w:rPr>
          <w:szCs w:val="22"/>
        </w:rPr>
        <w:t xml:space="preserve"> </w:t>
      </w:r>
    </w:p>
    <w:p w14:paraId="715F4EC3" w14:textId="77777777" w:rsidR="00AB6E1E" w:rsidRPr="002109B6" w:rsidRDefault="00A603E2" w:rsidP="00D13347">
      <w:pPr>
        <w:pStyle w:val="Nadpis3"/>
        <w:numPr>
          <w:ilvl w:val="2"/>
          <w:numId w:val="16"/>
        </w:numPr>
        <w:ind w:left="851" w:hanging="284"/>
        <w:rPr>
          <w:szCs w:val="22"/>
        </w:rPr>
      </w:pPr>
      <w:r>
        <w:t>l</w:t>
      </w:r>
      <w:r w:rsidR="00AB6E1E" w:rsidRPr="002109B6">
        <w:t>icenc</w:t>
      </w:r>
      <w:r w:rsidRPr="002109B6">
        <w:t>e</w:t>
      </w:r>
      <w:r w:rsidR="00F0679C" w:rsidRPr="002109B6">
        <w:t xml:space="preserve"> IS COMPEKON</w:t>
      </w:r>
    </w:p>
    <w:tbl>
      <w:tblPr>
        <w:tblW w:w="80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0"/>
        <w:gridCol w:w="1985"/>
      </w:tblGrid>
      <w:tr w:rsidR="00AB6E1E" w:rsidRPr="00D83BE8" w14:paraId="4DF452F6" w14:textId="77777777" w:rsidTr="00D86D7A">
        <w:trPr>
          <w:trHeight w:val="655"/>
        </w:trPr>
        <w:tc>
          <w:tcPr>
            <w:tcW w:w="6020" w:type="dxa"/>
            <w:shd w:val="clear" w:color="auto" w:fill="C0C0C0"/>
            <w:vAlign w:val="center"/>
          </w:tcPr>
          <w:p w14:paraId="705D6FF2" w14:textId="77777777" w:rsidR="00AB6E1E" w:rsidRPr="002109B6" w:rsidRDefault="00AB6E1E" w:rsidP="00A603E2">
            <w:pPr>
              <w:jc w:val="center"/>
              <w:rPr>
                <w:rFonts w:ascii="Arial" w:hAnsi="Arial" w:cs="Arial"/>
                <w:b/>
                <w:bCs/>
                <w:sz w:val="18"/>
                <w:szCs w:val="18"/>
                <w:highlight w:val="yellow"/>
              </w:rPr>
            </w:pPr>
            <w:r w:rsidRPr="002109B6">
              <w:rPr>
                <w:rFonts w:ascii="Arial" w:hAnsi="Arial" w:cs="Arial"/>
                <w:b/>
                <w:bCs/>
                <w:sz w:val="18"/>
                <w:szCs w:val="18"/>
              </w:rPr>
              <w:t>Modul</w:t>
            </w:r>
          </w:p>
        </w:tc>
        <w:tc>
          <w:tcPr>
            <w:tcW w:w="1985" w:type="dxa"/>
            <w:shd w:val="clear" w:color="auto" w:fill="C0C0C0"/>
            <w:vAlign w:val="center"/>
          </w:tcPr>
          <w:p w14:paraId="4B9C8056" w14:textId="77777777" w:rsidR="00AB6E1E" w:rsidRPr="002109B6" w:rsidRDefault="00AB6E1E" w:rsidP="00A603E2">
            <w:pPr>
              <w:jc w:val="center"/>
              <w:rPr>
                <w:rFonts w:ascii="Arial" w:hAnsi="Arial" w:cs="Arial"/>
                <w:b/>
                <w:bCs/>
                <w:sz w:val="18"/>
                <w:szCs w:val="18"/>
              </w:rPr>
            </w:pPr>
            <w:r w:rsidRPr="002109B6">
              <w:rPr>
                <w:rFonts w:ascii="Arial" w:hAnsi="Arial" w:cs="Arial"/>
                <w:b/>
                <w:bCs/>
                <w:sz w:val="18"/>
                <w:szCs w:val="18"/>
              </w:rPr>
              <w:t>Počet pojmenovaných aktivních uživatelů *</w:t>
            </w:r>
          </w:p>
        </w:tc>
      </w:tr>
      <w:tr w:rsidR="00AB6E1E" w:rsidRPr="00D83BE8" w14:paraId="43055038" w14:textId="77777777" w:rsidTr="00D86D7A">
        <w:tc>
          <w:tcPr>
            <w:tcW w:w="6020" w:type="dxa"/>
          </w:tcPr>
          <w:p w14:paraId="311F7A8A" w14:textId="77777777" w:rsidR="00AB6E1E" w:rsidRPr="002109B6" w:rsidRDefault="00AB6E1E" w:rsidP="00A603E2">
            <w:pPr>
              <w:rPr>
                <w:rFonts w:ascii="Arial" w:hAnsi="Arial" w:cs="Arial"/>
                <w:sz w:val="18"/>
                <w:szCs w:val="18"/>
              </w:rPr>
            </w:pPr>
            <w:r w:rsidRPr="002109B6">
              <w:rPr>
                <w:rFonts w:ascii="Arial" w:hAnsi="Arial" w:cs="Arial"/>
                <w:sz w:val="18"/>
                <w:szCs w:val="18"/>
              </w:rPr>
              <w:t xml:space="preserve">Banka, Banka </w:t>
            </w:r>
            <w:r w:rsidR="007F146E" w:rsidRPr="002109B6">
              <w:rPr>
                <w:rFonts w:ascii="Arial" w:hAnsi="Arial" w:cs="Arial"/>
                <w:sz w:val="18"/>
                <w:szCs w:val="18"/>
              </w:rPr>
              <w:t>–</w:t>
            </w:r>
            <w:r w:rsidRPr="002109B6">
              <w:rPr>
                <w:rFonts w:ascii="Arial" w:hAnsi="Arial" w:cs="Arial"/>
                <w:sz w:val="18"/>
                <w:szCs w:val="18"/>
              </w:rPr>
              <w:t xml:space="preserve"> kompenzace</w:t>
            </w:r>
          </w:p>
        </w:tc>
        <w:tc>
          <w:tcPr>
            <w:tcW w:w="1985" w:type="dxa"/>
          </w:tcPr>
          <w:p w14:paraId="1FACCB70" w14:textId="77777777" w:rsidR="00AB6E1E" w:rsidRPr="002109B6" w:rsidRDefault="00AB6E1E" w:rsidP="00A603E2">
            <w:pPr>
              <w:jc w:val="center"/>
              <w:rPr>
                <w:rFonts w:ascii="Arial" w:hAnsi="Arial" w:cs="Arial"/>
                <w:b/>
                <w:sz w:val="18"/>
                <w:szCs w:val="18"/>
              </w:rPr>
            </w:pPr>
            <w:r w:rsidRPr="002109B6">
              <w:rPr>
                <w:rFonts w:ascii="Arial" w:hAnsi="Arial" w:cs="Arial"/>
                <w:b/>
                <w:sz w:val="18"/>
                <w:szCs w:val="18"/>
              </w:rPr>
              <w:t>30</w:t>
            </w:r>
          </w:p>
        </w:tc>
      </w:tr>
      <w:tr w:rsidR="00AB6E1E" w:rsidRPr="00D83BE8" w14:paraId="15E23C67" w14:textId="77777777" w:rsidTr="00D86D7A">
        <w:tc>
          <w:tcPr>
            <w:tcW w:w="6020" w:type="dxa"/>
          </w:tcPr>
          <w:p w14:paraId="3DE34797" w14:textId="77777777" w:rsidR="00AB6E1E" w:rsidRPr="002109B6" w:rsidRDefault="00AB6E1E" w:rsidP="00A603E2">
            <w:pPr>
              <w:rPr>
                <w:rFonts w:ascii="Arial" w:hAnsi="Arial" w:cs="Arial"/>
                <w:sz w:val="18"/>
                <w:szCs w:val="18"/>
              </w:rPr>
            </w:pPr>
            <w:r w:rsidRPr="002109B6">
              <w:rPr>
                <w:rFonts w:ascii="Arial" w:hAnsi="Arial" w:cs="Arial"/>
                <w:sz w:val="18"/>
                <w:szCs w:val="18"/>
              </w:rPr>
              <w:t>Daně</w:t>
            </w:r>
          </w:p>
        </w:tc>
        <w:tc>
          <w:tcPr>
            <w:tcW w:w="1985" w:type="dxa"/>
          </w:tcPr>
          <w:p w14:paraId="533E3E20" w14:textId="77777777" w:rsidR="00AB6E1E" w:rsidRPr="002109B6" w:rsidRDefault="00AB6E1E" w:rsidP="00A603E2">
            <w:pPr>
              <w:jc w:val="center"/>
              <w:rPr>
                <w:rFonts w:ascii="Arial" w:hAnsi="Arial" w:cs="Arial"/>
                <w:b/>
                <w:sz w:val="18"/>
                <w:szCs w:val="18"/>
              </w:rPr>
            </w:pPr>
            <w:r w:rsidRPr="002109B6">
              <w:rPr>
                <w:rFonts w:ascii="Arial" w:hAnsi="Arial" w:cs="Arial"/>
                <w:b/>
                <w:sz w:val="18"/>
                <w:szCs w:val="18"/>
              </w:rPr>
              <w:t>30</w:t>
            </w:r>
          </w:p>
        </w:tc>
      </w:tr>
      <w:tr w:rsidR="00AB6E1E" w:rsidRPr="00D83BE8" w14:paraId="4600DAC0" w14:textId="77777777" w:rsidTr="00D86D7A">
        <w:tc>
          <w:tcPr>
            <w:tcW w:w="6020" w:type="dxa"/>
          </w:tcPr>
          <w:p w14:paraId="2333E8AD" w14:textId="77777777" w:rsidR="00AB6E1E" w:rsidRPr="002109B6" w:rsidRDefault="00AB6E1E" w:rsidP="00A603E2">
            <w:pPr>
              <w:rPr>
                <w:rFonts w:ascii="Arial" w:hAnsi="Arial" w:cs="Arial"/>
                <w:sz w:val="18"/>
                <w:szCs w:val="18"/>
              </w:rPr>
            </w:pPr>
            <w:r w:rsidRPr="002109B6">
              <w:rPr>
                <w:rFonts w:ascii="Arial" w:hAnsi="Arial" w:cs="Arial"/>
                <w:sz w:val="18"/>
                <w:szCs w:val="18"/>
              </w:rPr>
              <w:t>Došlé faktury, generování faktur, oběh DF</w:t>
            </w:r>
          </w:p>
        </w:tc>
        <w:tc>
          <w:tcPr>
            <w:tcW w:w="1985" w:type="dxa"/>
          </w:tcPr>
          <w:p w14:paraId="1972039A" w14:textId="77777777" w:rsidR="00AB6E1E" w:rsidRPr="002109B6" w:rsidRDefault="00AB6E1E" w:rsidP="00A603E2">
            <w:pPr>
              <w:jc w:val="center"/>
              <w:rPr>
                <w:rFonts w:ascii="Arial" w:hAnsi="Arial" w:cs="Arial"/>
                <w:b/>
                <w:sz w:val="18"/>
                <w:szCs w:val="18"/>
              </w:rPr>
            </w:pPr>
            <w:r w:rsidRPr="002109B6">
              <w:rPr>
                <w:rFonts w:ascii="Arial" w:hAnsi="Arial" w:cs="Arial"/>
                <w:b/>
                <w:sz w:val="18"/>
                <w:szCs w:val="18"/>
              </w:rPr>
              <w:t>30</w:t>
            </w:r>
          </w:p>
        </w:tc>
      </w:tr>
      <w:tr w:rsidR="00AB6E1E" w:rsidRPr="00D83BE8" w14:paraId="235E99C7" w14:textId="77777777" w:rsidTr="00D86D7A">
        <w:tc>
          <w:tcPr>
            <w:tcW w:w="6020" w:type="dxa"/>
          </w:tcPr>
          <w:p w14:paraId="29D4CD3F" w14:textId="77777777" w:rsidR="00AB6E1E" w:rsidRPr="002109B6" w:rsidRDefault="00AB6E1E" w:rsidP="00A603E2">
            <w:pPr>
              <w:rPr>
                <w:rFonts w:ascii="Arial" w:hAnsi="Arial" w:cs="Arial"/>
                <w:sz w:val="18"/>
                <w:szCs w:val="18"/>
              </w:rPr>
            </w:pPr>
            <w:r w:rsidRPr="002109B6">
              <w:rPr>
                <w:rFonts w:ascii="Arial" w:hAnsi="Arial" w:cs="Arial"/>
                <w:sz w:val="18"/>
                <w:szCs w:val="18"/>
              </w:rPr>
              <w:t>Odbyt- fakturace, objednávky, smlouvy, nabídky, B2B</w:t>
            </w:r>
          </w:p>
        </w:tc>
        <w:tc>
          <w:tcPr>
            <w:tcW w:w="1985" w:type="dxa"/>
          </w:tcPr>
          <w:p w14:paraId="63D2A707" w14:textId="77777777" w:rsidR="00AB6E1E" w:rsidRPr="002109B6" w:rsidRDefault="00AB6E1E" w:rsidP="00A603E2">
            <w:pPr>
              <w:jc w:val="center"/>
              <w:rPr>
                <w:rFonts w:ascii="Arial" w:hAnsi="Arial" w:cs="Arial"/>
                <w:b/>
                <w:sz w:val="18"/>
                <w:szCs w:val="18"/>
              </w:rPr>
            </w:pPr>
            <w:r w:rsidRPr="002109B6">
              <w:rPr>
                <w:rFonts w:ascii="Arial" w:hAnsi="Arial" w:cs="Arial"/>
                <w:b/>
                <w:sz w:val="18"/>
                <w:szCs w:val="18"/>
              </w:rPr>
              <w:t>30</w:t>
            </w:r>
          </w:p>
        </w:tc>
      </w:tr>
      <w:tr w:rsidR="00AB6E1E" w:rsidRPr="00D83BE8" w14:paraId="45C3B94D" w14:textId="77777777" w:rsidTr="00D86D7A">
        <w:tc>
          <w:tcPr>
            <w:tcW w:w="6020" w:type="dxa"/>
          </w:tcPr>
          <w:p w14:paraId="7F3E1FC9" w14:textId="77777777" w:rsidR="00AB6E1E" w:rsidRPr="002109B6" w:rsidRDefault="00AB6E1E" w:rsidP="00A603E2">
            <w:pPr>
              <w:rPr>
                <w:rFonts w:ascii="Arial" w:hAnsi="Arial" w:cs="Arial"/>
                <w:sz w:val="18"/>
                <w:szCs w:val="18"/>
              </w:rPr>
            </w:pPr>
            <w:r w:rsidRPr="002109B6">
              <w:rPr>
                <w:rFonts w:ascii="Arial" w:hAnsi="Arial" w:cs="Arial"/>
                <w:sz w:val="18"/>
                <w:szCs w:val="18"/>
              </w:rPr>
              <w:t>Odbyt- sklady, pokladna</w:t>
            </w:r>
          </w:p>
        </w:tc>
        <w:tc>
          <w:tcPr>
            <w:tcW w:w="1985" w:type="dxa"/>
          </w:tcPr>
          <w:p w14:paraId="0D566094" w14:textId="77777777" w:rsidR="00AB6E1E" w:rsidRPr="002109B6" w:rsidRDefault="00AB6E1E" w:rsidP="00A603E2">
            <w:pPr>
              <w:jc w:val="center"/>
              <w:rPr>
                <w:rFonts w:ascii="Arial" w:hAnsi="Arial" w:cs="Arial"/>
                <w:b/>
                <w:sz w:val="18"/>
                <w:szCs w:val="18"/>
              </w:rPr>
            </w:pPr>
            <w:r w:rsidRPr="002109B6">
              <w:rPr>
                <w:rFonts w:ascii="Arial" w:hAnsi="Arial" w:cs="Arial"/>
                <w:b/>
                <w:sz w:val="18"/>
                <w:szCs w:val="18"/>
              </w:rPr>
              <w:t>35</w:t>
            </w:r>
          </w:p>
        </w:tc>
      </w:tr>
      <w:tr w:rsidR="00AB6E1E" w:rsidRPr="00D83BE8" w14:paraId="72793C51" w14:textId="77777777" w:rsidTr="00D86D7A">
        <w:tc>
          <w:tcPr>
            <w:tcW w:w="6020" w:type="dxa"/>
          </w:tcPr>
          <w:p w14:paraId="00A886E8" w14:textId="77777777" w:rsidR="00AB6E1E" w:rsidRPr="002109B6" w:rsidRDefault="00AB6E1E" w:rsidP="00A603E2">
            <w:pPr>
              <w:rPr>
                <w:rFonts w:ascii="Arial" w:hAnsi="Arial" w:cs="Arial"/>
                <w:sz w:val="18"/>
                <w:szCs w:val="18"/>
              </w:rPr>
            </w:pPr>
            <w:r w:rsidRPr="002109B6">
              <w:rPr>
                <w:rFonts w:ascii="Arial" w:hAnsi="Arial" w:cs="Arial"/>
                <w:sz w:val="18"/>
                <w:szCs w:val="18"/>
              </w:rPr>
              <w:t>Pokladna, pokladna - cestovní příkazy</w:t>
            </w:r>
          </w:p>
        </w:tc>
        <w:tc>
          <w:tcPr>
            <w:tcW w:w="1985" w:type="dxa"/>
          </w:tcPr>
          <w:p w14:paraId="5C4C3424" w14:textId="77777777" w:rsidR="00AB6E1E" w:rsidRPr="002109B6" w:rsidRDefault="00AB6E1E" w:rsidP="00A603E2">
            <w:pPr>
              <w:jc w:val="center"/>
              <w:rPr>
                <w:rFonts w:ascii="Arial" w:hAnsi="Arial" w:cs="Arial"/>
                <w:b/>
                <w:sz w:val="18"/>
                <w:szCs w:val="18"/>
              </w:rPr>
            </w:pPr>
            <w:r w:rsidRPr="002109B6">
              <w:rPr>
                <w:rFonts w:ascii="Arial" w:hAnsi="Arial" w:cs="Arial"/>
                <w:b/>
                <w:sz w:val="18"/>
                <w:szCs w:val="18"/>
              </w:rPr>
              <w:t>30</w:t>
            </w:r>
          </w:p>
        </w:tc>
      </w:tr>
      <w:tr w:rsidR="00AB6E1E" w:rsidRPr="00D83BE8" w14:paraId="47A70033" w14:textId="77777777" w:rsidTr="00D86D7A">
        <w:tc>
          <w:tcPr>
            <w:tcW w:w="6020" w:type="dxa"/>
          </w:tcPr>
          <w:p w14:paraId="300BE2AB" w14:textId="77777777" w:rsidR="00AB6E1E" w:rsidRPr="002109B6" w:rsidRDefault="00AB6E1E" w:rsidP="00A603E2">
            <w:pPr>
              <w:rPr>
                <w:rFonts w:ascii="Arial" w:hAnsi="Arial" w:cs="Arial"/>
                <w:sz w:val="18"/>
                <w:szCs w:val="18"/>
              </w:rPr>
            </w:pPr>
            <w:r w:rsidRPr="002109B6">
              <w:rPr>
                <w:rFonts w:ascii="Arial" w:hAnsi="Arial" w:cs="Arial"/>
                <w:sz w:val="18"/>
                <w:szCs w:val="18"/>
              </w:rPr>
              <w:t xml:space="preserve">Majetek, investice, technické zhodnocení - </w:t>
            </w:r>
          </w:p>
        </w:tc>
        <w:tc>
          <w:tcPr>
            <w:tcW w:w="1985" w:type="dxa"/>
          </w:tcPr>
          <w:p w14:paraId="53037B88" w14:textId="77777777" w:rsidR="00AB6E1E" w:rsidRPr="002109B6" w:rsidRDefault="00AB6E1E" w:rsidP="00A603E2">
            <w:pPr>
              <w:jc w:val="center"/>
              <w:rPr>
                <w:rFonts w:ascii="Arial" w:hAnsi="Arial" w:cs="Arial"/>
                <w:b/>
                <w:sz w:val="18"/>
                <w:szCs w:val="18"/>
              </w:rPr>
            </w:pPr>
            <w:r w:rsidRPr="002109B6">
              <w:rPr>
                <w:rFonts w:ascii="Arial" w:hAnsi="Arial" w:cs="Arial"/>
                <w:b/>
                <w:sz w:val="18"/>
                <w:szCs w:val="18"/>
              </w:rPr>
              <w:t>30</w:t>
            </w:r>
          </w:p>
        </w:tc>
      </w:tr>
      <w:tr w:rsidR="00AB6E1E" w:rsidRPr="00D83BE8" w14:paraId="6FB5D23D" w14:textId="77777777" w:rsidTr="00D86D7A">
        <w:tc>
          <w:tcPr>
            <w:tcW w:w="6020" w:type="dxa"/>
          </w:tcPr>
          <w:p w14:paraId="6CBF7EAA" w14:textId="77777777" w:rsidR="00AB6E1E" w:rsidRPr="002109B6" w:rsidRDefault="00AB6E1E" w:rsidP="00A603E2">
            <w:pPr>
              <w:rPr>
                <w:rFonts w:ascii="Arial" w:hAnsi="Arial" w:cs="Arial"/>
                <w:sz w:val="18"/>
                <w:szCs w:val="18"/>
              </w:rPr>
            </w:pPr>
            <w:r w:rsidRPr="002109B6">
              <w:rPr>
                <w:rFonts w:ascii="Arial" w:hAnsi="Arial" w:cs="Arial"/>
                <w:sz w:val="18"/>
                <w:szCs w:val="18"/>
              </w:rPr>
              <w:t xml:space="preserve">Účetnictví, kalkulace a zakázky, upomínky a penále, CCS karty </w:t>
            </w:r>
          </w:p>
        </w:tc>
        <w:tc>
          <w:tcPr>
            <w:tcW w:w="1985" w:type="dxa"/>
          </w:tcPr>
          <w:p w14:paraId="096B2D4E" w14:textId="77777777" w:rsidR="00AB6E1E" w:rsidRPr="002109B6" w:rsidRDefault="00AB6E1E" w:rsidP="00A603E2">
            <w:pPr>
              <w:jc w:val="center"/>
              <w:rPr>
                <w:rFonts w:ascii="Arial" w:hAnsi="Arial" w:cs="Arial"/>
                <w:b/>
                <w:sz w:val="18"/>
                <w:szCs w:val="18"/>
              </w:rPr>
            </w:pPr>
            <w:r w:rsidRPr="002109B6">
              <w:rPr>
                <w:rFonts w:ascii="Arial" w:hAnsi="Arial" w:cs="Arial"/>
                <w:b/>
                <w:sz w:val="18"/>
                <w:szCs w:val="18"/>
              </w:rPr>
              <w:t>30</w:t>
            </w:r>
          </w:p>
        </w:tc>
      </w:tr>
      <w:tr w:rsidR="00AB6E1E" w:rsidRPr="00D83BE8" w14:paraId="0EEE05A8" w14:textId="77777777" w:rsidTr="00D86D7A">
        <w:tc>
          <w:tcPr>
            <w:tcW w:w="6020" w:type="dxa"/>
          </w:tcPr>
          <w:p w14:paraId="2D4F6440" w14:textId="77777777" w:rsidR="00AB6E1E" w:rsidRPr="002109B6" w:rsidRDefault="00AB6E1E" w:rsidP="00A603E2">
            <w:pPr>
              <w:rPr>
                <w:rFonts w:ascii="Arial" w:hAnsi="Arial" w:cs="Arial"/>
                <w:sz w:val="18"/>
                <w:szCs w:val="18"/>
              </w:rPr>
            </w:pPr>
            <w:r w:rsidRPr="002109B6">
              <w:rPr>
                <w:rFonts w:ascii="Arial" w:hAnsi="Arial" w:cs="Arial"/>
                <w:sz w:val="18"/>
                <w:szCs w:val="18"/>
              </w:rPr>
              <w:t>Účetnictví – pomocný konsolidační přehled</w:t>
            </w:r>
          </w:p>
        </w:tc>
        <w:tc>
          <w:tcPr>
            <w:tcW w:w="1985" w:type="dxa"/>
          </w:tcPr>
          <w:p w14:paraId="59C5A8EA" w14:textId="77777777" w:rsidR="00AB6E1E" w:rsidRPr="002109B6" w:rsidRDefault="00AB6E1E" w:rsidP="00A603E2">
            <w:pPr>
              <w:jc w:val="center"/>
              <w:rPr>
                <w:rFonts w:ascii="Arial" w:hAnsi="Arial" w:cs="Arial"/>
                <w:b/>
                <w:sz w:val="18"/>
                <w:szCs w:val="18"/>
              </w:rPr>
            </w:pPr>
            <w:r w:rsidRPr="002109B6">
              <w:rPr>
                <w:rFonts w:ascii="Arial" w:hAnsi="Arial" w:cs="Arial"/>
                <w:b/>
                <w:sz w:val="18"/>
                <w:szCs w:val="18"/>
              </w:rPr>
              <w:t>2</w:t>
            </w:r>
          </w:p>
        </w:tc>
      </w:tr>
      <w:tr w:rsidR="00AB6E1E" w:rsidRPr="00D83BE8" w14:paraId="173A24BC" w14:textId="77777777" w:rsidTr="00D86D7A">
        <w:tc>
          <w:tcPr>
            <w:tcW w:w="6020" w:type="dxa"/>
          </w:tcPr>
          <w:p w14:paraId="5C5BC00B" w14:textId="77777777" w:rsidR="00AB6E1E" w:rsidRPr="002109B6" w:rsidRDefault="00AB6E1E" w:rsidP="00A603E2">
            <w:pPr>
              <w:rPr>
                <w:rFonts w:ascii="Arial" w:hAnsi="Arial" w:cs="Arial"/>
                <w:sz w:val="18"/>
                <w:szCs w:val="18"/>
              </w:rPr>
            </w:pPr>
            <w:r w:rsidRPr="002109B6">
              <w:rPr>
                <w:rFonts w:ascii="Arial" w:hAnsi="Arial" w:cs="Arial"/>
                <w:sz w:val="18"/>
                <w:szCs w:val="18"/>
              </w:rPr>
              <w:t>Společné části a číselníky</w:t>
            </w:r>
          </w:p>
        </w:tc>
        <w:tc>
          <w:tcPr>
            <w:tcW w:w="1985" w:type="dxa"/>
          </w:tcPr>
          <w:p w14:paraId="46E340CF" w14:textId="77777777" w:rsidR="00AB6E1E" w:rsidRPr="002109B6" w:rsidRDefault="00AB6E1E" w:rsidP="00A603E2">
            <w:pPr>
              <w:jc w:val="center"/>
              <w:rPr>
                <w:rFonts w:ascii="Arial" w:hAnsi="Arial" w:cs="Arial"/>
                <w:b/>
                <w:sz w:val="18"/>
                <w:szCs w:val="18"/>
              </w:rPr>
            </w:pPr>
            <w:r w:rsidRPr="002109B6">
              <w:rPr>
                <w:rFonts w:ascii="Arial" w:hAnsi="Arial" w:cs="Arial"/>
                <w:b/>
                <w:sz w:val="18"/>
                <w:szCs w:val="18"/>
              </w:rPr>
              <w:t>30</w:t>
            </w:r>
          </w:p>
        </w:tc>
      </w:tr>
    </w:tbl>
    <w:p w14:paraId="2CA00A7A" w14:textId="77777777" w:rsidR="00AB6E1E" w:rsidRPr="002109B6" w:rsidRDefault="00AB6E1E" w:rsidP="00A603E2">
      <w:pPr>
        <w:spacing w:before="120" w:line="240" w:lineRule="atLeast"/>
        <w:jc w:val="both"/>
        <w:rPr>
          <w:rFonts w:ascii="Arial" w:hAnsi="Arial" w:cs="Arial"/>
          <w:sz w:val="16"/>
          <w:szCs w:val="16"/>
        </w:rPr>
      </w:pPr>
      <w:r w:rsidRPr="002109B6">
        <w:rPr>
          <w:rFonts w:ascii="Arial" w:hAnsi="Arial" w:cs="Arial"/>
          <w:sz w:val="16"/>
          <w:szCs w:val="16"/>
        </w:rPr>
        <w:t>/*Pojmenovaný uživatel – uživatel, který má oprávnění přihlášení k danému modulu IS a je uveden v tabulce HESEL.</w:t>
      </w:r>
    </w:p>
    <w:p w14:paraId="12BEBD6B" w14:textId="77777777" w:rsidR="007F611D" w:rsidRDefault="00F0679C" w:rsidP="002109B6">
      <w:pPr>
        <w:spacing w:before="120" w:line="240" w:lineRule="atLeast"/>
        <w:ind w:left="567"/>
        <w:jc w:val="both"/>
        <w:rPr>
          <w:rFonts w:ascii="Arial" w:hAnsi="Arial" w:cs="Arial"/>
          <w:sz w:val="22"/>
          <w:szCs w:val="22"/>
        </w:rPr>
      </w:pPr>
      <w:r w:rsidRPr="002109B6">
        <w:rPr>
          <w:rFonts w:ascii="Arial" w:hAnsi="Arial" w:cs="Arial"/>
          <w:sz w:val="22"/>
          <w:szCs w:val="22"/>
        </w:rPr>
        <w:t>Tímto ustanovením se nahrazuje ustanovení čl. 1 smlouvy</w:t>
      </w:r>
      <w:r w:rsidR="00A7106B" w:rsidRPr="008352B5">
        <w:rPr>
          <w:rFonts w:ascii="Arial" w:hAnsi="Arial" w:cs="Arial"/>
          <w:sz w:val="22"/>
          <w:szCs w:val="22"/>
        </w:rPr>
        <w:t xml:space="preserve"> </w:t>
      </w:r>
      <w:r w:rsidR="00A7106B" w:rsidRPr="002109B6">
        <w:rPr>
          <w:rFonts w:ascii="Arial" w:hAnsi="Arial"/>
          <w:sz w:val="22"/>
          <w:szCs w:val="22"/>
        </w:rPr>
        <w:t>S21/2002</w:t>
      </w:r>
      <w:r w:rsidRPr="002109B6">
        <w:rPr>
          <w:rFonts w:ascii="Arial" w:hAnsi="Arial" w:cs="Arial"/>
          <w:sz w:val="22"/>
          <w:szCs w:val="22"/>
        </w:rPr>
        <w:t xml:space="preserve"> upravující</w:t>
      </w:r>
      <w:r w:rsidR="00EB2C23">
        <w:rPr>
          <w:rFonts w:ascii="Arial" w:hAnsi="Arial" w:cs="Arial"/>
          <w:sz w:val="22"/>
          <w:szCs w:val="22"/>
        </w:rPr>
        <w:t xml:space="preserve"> </w:t>
      </w:r>
      <w:r w:rsidRPr="002109B6">
        <w:rPr>
          <w:rFonts w:ascii="Arial" w:hAnsi="Arial" w:cs="Arial"/>
          <w:sz w:val="22"/>
          <w:szCs w:val="22"/>
        </w:rPr>
        <w:t xml:space="preserve">počet </w:t>
      </w:r>
      <w:r w:rsidR="007F611D">
        <w:rPr>
          <w:rFonts w:ascii="Arial" w:hAnsi="Arial" w:cs="Arial"/>
          <w:sz w:val="22"/>
          <w:szCs w:val="22"/>
        </w:rPr>
        <w:t>poskytnutých</w:t>
      </w:r>
      <w:r w:rsidR="007F611D" w:rsidRPr="002109B6">
        <w:rPr>
          <w:rFonts w:ascii="Arial" w:hAnsi="Arial" w:cs="Arial"/>
          <w:sz w:val="22"/>
          <w:szCs w:val="22"/>
        </w:rPr>
        <w:t xml:space="preserve"> </w:t>
      </w:r>
      <w:r w:rsidRPr="002109B6">
        <w:rPr>
          <w:rFonts w:ascii="Arial" w:hAnsi="Arial" w:cs="Arial"/>
          <w:sz w:val="22"/>
          <w:szCs w:val="22"/>
        </w:rPr>
        <w:t>licencí IS COMPEKON.</w:t>
      </w:r>
    </w:p>
    <w:p w14:paraId="3A757635" w14:textId="77777777" w:rsidR="00F0679C" w:rsidRPr="002109B6" w:rsidRDefault="00F0679C" w:rsidP="002109B6">
      <w:pPr>
        <w:spacing w:before="120" w:line="240" w:lineRule="atLeast"/>
        <w:ind w:left="567"/>
        <w:jc w:val="both"/>
        <w:rPr>
          <w:rFonts w:ascii="Arial" w:hAnsi="Arial" w:cs="Arial"/>
          <w:sz w:val="22"/>
          <w:szCs w:val="22"/>
        </w:rPr>
      </w:pPr>
      <w:r w:rsidRPr="002109B6">
        <w:rPr>
          <w:rFonts w:ascii="Arial" w:hAnsi="Arial" w:cs="Arial"/>
          <w:sz w:val="22"/>
          <w:szCs w:val="22"/>
        </w:rPr>
        <w:t xml:space="preserve"> </w:t>
      </w:r>
    </w:p>
    <w:p w14:paraId="47449BE8" w14:textId="77777777" w:rsidR="00F0679C" w:rsidRDefault="00A603E2" w:rsidP="002109B6">
      <w:pPr>
        <w:pStyle w:val="Nadpis3"/>
        <w:numPr>
          <w:ilvl w:val="2"/>
          <w:numId w:val="16"/>
        </w:numPr>
        <w:ind w:left="851" w:hanging="284"/>
      </w:pPr>
      <w:r w:rsidRPr="00D13347">
        <w:t>l</w:t>
      </w:r>
      <w:r w:rsidR="00F0679C" w:rsidRPr="002109B6">
        <w:t>icenc</w:t>
      </w:r>
      <w:r w:rsidR="00380795">
        <w:t>i</w:t>
      </w:r>
      <w:r w:rsidR="00F0679C" w:rsidRPr="002109B6">
        <w:t xml:space="preserve"> UNIFACE (programové prostředí)</w:t>
      </w:r>
    </w:p>
    <w:p w14:paraId="2E1DE627" w14:textId="77777777" w:rsidR="00380795" w:rsidRDefault="00EB2C23" w:rsidP="002109B6">
      <w:pPr>
        <w:rPr>
          <w:rFonts w:ascii="Arial" w:hAnsi="Arial" w:cs="Arial"/>
          <w:sz w:val="22"/>
          <w:szCs w:val="22"/>
        </w:rPr>
      </w:pPr>
      <w:r w:rsidRPr="00EB2C23">
        <w:rPr>
          <w:rFonts w:ascii="Arial" w:hAnsi="Arial" w:cs="Arial"/>
          <w:sz w:val="22"/>
          <w:szCs w:val="22"/>
        </w:rPr>
        <w:t>Licence uvedené v bod</w:t>
      </w:r>
      <w:r>
        <w:rPr>
          <w:rFonts w:ascii="Arial" w:hAnsi="Arial" w:cs="Arial"/>
          <w:sz w:val="22"/>
          <w:szCs w:val="22"/>
        </w:rPr>
        <w:t>ech 2.1.1 a 2.1.2</w:t>
      </w:r>
      <w:r w:rsidRPr="002109B6">
        <w:rPr>
          <w:rFonts w:ascii="Arial" w:hAnsi="Arial" w:cs="Arial"/>
          <w:sz w:val="22"/>
          <w:szCs w:val="22"/>
        </w:rPr>
        <w:t xml:space="preserve"> jsou celkovým součtem všech licencí poskytnutých Dodavatelem Objednateli ke dni podpisu </w:t>
      </w:r>
      <w:r>
        <w:rPr>
          <w:rFonts w:ascii="Arial" w:hAnsi="Arial" w:cs="Arial"/>
          <w:sz w:val="22"/>
          <w:szCs w:val="22"/>
        </w:rPr>
        <w:t>tohoto</w:t>
      </w:r>
      <w:r w:rsidRPr="002109B6">
        <w:rPr>
          <w:rFonts w:ascii="Arial" w:hAnsi="Arial" w:cs="Arial"/>
          <w:sz w:val="22"/>
          <w:szCs w:val="22"/>
        </w:rPr>
        <w:t xml:space="preserve"> </w:t>
      </w:r>
      <w:r>
        <w:rPr>
          <w:rFonts w:ascii="Arial" w:hAnsi="Arial" w:cs="Arial"/>
          <w:sz w:val="22"/>
          <w:szCs w:val="22"/>
        </w:rPr>
        <w:t>dodatku</w:t>
      </w:r>
      <w:r w:rsidRPr="002109B6">
        <w:rPr>
          <w:rFonts w:ascii="Arial" w:hAnsi="Arial" w:cs="Arial"/>
          <w:sz w:val="22"/>
          <w:szCs w:val="22"/>
        </w:rPr>
        <w:t>.</w:t>
      </w:r>
    </w:p>
    <w:p w14:paraId="4C133BF6" w14:textId="77777777" w:rsidR="007F611D" w:rsidRPr="002109B6" w:rsidRDefault="007F611D" w:rsidP="002109B6">
      <w:pPr>
        <w:rPr>
          <w:rFonts w:ascii="Arial" w:hAnsi="Arial" w:cs="Arial"/>
          <w:sz w:val="22"/>
          <w:szCs w:val="22"/>
        </w:rPr>
      </w:pPr>
    </w:p>
    <w:p w14:paraId="18F02562" w14:textId="77777777" w:rsidR="00AB6E1E" w:rsidRPr="00D13347" w:rsidRDefault="00AB6E1E" w:rsidP="002109B6">
      <w:pPr>
        <w:pStyle w:val="Nadpis2"/>
        <w:numPr>
          <w:ilvl w:val="1"/>
          <w:numId w:val="16"/>
        </w:numPr>
        <w:tabs>
          <w:tab w:val="left" w:pos="567"/>
        </w:tabs>
        <w:ind w:left="0" w:firstLine="0"/>
        <w:rPr>
          <w:rFonts w:cs="Arial"/>
          <w:szCs w:val="22"/>
        </w:rPr>
      </w:pPr>
      <w:r w:rsidRPr="00D13347">
        <w:rPr>
          <w:rFonts w:cs="Arial"/>
          <w:szCs w:val="22"/>
        </w:rPr>
        <w:t>Pravidelné platby</w:t>
      </w:r>
    </w:p>
    <w:p w14:paraId="4FD6F259" w14:textId="77777777" w:rsidR="00AB6E1E" w:rsidRPr="002109B6" w:rsidRDefault="007F611D" w:rsidP="002109B6">
      <w:pPr>
        <w:pStyle w:val="Nadpis3"/>
        <w:numPr>
          <w:ilvl w:val="2"/>
          <w:numId w:val="16"/>
        </w:numPr>
        <w:ind w:left="1418" w:hanging="851"/>
        <w:jc w:val="both"/>
      </w:pPr>
      <w:r>
        <w:t>Úplata za roční technickou podporu</w:t>
      </w:r>
      <w:r w:rsidR="00AB6E1E" w:rsidRPr="002109B6">
        <w:t xml:space="preserve"> </w:t>
      </w:r>
      <w:r>
        <w:t>u licencí</w:t>
      </w:r>
      <w:r w:rsidR="00AB6E1E" w:rsidRPr="002109B6">
        <w:t xml:space="preserve"> IS Compekon byla sjednána ve výši 227.250,- Kč bez DPH a je splatná 1x ročně</w:t>
      </w:r>
      <w:r w:rsidR="005802A2" w:rsidRPr="002109B6">
        <w:t xml:space="preserve"> předem</w:t>
      </w:r>
      <w:r w:rsidR="00AB6E1E" w:rsidRPr="002109B6">
        <w:t xml:space="preserve"> vždy k 1.</w:t>
      </w:r>
      <w:r>
        <w:t> </w:t>
      </w:r>
      <w:r w:rsidR="00AB6E1E" w:rsidRPr="002109B6">
        <w:t>1. daného kalendářního roku.</w:t>
      </w:r>
    </w:p>
    <w:p w14:paraId="041C20B2" w14:textId="77777777" w:rsidR="00AB6E1E" w:rsidRPr="002109B6" w:rsidRDefault="007F611D" w:rsidP="002109B6">
      <w:pPr>
        <w:pStyle w:val="Nadpis3"/>
        <w:numPr>
          <w:ilvl w:val="2"/>
          <w:numId w:val="16"/>
        </w:numPr>
        <w:ind w:left="1418" w:hanging="851"/>
        <w:jc w:val="both"/>
      </w:pPr>
      <w:r>
        <w:t>Úplata za roční technickou podporu</w:t>
      </w:r>
      <w:r w:rsidRPr="002109B6">
        <w:t xml:space="preserve"> </w:t>
      </w:r>
      <w:r>
        <w:t xml:space="preserve">u </w:t>
      </w:r>
      <w:r w:rsidR="00AB6E1E" w:rsidRPr="002109B6">
        <w:t>licence Uniface byla sjednána ve výši  74.750,- Kč bez DPH a je splatná 1x ročně</w:t>
      </w:r>
      <w:r w:rsidR="005802A2" w:rsidRPr="002109B6">
        <w:t xml:space="preserve"> předem</w:t>
      </w:r>
      <w:r w:rsidR="00AB6E1E" w:rsidRPr="002109B6">
        <w:t xml:space="preserve"> vždy k 1.</w:t>
      </w:r>
      <w:r>
        <w:t> </w:t>
      </w:r>
      <w:r w:rsidR="00AB6E1E" w:rsidRPr="002109B6">
        <w:t>1. daného kalendářního roku.</w:t>
      </w:r>
    </w:p>
    <w:p w14:paraId="461EF068" w14:textId="77777777" w:rsidR="00AB6E1E" w:rsidRPr="002109B6" w:rsidRDefault="00AB6E1E" w:rsidP="002109B6">
      <w:pPr>
        <w:pStyle w:val="Nadpis3"/>
        <w:numPr>
          <w:ilvl w:val="2"/>
          <w:numId w:val="16"/>
        </w:numPr>
        <w:ind w:left="1418" w:hanging="851"/>
        <w:jc w:val="both"/>
      </w:pPr>
      <w:r w:rsidRPr="002109B6">
        <w:t>Poplatek za hotline a helpdesk byl sjednán ve výši 3.000,- Kč bez DPH a je splatný 1x měsíčně předem vždy k 1. pracovnímu dni každého měsíce.</w:t>
      </w:r>
    </w:p>
    <w:p w14:paraId="2BF991E9" w14:textId="77777777" w:rsidR="00AB6E1E" w:rsidRDefault="00AB6E1E" w:rsidP="002109B6">
      <w:pPr>
        <w:pStyle w:val="Nadpis3"/>
        <w:numPr>
          <w:ilvl w:val="2"/>
          <w:numId w:val="16"/>
        </w:numPr>
        <w:ind w:left="1418" w:hanging="851"/>
        <w:jc w:val="both"/>
      </w:pPr>
      <w:r w:rsidRPr="002109B6">
        <w:t xml:space="preserve">Poplatek za udržování vzdálené správy byl sjednán ve výši 5.000,- Kč bez DPH a je splatný 1x ročně </w:t>
      </w:r>
      <w:r w:rsidR="005802A2" w:rsidRPr="002109B6">
        <w:t xml:space="preserve">předem </w:t>
      </w:r>
      <w:r w:rsidRPr="002109B6">
        <w:t>vždy k 1.</w:t>
      </w:r>
      <w:r w:rsidR="007F611D">
        <w:t> </w:t>
      </w:r>
      <w:r w:rsidRPr="002109B6">
        <w:t>1. daného kalendářního roku.</w:t>
      </w:r>
    </w:p>
    <w:p w14:paraId="205F601A" w14:textId="77777777" w:rsidR="00380795" w:rsidRPr="002109B6" w:rsidRDefault="00380795" w:rsidP="002109B6"/>
    <w:p w14:paraId="05F691BA" w14:textId="77777777" w:rsidR="00AB6E1E" w:rsidRPr="002109B6" w:rsidRDefault="00AB6E1E" w:rsidP="002109B6">
      <w:pPr>
        <w:pStyle w:val="Nadpis2"/>
        <w:numPr>
          <w:ilvl w:val="1"/>
          <w:numId w:val="16"/>
        </w:numPr>
        <w:tabs>
          <w:tab w:val="left" w:pos="567"/>
        </w:tabs>
        <w:ind w:left="0" w:firstLine="0"/>
        <w:rPr>
          <w:rFonts w:cs="Arial"/>
          <w:szCs w:val="22"/>
        </w:rPr>
      </w:pPr>
      <w:r w:rsidRPr="002109B6">
        <w:rPr>
          <w:rFonts w:cs="Arial"/>
          <w:szCs w:val="22"/>
        </w:rPr>
        <w:t>Náležitosti a splatnost daňových dokladů</w:t>
      </w:r>
    </w:p>
    <w:p w14:paraId="5F413C99" w14:textId="77777777" w:rsidR="00AB6E1E" w:rsidRPr="002109B6" w:rsidRDefault="00AB6E1E" w:rsidP="002109B6">
      <w:pPr>
        <w:pStyle w:val="Nadpis3"/>
        <w:numPr>
          <w:ilvl w:val="2"/>
          <w:numId w:val="16"/>
        </w:numPr>
        <w:ind w:left="1418" w:hanging="851"/>
        <w:jc w:val="both"/>
      </w:pPr>
      <w:r w:rsidRPr="002109B6">
        <w:t>Daňové doklady (faktury) k uvedeným platbám doručí dodavatel do sídla objednatele nebo na e-mail</w:t>
      </w:r>
      <w:r w:rsidR="009C7DD1" w:rsidRPr="002109B6">
        <w:t xml:space="preserve">ovou adresu </w:t>
      </w:r>
      <w:r w:rsidR="005303A6">
        <w:t>xxx</w:t>
      </w:r>
      <w:r w:rsidR="009C7DD1" w:rsidRPr="002109B6">
        <w:t>@egap.cz</w:t>
      </w:r>
      <w:r w:rsidRPr="002109B6">
        <w:t xml:space="preserve"> nejpozději 30 dní před </w:t>
      </w:r>
      <w:r w:rsidRPr="002109B6">
        <w:lastRenderedPageBreak/>
        <w:t xml:space="preserve">výše uvedenými daty splatnosti, jinak objednatel není odpovědný za nedodržení uvedených termínů splatnosti a nedostane se do prodlení s platbou až do uplynutí patnácti kalendářních dní ode dne doručení daňového dokladu (faktury). </w:t>
      </w:r>
    </w:p>
    <w:p w14:paraId="64BEA3FA" w14:textId="77777777" w:rsidR="00AB6E1E" w:rsidRPr="002109B6" w:rsidRDefault="00AB6E1E" w:rsidP="002109B6">
      <w:pPr>
        <w:pStyle w:val="Nadpis3"/>
        <w:numPr>
          <w:ilvl w:val="2"/>
          <w:numId w:val="16"/>
        </w:numPr>
        <w:ind w:left="1418" w:hanging="851"/>
        <w:jc w:val="both"/>
      </w:pPr>
      <w:r w:rsidRPr="002109B6">
        <w:t>Každý daňový doklad (faktura) musí obsahovat náležitosti řádného daňového a účetního dokladu podle příslušných právních předpisů, zejm. zákona č. 235/2004 Sb., o dani z přidané hodnoty, ve znění pozdějších předpisů, jinak je objednatel oprávněn jej zaslat zpět ve lhůtě její splatnosti dodavateli k opravě nebo doplnění. Zasláním daňového dokladu se přerušuje běh lhůty jeho splatnosti. Nová lhůta splatnosti v délce patnácti kalendářních dnů počíná běžet dnem, kdy je objednateli doručen náležitě opravený nebo doplněný daňový doklad (faktura).</w:t>
      </w:r>
    </w:p>
    <w:p w14:paraId="00A5AB54" w14:textId="77777777" w:rsidR="00AB6E1E" w:rsidRPr="002109B6" w:rsidRDefault="00AB6E1E" w:rsidP="002109B6">
      <w:pPr>
        <w:pStyle w:val="Nadpis3"/>
        <w:numPr>
          <w:ilvl w:val="2"/>
          <w:numId w:val="16"/>
        </w:numPr>
        <w:ind w:left="1418" w:hanging="851"/>
        <w:jc w:val="both"/>
      </w:pPr>
      <w:r w:rsidRPr="002109B6">
        <w:t>Smluvní strany považují za okamžik splnění peněžitých závazků vyplývajících z tohoto dodatku, resp. smlouvy okamžik odeslání peněžité platby z účtu dlužníka na účet věřitele uvedený v záhlaví tohoto dodatku.</w:t>
      </w:r>
    </w:p>
    <w:p w14:paraId="6EAA7281" w14:textId="77777777" w:rsidR="005802A2" w:rsidRPr="002109B6" w:rsidRDefault="005802A2" w:rsidP="002109B6">
      <w:pPr>
        <w:pStyle w:val="Nadpis3"/>
        <w:numPr>
          <w:ilvl w:val="2"/>
          <w:numId w:val="16"/>
        </w:numPr>
        <w:ind w:left="1418" w:hanging="851"/>
        <w:jc w:val="both"/>
      </w:pPr>
      <w:r w:rsidRPr="002109B6">
        <w:t>Ustanovením čl.</w:t>
      </w:r>
      <w:r w:rsidR="00EC4ECC" w:rsidRPr="00EC4ECC">
        <w:t xml:space="preserve"> 2.</w:t>
      </w:r>
      <w:r w:rsidR="00EC4ECC">
        <w:t>2</w:t>
      </w:r>
      <w:r w:rsidRPr="002109B6">
        <w:t xml:space="preserve"> a 2.</w:t>
      </w:r>
      <w:r w:rsidR="00EC4ECC">
        <w:t>3</w:t>
      </w:r>
      <w:r w:rsidRPr="002109B6">
        <w:t xml:space="preserve"> tohoto Dodatku se nahrazují ustanovení čl. 4.1. bodů 1., 3., 4. a 5.</w:t>
      </w:r>
      <w:r w:rsidR="009C7DD1" w:rsidRPr="002109B6">
        <w:t xml:space="preserve"> smlouvy</w:t>
      </w:r>
      <w:r w:rsidRPr="002109B6">
        <w:t xml:space="preserve">, jakož i </w:t>
      </w:r>
      <w:r w:rsidR="009C7DD1" w:rsidRPr="002109B6">
        <w:t xml:space="preserve">ustanovení čl. 4.1. smlouvy upravující splatnost daňových dokladů (faktur). </w:t>
      </w:r>
    </w:p>
    <w:p w14:paraId="1BF7B986" w14:textId="77777777" w:rsidR="00C41527" w:rsidRPr="002109B6" w:rsidRDefault="00C41527" w:rsidP="002109B6">
      <w:pPr>
        <w:pStyle w:val="nadpislnku"/>
        <w:spacing w:line="276" w:lineRule="auto"/>
        <w:jc w:val="left"/>
        <w:rPr>
          <w:rFonts w:cs="Arial"/>
          <w:sz w:val="22"/>
          <w:szCs w:val="22"/>
        </w:rPr>
      </w:pPr>
    </w:p>
    <w:p w14:paraId="099515E3" w14:textId="77777777" w:rsidR="00CB43BC" w:rsidRPr="00D13347" w:rsidRDefault="00380795" w:rsidP="002109B6">
      <w:pPr>
        <w:pStyle w:val="Nadpis2"/>
        <w:numPr>
          <w:ilvl w:val="1"/>
          <w:numId w:val="16"/>
        </w:numPr>
        <w:tabs>
          <w:tab w:val="left" w:pos="567"/>
        </w:tabs>
        <w:ind w:left="0" w:firstLine="0"/>
        <w:rPr>
          <w:rFonts w:cs="Arial"/>
          <w:szCs w:val="22"/>
        </w:rPr>
      </w:pPr>
      <w:r>
        <w:rPr>
          <w:rFonts w:cs="Arial"/>
          <w:szCs w:val="22"/>
        </w:rPr>
        <w:t>O</w:t>
      </w:r>
      <w:r w:rsidR="00CB43BC" w:rsidRPr="00D13347">
        <w:rPr>
          <w:rFonts w:cs="Arial"/>
          <w:szCs w:val="22"/>
        </w:rPr>
        <w:t>dpovědnost za škodu</w:t>
      </w:r>
    </w:p>
    <w:p w14:paraId="37754E87" w14:textId="77777777" w:rsidR="00CB43BC" w:rsidRPr="003D41B2" w:rsidRDefault="00885E41" w:rsidP="002109B6">
      <w:pPr>
        <w:pStyle w:val="Nadpis3"/>
        <w:numPr>
          <w:ilvl w:val="2"/>
          <w:numId w:val="16"/>
        </w:numPr>
        <w:ind w:left="1418" w:hanging="851"/>
        <w:jc w:val="both"/>
      </w:pPr>
      <w:r w:rsidRPr="00D13347">
        <w:t>Každá ze smluvních stran nese odpovědnost za škodu způsobenou při plnění sml</w:t>
      </w:r>
      <w:r w:rsidRPr="00A7106B">
        <w:t>ouvy, včetně jejích dodatků</w:t>
      </w:r>
      <w:r w:rsidR="005802A2" w:rsidRPr="00A7106B">
        <w:t>,</w:t>
      </w:r>
      <w:r w:rsidRPr="008352B5">
        <w:t xml:space="preserve"> podle účinných právních předpisů, </w:t>
      </w:r>
      <w:r w:rsidRPr="00D83BE8">
        <w:t>zejména zákona č. 89/2012, občanský zákoník, ve zn</w:t>
      </w:r>
      <w:r w:rsidRPr="003D41B2">
        <w:t>ění pozdějších předpisů</w:t>
      </w:r>
      <w:r w:rsidR="005534A8">
        <w:t xml:space="preserve"> </w:t>
      </w:r>
      <w:r w:rsidR="005534A8" w:rsidRPr="002109B6">
        <w:rPr>
          <w:color w:val="000000"/>
          <w:kern w:val="28"/>
        </w:rPr>
        <w:t>(dále jen “občanský zákoník“)</w:t>
      </w:r>
      <w:r w:rsidRPr="003D41B2">
        <w:t xml:space="preserve">. </w:t>
      </w:r>
    </w:p>
    <w:p w14:paraId="2A525933" w14:textId="77777777" w:rsidR="00CB43BC" w:rsidRPr="002109B6" w:rsidRDefault="00CB43BC" w:rsidP="002109B6">
      <w:pPr>
        <w:pStyle w:val="Nadpis3"/>
        <w:numPr>
          <w:ilvl w:val="2"/>
          <w:numId w:val="16"/>
        </w:numPr>
        <w:ind w:left="1418" w:hanging="851"/>
        <w:jc w:val="both"/>
      </w:pPr>
      <w:r w:rsidRPr="002109B6">
        <w:t xml:space="preserve">Smluvní strany neodpovídají za porušení závazků ze smlouvy způsobené vyšší mocí, tj. okolnostmi nastalými nezávisle na vůli kterékoli ze smluvních stran, které nebylo </w:t>
      </w:r>
      <w:r w:rsidR="000C63AF">
        <w:t>možné</w:t>
      </w:r>
      <w:r w:rsidRPr="002109B6">
        <w:t xml:space="preserve"> ani s vynaložením veškerého možného úsilí odvrátit a o nichž se smluvní strany bez zbytečného odkladu písemně vyrozuměly</w:t>
      </w:r>
      <w:r w:rsidR="00885E41" w:rsidRPr="002109B6">
        <w:t xml:space="preserve"> (dále jen „okolnosti vylučující odpovědnost“)</w:t>
      </w:r>
      <w:r w:rsidRPr="002109B6">
        <w:t>.</w:t>
      </w:r>
    </w:p>
    <w:p w14:paraId="3434D04C" w14:textId="77777777" w:rsidR="00885E41" w:rsidRPr="008352B5" w:rsidRDefault="00885E41" w:rsidP="002109B6">
      <w:pPr>
        <w:pStyle w:val="Nadpis3"/>
        <w:numPr>
          <w:ilvl w:val="2"/>
          <w:numId w:val="16"/>
        </w:numPr>
        <w:ind w:left="1418" w:hanging="851"/>
        <w:jc w:val="both"/>
      </w:pPr>
      <w:r w:rsidRPr="002109B6">
        <w:t xml:space="preserve">Smluvní strany se zavazují upozornit druhou smluvní stranu bez zbytečného odkladu na vzniklé okolnosti vylučující odpovědnost bránící řádnému plnění </w:t>
      </w:r>
      <w:r w:rsidR="005802A2" w:rsidRPr="002109B6">
        <w:t>s</w:t>
      </w:r>
      <w:r w:rsidRPr="002109B6">
        <w:t>mlouvy. Smluvní strany se zavazují k vyvinutí maximálního úsilí k odvrácení a</w:t>
      </w:r>
      <w:r w:rsidR="00A7106B">
        <w:t> </w:t>
      </w:r>
      <w:r w:rsidRPr="00A7106B">
        <w:t>překonání okolností vylučujících odpovědnost.</w:t>
      </w:r>
    </w:p>
    <w:p w14:paraId="6927B41F" w14:textId="77777777" w:rsidR="00AB6E1E" w:rsidRDefault="00AB6E1E" w:rsidP="00A603E2">
      <w:pPr>
        <w:pStyle w:val="Zkladntextodsazen2"/>
        <w:ind w:left="0"/>
        <w:rPr>
          <w:rFonts w:ascii="Verdana" w:hAnsi="Verdana"/>
          <w:b/>
          <w:bCs/>
          <w:sz w:val="32"/>
          <w:szCs w:val="32"/>
        </w:rPr>
      </w:pPr>
    </w:p>
    <w:p w14:paraId="3335F22A" w14:textId="77777777" w:rsidR="00AB6E1E" w:rsidRDefault="00AB6E1E" w:rsidP="002109B6">
      <w:pPr>
        <w:pStyle w:val="Nadpis1"/>
      </w:pPr>
      <w:r>
        <w:t xml:space="preserve">Aktualizace přílohy č. 2 a doplnění přílohy č. </w:t>
      </w:r>
      <w:r w:rsidR="00380795">
        <w:t>4</w:t>
      </w:r>
      <w:r>
        <w:t xml:space="preserve"> smlouvy S21/2002</w:t>
      </w:r>
    </w:p>
    <w:p w14:paraId="3797F420" w14:textId="77777777" w:rsidR="00AB6E1E" w:rsidRDefault="00AB6E1E" w:rsidP="00A603E2">
      <w:pPr>
        <w:pStyle w:val="Zkladntextodsazen2"/>
        <w:ind w:left="0"/>
        <w:rPr>
          <w:rFonts w:ascii="Verdana" w:hAnsi="Verdana"/>
        </w:rPr>
      </w:pPr>
    </w:p>
    <w:p w14:paraId="5B7D324F" w14:textId="77777777" w:rsidR="00AB6E1E" w:rsidRPr="002109B6" w:rsidRDefault="00AB6E1E" w:rsidP="002109B6">
      <w:pPr>
        <w:pStyle w:val="Nadpis2"/>
        <w:numPr>
          <w:ilvl w:val="1"/>
          <w:numId w:val="65"/>
        </w:numPr>
        <w:ind w:left="567" w:hanging="567"/>
        <w:rPr>
          <w:rFonts w:cs="Arial"/>
          <w:szCs w:val="22"/>
        </w:rPr>
      </w:pPr>
      <w:r w:rsidRPr="002109B6">
        <w:rPr>
          <w:rFonts w:cs="Arial"/>
          <w:szCs w:val="22"/>
        </w:rPr>
        <w:t>Při vzdáleném přístupu budou používány standardní prostředky objednatele.</w:t>
      </w:r>
      <w:r w:rsidR="00F96DA8" w:rsidRPr="002109B6">
        <w:rPr>
          <w:rFonts w:cs="Arial"/>
          <w:szCs w:val="22"/>
        </w:rPr>
        <w:t xml:space="preserve"> Prostředky vzdáleného přístupu sdělí objednatel dodavateli elektronicky na e-mailovou adresu uvedenou v záhlaví této smlouvy. Smluvní strany </w:t>
      </w:r>
      <w:r w:rsidR="00212B63" w:rsidRPr="002109B6">
        <w:rPr>
          <w:rFonts w:cs="Arial"/>
          <w:szCs w:val="22"/>
        </w:rPr>
        <w:t xml:space="preserve">berou na vědomí a </w:t>
      </w:r>
      <w:r w:rsidR="00F96DA8" w:rsidRPr="002109B6">
        <w:rPr>
          <w:rFonts w:cs="Arial"/>
          <w:szCs w:val="22"/>
        </w:rPr>
        <w:t xml:space="preserve">souhlasí, že přístupy dodavatele do informačních systémů objednatele jsou dodavatelem evidovány. </w:t>
      </w:r>
      <w:r w:rsidRPr="002109B6">
        <w:rPr>
          <w:rFonts w:cs="Arial"/>
          <w:szCs w:val="22"/>
        </w:rPr>
        <w:t>Tímto se ruší bod A přílohy č.</w:t>
      </w:r>
      <w:r w:rsidR="00D13347" w:rsidRPr="00A7106B">
        <w:rPr>
          <w:rFonts w:cs="Arial"/>
          <w:szCs w:val="22"/>
        </w:rPr>
        <w:t xml:space="preserve"> </w:t>
      </w:r>
      <w:r w:rsidRPr="002109B6">
        <w:rPr>
          <w:rFonts w:cs="Arial"/>
          <w:szCs w:val="22"/>
        </w:rPr>
        <w:t>2 smlouvy S21/2002.</w:t>
      </w:r>
    </w:p>
    <w:p w14:paraId="6CFFF3DD" w14:textId="77777777" w:rsidR="00AB6E1E" w:rsidRPr="002109B6" w:rsidRDefault="00AB6E1E" w:rsidP="002109B6">
      <w:pPr>
        <w:pStyle w:val="Nadpis2"/>
        <w:numPr>
          <w:ilvl w:val="1"/>
          <w:numId w:val="65"/>
        </w:numPr>
        <w:ind w:left="567" w:hanging="567"/>
        <w:rPr>
          <w:rFonts w:cs="Arial"/>
          <w:szCs w:val="22"/>
        </w:rPr>
      </w:pPr>
      <w:r w:rsidRPr="002109B6">
        <w:rPr>
          <w:rFonts w:cs="Arial"/>
          <w:szCs w:val="22"/>
        </w:rPr>
        <w:t xml:space="preserve">Dále se doplňuje příloha č. 4 smlouvy S21/2002, která tvoří její nedílnou součást. </w:t>
      </w:r>
    </w:p>
    <w:p w14:paraId="323B4618" w14:textId="77777777" w:rsidR="00AB6E1E" w:rsidRDefault="00AB6E1E" w:rsidP="00A603E2">
      <w:pPr>
        <w:pStyle w:val="Zkladntextodsazen2"/>
        <w:ind w:left="0"/>
        <w:rPr>
          <w:rFonts w:ascii="Verdana" w:hAnsi="Verdana"/>
        </w:rPr>
      </w:pPr>
    </w:p>
    <w:p w14:paraId="26FCD445" w14:textId="77777777" w:rsidR="00380795" w:rsidRDefault="00380795" w:rsidP="00A603E2">
      <w:pPr>
        <w:pStyle w:val="Zkladntextodsazen2"/>
        <w:ind w:left="0"/>
        <w:rPr>
          <w:rFonts w:ascii="Verdana" w:hAnsi="Verdana"/>
        </w:rPr>
      </w:pPr>
    </w:p>
    <w:p w14:paraId="4C6834D4" w14:textId="77777777" w:rsidR="00380795" w:rsidRDefault="00380795" w:rsidP="00A603E2">
      <w:pPr>
        <w:pStyle w:val="Zkladntextodsazen2"/>
        <w:ind w:left="0"/>
        <w:rPr>
          <w:rFonts w:ascii="Verdana" w:hAnsi="Verdana"/>
        </w:rPr>
      </w:pPr>
    </w:p>
    <w:p w14:paraId="54BF9A15" w14:textId="77777777" w:rsidR="00380795" w:rsidRDefault="00380795" w:rsidP="00A603E2">
      <w:pPr>
        <w:pStyle w:val="Zkladntextodsazen2"/>
        <w:ind w:left="0"/>
        <w:rPr>
          <w:rFonts w:ascii="Verdana" w:hAnsi="Verdana"/>
        </w:rPr>
      </w:pPr>
    </w:p>
    <w:p w14:paraId="5586F523" w14:textId="77777777" w:rsidR="00380795" w:rsidRDefault="00380795" w:rsidP="00A603E2">
      <w:pPr>
        <w:pStyle w:val="Zkladntextodsazen2"/>
        <w:ind w:left="0"/>
        <w:rPr>
          <w:rFonts w:ascii="Verdana" w:hAnsi="Verdana"/>
        </w:rPr>
      </w:pPr>
    </w:p>
    <w:p w14:paraId="357733EE" w14:textId="77777777" w:rsidR="00AB6E1E" w:rsidRDefault="00AB6E1E" w:rsidP="002109B6">
      <w:pPr>
        <w:pStyle w:val="Nadpis1"/>
      </w:pPr>
      <w:r w:rsidRPr="00D13347">
        <w:t>Odpovědné</w:t>
      </w:r>
      <w:r>
        <w:t xml:space="preserve"> </w:t>
      </w:r>
      <w:r w:rsidRPr="002109B6">
        <w:t>osoby</w:t>
      </w:r>
      <w:r>
        <w:t xml:space="preserve"> dodavatele a objednatele</w:t>
      </w:r>
    </w:p>
    <w:p w14:paraId="391000BC" w14:textId="77777777" w:rsidR="00380795" w:rsidRPr="00D13347" w:rsidRDefault="00380795" w:rsidP="002109B6"/>
    <w:p w14:paraId="35F90CE1" w14:textId="77777777" w:rsidR="00AB6E1E" w:rsidRPr="002109B6" w:rsidRDefault="00AB6E1E" w:rsidP="002109B6">
      <w:pPr>
        <w:pStyle w:val="Nadpis2"/>
        <w:numPr>
          <w:ilvl w:val="1"/>
          <w:numId w:val="67"/>
        </w:numPr>
        <w:ind w:left="567" w:hanging="567"/>
        <w:rPr>
          <w:rFonts w:cs="Arial"/>
          <w:szCs w:val="22"/>
        </w:rPr>
      </w:pPr>
      <w:r w:rsidRPr="002109B6">
        <w:rPr>
          <w:rFonts w:cs="Arial"/>
          <w:szCs w:val="22"/>
        </w:rPr>
        <w:t>Odpovědné osoby dodavatele</w:t>
      </w:r>
      <w:r w:rsidR="00380795" w:rsidRPr="00A7106B">
        <w:rPr>
          <w:rFonts w:cs="Arial"/>
          <w:szCs w:val="22"/>
        </w:rPr>
        <w:t xml:space="preserve"> oprávněné vykonávat za </w:t>
      </w:r>
      <w:r w:rsidR="00380795" w:rsidRPr="008352B5">
        <w:rPr>
          <w:rFonts w:cs="Arial"/>
          <w:szCs w:val="22"/>
        </w:rPr>
        <w:t>dodavatele činnost pro objednatele</w:t>
      </w:r>
    </w:p>
    <w:p w14:paraId="2E6FF2C0" w14:textId="77777777" w:rsidR="00AB6E1E" w:rsidRPr="00AB1D27" w:rsidRDefault="00AB6E1E" w:rsidP="00A603E2">
      <w:pPr>
        <w:rPr>
          <w:rFonts w:ascii="Arial" w:hAnsi="Arial"/>
        </w:rPr>
      </w:pPr>
    </w:p>
    <w:tbl>
      <w:tblPr>
        <w:tblStyle w:val="Mkatabulky"/>
        <w:tblW w:w="0" w:type="auto"/>
        <w:tblLook w:val="01E0" w:firstRow="1" w:lastRow="1" w:firstColumn="1" w:lastColumn="1" w:noHBand="0" w:noVBand="0"/>
      </w:tblPr>
      <w:tblGrid>
        <w:gridCol w:w="2376"/>
        <w:gridCol w:w="1850"/>
        <w:gridCol w:w="1836"/>
        <w:gridCol w:w="3224"/>
      </w:tblGrid>
      <w:tr w:rsidR="00AB6E1E" w:rsidRPr="00AB1D27" w14:paraId="3045465C" w14:textId="77777777" w:rsidTr="00D86D7A">
        <w:tc>
          <w:tcPr>
            <w:tcW w:w="2376" w:type="dxa"/>
          </w:tcPr>
          <w:p w14:paraId="17C06F84" w14:textId="77777777" w:rsidR="00AB6E1E" w:rsidRPr="00F669E1" w:rsidRDefault="00AB6E1E" w:rsidP="00A603E2">
            <w:pPr>
              <w:jc w:val="center"/>
              <w:rPr>
                <w:rFonts w:ascii="Arial" w:hAnsi="Arial" w:cs="Arial"/>
                <w:b/>
              </w:rPr>
            </w:pPr>
            <w:r w:rsidRPr="00F669E1">
              <w:rPr>
                <w:rFonts w:ascii="Arial" w:hAnsi="Arial" w:cs="Arial"/>
                <w:b/>
              </w:rPr>
              <w:t>Jméno</w:t>
            </w:r>
          </w:p>
        </w:tc>
        <w:tc>
          <w:tcPr>
            <w:tcW w:w="1850" w:type="dxa"/>
          </w:tcPr>
          <w:p w14:paraId="4C82E488" w14:textId="77777777" w:rsidR="00AB6E1E" w:rsidRPr="00F669E1" w:rsidRDefault="00AB6E1E" w:rsidP="00A603E2">
            <w:pPr>
              <w:jc w:val="center"/>
              <w:rPr>
                <w:rFonts w:ascii="Arial" w:hAnsi="Arial" w:cs="Arial"/>
                <w:b/>
              </w:rPr>
            </w:pPr>
            <w:r w:rsidRPr="00F669E1">
              <w:rPr>
                <w:rFonts w:ascii="Arial" w:hAnsi="Arial" w:cs="Arial"/>
                <w:b/>
              </w:rPr>
              <w:t>Login</w:t>
            </w:r>
          </w:p>
          <w:p w14:paraId="54861D7B" w14:textId="77777777" w:rsidR="00AB6E1E" w:rsidRPr="00F669E1" w:rsidRDefault="00AB6E1E" w:rsidP="00A603E2">
            <w:pPr>
              <w:jc w:val="center"/>
              <w:rPr>
                <w:rFonts w:ascii="Arial" w:hAnsi="Arial" w:cs="Arial"/>
                <w:b/>
              </w:rPr>
            </w:pPr>
          </w:p>
        </w:tc>
        <w:tc>
          <w:tcPr>
            <w:tcW w:w="1836" w:type="dxa"/>
            <w:shd w:val="clear" w:color="auto" w:fill="auto"/>
          </w:tcPr>
          <w:p w14:paraId="3825DCFD" w14:textId="77777777" w:rsidR="00AB6E1E" w:rsidRPr="00F669E1" w:rsidRDefault="00AB6E1E" w:rsidP="00A603E2">
            <w:pPr>
              <w:jc w:val="center"/>
              <w:rPr>
                <w:rFonts w:ascii="Arial" w:hAnsi="Arial" w:cs="Arial"/>
                <w:b/>
              </w:rPr>
            </w:pPr>
            <w:r w:rsidRPr="00F669E1">
              <w:rPr>
                <w:rFonts w:ascii="Arial" w:hAnsi="Arial" w:cs="Arial"/>
                <w:b/>
              </w:rPr>
              <w:t>Telefon</w:t>
            </w:r>
          </w:p>
        </w:tc>
        <w:tc>
          <w:tcPr>
            <w:tcW w:w="3224" w:type="dxa"/>
            <w:shd w:val="clear" w:color="auto" w:fill="auto"/>
          </w:tcPr>
          <w:p w14:paraId="1F9B9F91" w14:textId="77777777" w:rsidR="00AB6E1E" w:rsidRPr="00F669E1" w:rsidRDefault="00AB6E1E" w:rsidP="00A603E2">
            <w:pPr>
              <w:jc w:val="center"/>
              <w:rPr>
                <w:rFonts w:ascii="Arial" w:hAnsi="Arial" w:cs="Arial"/>
                <w:b/>
              </w:rPr>
            </w:pPr>
            <w:r w:rsidRPr="00F669E1">
              <w:rPr>
                <w:rFonts w:ascii="Arial" w:hAnsi="Arial" w:cs="Arial"/>
                <w:b/>
              </w:rPr>
              <w:t>e-mail</w:t>
            </w:r>
          </w:p>
        </w:tc>
      </w:tr>
      <w:tr w:rsidR="00AB6E1E" w:rsidRPr="00AB1D27" w14:paraId="361110A2" w14:textId="77777777" w:rsidTr="00D86D7A">
        <w:tc>
          <w:tcPr>
            <w:tcW w:w="2376" w:type="dxa"/>
          </w:tcPr>
          <w:p w14:paraId="6CA8F23D" w14:textId="77777777" w:rsidR="00AB6E1E" w:rsidRPr="00F669E1" w:rsidRDefault="005303A6" w:rsidP="00A603E2">
            <w:pPr>
              <w:rPr>
                <w:rFonts w:ascii="Arial" w:hAnsi="Arial" w:cs="Arial"/>
              </w:rPr>
            </w:pPr>
            <w:r>
              <w:rPr>
                <w:rFonts w:ascii="Arial" w:hAnsi="Arial" w:cs="Arial"/>
              </w:rPr>
              <w:t>xxx</w:t>
            </w:r>
          </w:p>
        </w:tc>
        <w:tc>
          <w:tcPr>
            <w:tcW w:w="1850" w:type="dxa"/>
          </w:tcPr>
          <w:p w14:paraId="2861FE8E" w14:textId="77777777" w:rsidR="00AB6E1E" w:rsidRPr="00F669E1" w:rsidRDefault="00AB6E1E" w:rsidP="00A603E2">
            <w:pPr>
              <w:rPr>
                <w:rFonts w:ascii="Arial" w:hAnsi="Arial" w:cs="Arial"/>
              </w:rPr>
            </w:pPr>
          </w:p>
        </w:tc>
        <w:tc>
          <w:tcPr>
            <w:tcW w:w="1836" w:type="dxa"/>
            <w:shd w:val="clear" w:color="auto" w:fill="auto"/>
          </w:tcPr>
          <w:p w14:paraId="526F52BE" w14:textId="77777777" w:rsidR="00AB6E1E" w:rsidRPr="00F669E1" w:rsidRDefault="005303A6" w:rsidP="00A603E2">
            <w:pPr>
              <w:rPr>
                <w:rFonts w:ascii="Arial" w:hAnsi="Arial" w:cs="Arial"/>
              </w:rPr>
            </w:pPr>
            <w:r>
              <w:rPr>
                <w:rFonts w:ascii="Arial" w:hAnsi="Arial" w:cs="Arial"/>
              </w:rPr>
              <w:t>xxx</w:t>
            </w:r>
          </w:p>
        </w:tc>
        <w:tc>
          <w:tcPr>
            <w:tcW w:w="3224" w:type="dxa"/>
            <w:shd w:val="clear" w:color="auto" w:fill="auto"/>
          </w:tcPr>
          <w:p w14:paraId="13C635F7" w14:textId="77777777" w:rsidR="00AB6E1E" w:rsidRPr="00F669E1" w:rsidRDefault="005303A6" w:rsidP="00A603E2">
            <w:pPr>
              <w:rPr>
                <w:rFonts w:ascii="Arial" w:hAnsi="Arial" w:cs="Arial"/>
              </w:rPr>
            </w:pPr>
            <w:r>
              <w:rPr>
                <w:rFonts w:ascii="Arial" w:hAnsi="Arial" w:cs="Arial"/>
              </w:rPr>
              <w:t>xxx</w:t>
            </w:r>
          </w:p>
        </w:tc>
      </w:tr>
      <w:tr w:rsidR="00AB6E1E" w:rsidRPr="00AB1D27" w14:paraId="3C97DD92" w14:textId="77777777" w:rsidTr="00D86D7A">
        <w:tc>
          <w:tcPr>
            <w:tcW w:w="2376" w:type="dxa"/>
          </w:tcPr>
          <w:p w14:paraId="47B7F0C4" w14:textId="77777777" w:rsidR="00AB6E1E" w:rsidRPr="00F669E1" w:rsidRDefault="005303A6" w:rsidP="00A603E2">
            <w:pPr>
              <w:rPr>
                <w:rFonts w:ascii="Arial" w:hAnsi="Arial" w:cs="Arial"/>
              </w:rPr>
            </w:pPr>
            <w:r>
              <w:rPr>
                <w:rFonts w:ascii="Arial" w:hAnsi="Arial" w:cs="Arial"/>
              </w:rPr>
              <w:t>xxx</w:t>
            </w:r>
          </w:p>
        </w:tc>
        <w:tc>
          <w:tcPr>
            <w:tcW w:w="1850" w:type="dxa"/>
          </w:tcPr>
          <w:p w14:paraId="769C67D7" w14:textId="77777777" w:rsidR="00AB6E1E" w:rsidRPr="00F669E1" w:rsidRDefault="00AB6E1E" w:rsidP="00A603E2">
            <w:pPr>
              <w:rPr>
                <w:rFonts w:ascii="Arial" w:hAnsi="Arial" w:cs="Arial"/>
              </w:rPr>
            </w:pPr>
          </w:p>
        </w:tc>
        <w:tc>
          <w:tcPr>
            <w:tcW w:w="1836" w:type="dxa"/>
            <w:shd w:val="clear" w:color="auto" w:fill="auto"/>
          </w:tcPr>
          <w:p w14:paraId="69489EBC" w14:textId="77777777" w:rsidR="00AB6E1E" w:rsidRPr="00F669E1" w:rsidRDefault="005303A6" w:rsidP="00A603E2">
            <w:pPr>
              <w:rPr>
                <w:rFonts w:ascii="Arial" w:hAnsi="Arial" w:cs="Arial"/>
              </w:rPr>
            </w:pPr>
            <w:r>
              <w:rPr>
                <w:rFonts w:ascii="Arial" w:hAnsi="Arial" w:cs="Arial"/>
              </w:rPr>
              <w:t>xxx</w:t>
            </w:r>
          </w:p>
        </w:tc>
        <w:tc>
          <w:tcPr>
            <w:tcW w:w="3224" w:type="dxa"/>
            <w:shd w:val="clear" w:color="auto" w:fill="auto"/>
          </w:tcPr>
          <w:p w14:paraId="21FE8743" w14:textId="77777777" w:rsidR="00AB6E1E" w:rsidRPr="00F669E1" w:rsidRDefault="005303A6" w:rsidP="00A603E2">
            <w:pPr>
              <w:rPr>
                <w:rFonts w:ascii="Arial" w:hAnsi="Arial" w:cs="Arial"/>
              </w:rPr>
            </w:pPr>
            <w:r>
              <w:rPr>
                <w:rFonts w:ascii="Arial" w:hAnsi="Arial" w:cs="Arial"/>
              </w:rPr>
              <w:t>xxx</w:t>
            </w:r>
          </w:p>
        </w:tc>
      </w:tr>
      <w:tr w:rsidR="00AB6E1E" w:rsidRPr="00AB1D27" w14:paraId="530EBF93" w14:textId="77777777" w:rsidTr="00D86D7A">
        <w:tc>
          <w:tcPr>
            <w:tcW w:w="2376" w:type="dxa"/>
          </w:tcPr>
          <w:p w14:paraId="291C07C7" w14:textId="77777777" w:rsidR="00AB6E1E" w:rsidRPr="00F669E1" w:rsidRDefault="005303A6" w:rsidP="00A603E2">
            <w:pPr>
              <w:rPr>
                <w:rFonts w:ascii="Arial" w:hAnsi="Arial" w:cs="Arial"/>
              </w:rPr>
            </w:pPr>
            <w:r>
              <w:rPr>
                <w:rFonts w:ascii="Arial" w:hAnsi="Arial" w:cs="Arial"/>
              </w:rPr>
              <w:t>xxx</w:t>
            </w:r>
          </w:p>
        </w:tc>
        <w:tc>
          <w:tcPr>
            <w:tcW w:w="1850" w:type="dxa"/>
          </w:tcPr>
          <w:p w14:paraId="336319B0" w14:textId="77777777" w:rsidR="00AB6E1E" w:rsidRPr="00F669E1" w:rsidRDefault="00AB6E1E" w:rsidP="00A603E2">
            <w:pPr>
              <w:rPr>
                <w:rFonts w:ascii="Arial" w:hAnsi="Arial" w:cs="Arial"/>
              </w:rPr>
            </w:pPr>
          </w:p>
        </w:tc>
        <w:tc>
          <w:tcPr>
            <w:tcW w:w="1836" w:type="dxa"/>
            <w:shd w:val="clear" w:color="auto" w:fill="auto"/>
          </w:tcPr>
          <w:p w14:paraId="7BDD37D8" w14:textId="77777777" w:rsidR="00AB6E1E" w:rsidRPr="00F669E1" w:rsidRDefault="005303A6" w:rsidP="00A603E2">
            <w:pPr>
              <w:rPr>
                <w:rFonts w:ascii="Arial" w:hAnsi="Arial" w:cs="Arial"/>
              </w:rPr>
            </w:pPr>
            <w:r>
              <w:rPr>
                <w:rFonts w:ascii="Arial" w:hAnsi="Arial" w:cs="Arial"/>
              </w:rPr>
              <w:t>xxx</w:t>
            </w:r>
          </w:p>
        </w:tc>
        <w:tc>
          <w:tcPr>
            <w:tcW w:w="3224" w:type="dxa"/>
            <w:shd w:val="clear" w:color="auto" w:fill="auto"/>
          </w:tcPr>
          <w:p w14:paraId="70B46189" w14:textId="77777777" w:rsidR="00AB6E1E" w:rsidRPr="00F669E1" w:rsidRDefault="005303A6" w:rsidP="00A603E2">
            <w:pPr>
              <w:rPr>
                <w:rFonts w:ascii="Arial" w:hAnsi="Arial" w:cs="Arial"/>
              </w:rPr>
            </w:pPr>
            <w:r>
              <w:rPr>
                <w:rFonts w:ascii="Arial" w:hAnsi="Arial" w:cs="Arial"/>
              </w:rPr>
              <w:t>xxx</w:t>
            </w:r>
          </w:p>
        </w:tc>
      </w:tr>
      <w:tr w:rsidR="005303A6" w:rsidRPr="00AB1D27" w14:paraId="5ECB31A1" w14:textId="77777777" w:rsidTr="00D86D7A">
        <w:tc>
          <w:tcPr>
            <w:tcW w:w="2376" w:type="dxa"/>
          </w:tcPr>
          <w:p w14:paraId="77D85F83" w14:textId="77777777" w:rsidR="005303A6" w:rsidRDefault="005303A6" w:rsidP="00A603E2">
            <w:pPr>
              <w:rPr>
                <w:rFonts w:ascii="Arial" w:hAnsi="Arial" w:cs="Arial"/>
              </w:rPr>
            </w:pPr>
            <w:r>
              <w:rPr>
                <w:rFonts w:ascii="Arial" w:hAnsi="Arial" w:cs="Arial"/>
              </w:rPr>
              <w:t>xxx</w:t>
            </w:r>
          </w:p>
        </w:tc>
        <w:tc>
          <w:tcPr>
            <w:tcW w:w="1850" w:type="dxa"/>
          </w:tcPr>
          <w:p w14:paraId="42D5211F" w14:textId="77777777" w:rsidR="005303A6" w:rsidRPr="00F669E1" w:rsidRDefault="005303A6" w:rsidP="00A603E2">
            <w:pPr>
              <w:rPr>
                <w:rFonts w:ascii="Arial" w:hAnsi="Arial" w:cs="Arial"/>
              </w:rPr>
            </w:pPr>
          </w:p>
        </w:tc>
        <w:tc>
          <w:tcPr>
            <w:tcW w:w="1836" w:type="dxa"/>
            <w:shd w:val="clear" w:color="auto" w:fill="auto"/>
          </w:tcPr>
          <w:p w14:paraId="056477C2" w14:textId="77777777" w:rsidR="005303A6" w:rsidRDefault="005303A6" w:rsidP="00A603E2">
            <w:pPr>
              <w:rPr>
                <w:rFonts w:ascii="Arial" w:hAnsi="Arial" w:cs="Arial"/>
              </w:rPr>
            </w:pPr>
            <w:r>
              <w:rPr>
                <w:rFonts w:ascii="Arial" w:hAnsi="Arial" w:cs="Arial"/>
              </w:rPr>
              <w:t>xxx</w:t>
            </w:r>
          </w:p>
        </w:tc>
        <w:tc>
          <w:tcPr>
            <w:tcW w:w="3224" w:type="dxa"/>
            <w:shd w:val="clear" w:color="auto" w:fill="auto"/>
          </w:tcPr>
          <w:p w14:paraId="7A530A9D" w14:textId="77777777" w:rsidR="005303A6" w:rsidRDefault="005303A6" w:rsidP="00A603E2">
            <w:pPr>
              <w:rPr>
                <w:rFonts w:ascii="Arial" w:hAnsi="Arial" w:cs="Arial"/>
              </w:rPr>
            </w:pPr>
            <w:r>
              <w:rPr>
                <w:rFonts w:ascii="Arial" w:hAnsi="Arial" w:cs="Arial"/>
              </w:rPr>
              <w:t>xxx</w:t>
            </w:r>
          </w:p>
        </w:tc>
      </w:tr>
      <w:tr w:rsidR="005303A6" w:rsidRPr="00AB1D27" w14:paraId="0990EB3E" w14:textId="77777777" w:rsidTr="00D86D7A">
        <w:tc>
          <w:tcPr>
            <w:tcW w:w="2376" w:type="dxa"/>
          </w:tcPr>
          <w:p w14:paraId="343BCC6C" w14:textId="77777777" w:rsidR="005303A6" w:rsidRDefault="005303A6" w:rsidP="00A603E2">
            <w:pPr>
              <w:rPr>
                <w:rFonts w:ascii="Arial" w:hAnsi="Arial" w:cs="Arial"/>
              </w:rPr>
            </w:pPr>
            <w:r>
              <w:rPr>
                <w:rFonts w:ascii="Arial" w:hAnsi="Arial" w:cs="Arial"/>
              </w:rPr>
              <w:t>xxx</w:t>
            </w:r>
          </w:p>
        </w:tc>
        <w:tc>
          <w:tcPr>
            <w:tcW w:w="1850" w:type="dxa"/>
          </w:tcPr>
          <w:p w14:paraId="751E2A64" w14:textId="77777777" w:rsidR="005303A6" w:rsidRPr="00F669E1" w:rsidRDefault="005303A6" w:rsidP="00A603E2">
            <w:pPr>
              <w:rPr>
                <w:rFonts w:ascii="Arial" w:hAnsi="Arial" w:cs="Arial"/>
              </w:rPr>
            </w:pPr>
          </w:p>
        </w:tc>
        <w:tc>
          <w:tcPr>
            <w:tcW w:w="1836" w:type="dxa"/>
            <w:shd w:val="clear" w:color="auto" w:fill="auto"/>
          </w:tcPr>
          <w:p w14:paraId="214D3265" w14:textId="77777777" w:rsidR="005303A6" w:rsidRDefault="005303A6" w:rsidP="00A603E2">
            <w:pPr>
              <w:rPr>
                <w:rFonts w:ascii="Arial" w:hAnsi="Arial" w:cs="Arial"/>
              </w:rPr>
            </w:pPr>
            <w:r>
              <w:rPr>
                <w:rFonts w:ascii="Arial" w:hAnsi="Arial" w:cs="Arial"/>
              </w:rPr>
              <w:t>xxx</w:t>
            </w:r>
          </w:p>
        </w:tc>
        <w:tc>
          <w:tcPr>
            <w:tcW w:w="3224" w:type="dxa"/>
            <w:shd w:val="clear" w:color="auto" w:fill="auto"/>
          </w:tcPr>
          <w:p w14:paraId="29930E1B" w14:textId="77777777" w:rsidR="005303A6" w:rsidRDefault="005303A6" w:rsidP="00A603E2">
            <w:pPr>
              <w:rPr>
                <w:rFonts w:ascii="Arial" w:hAnsi="Arial" w:cs="Arial"/>
              </w:rPr>
            </w:pPr>
            <w:r>
              <w:rPr>
                <w:rFonts w:ascii="Arial" w:hAnsi="Arial" w:cs="Arial"/>
              </w:rPr>
              <w:t>xxx</w:t>
            </w:r>
          </w:p>
        </w:tc>
      </w:tr>
    </w:tbl>
    <w:p w14:paraId="179D5D4D" w14:textId="77777777" w:rsidR="00AB6E1E" w:rsidRPr="00AB1D27" w:rsidRDefault="00AB6E1E" w:rsidP="00A603E2"/>
    <w:p w14:paraId="0B111A28" w14:textId="77777777" w:rsidR="00AB6E1E" w:rsidRPr="002109B6" w:rsidRDefault="00AB6E1E" w:rsidP="002109B6">
      <w:pPr>
        <w:pStyle w:val="Nadpis2"/>
        <w:numPr>
          <w:ilvl w:val="1"/>
          <w:numId w:val="67"/>
        </w:numPr>
        <w:ind w:left="567" w:hanging="567"/>
        <w:rPr>
          <w:rFonts w:cs="Arial"/>
          <w:szCs w:val="22"/>
        </w:rPr>
      </w:pPr>
      <w:r w:rsidRPr="002109B6">
        <w:rPr>
          <w:rFonts w:cs="Arial"/>
          <w:szCs w:val="22"/>
        </w:rPr>
        <w:t>Odpovědné osoby objednatele (výhradně zaměstnanci EGAP):</w:t>
      </w:r>
    </w:p>
    <w:p w14:paraId="2A253970" w14:textId="77777777" w:rsidR="00AB6E1E" w:rsidRPr="00AB1D27" w:rsidRDefault="00AB6E1E" w:rsidP="00A603E2">
      <w:pPr>
        <w:jc w:val="center"/>
        <w:rPr>
          <w:rFonts w:ascii="Arial" w:hAnsi="Arial"/>
        </w:rPr>
      </w:pPr>
      <w:r>
        <w:rPr>
          <w:rFonts w:ascii="Arial" w:hAnsi="Arial"/>
        </w:rPr>
        <w:t xml:space="preserve">A. </w:t>
      </w:r>
      <w:r w:rsidRPr="00AB1D27">
        <w:rPr>
          <w:rFonts w:ascii="Arial" w:hAnsi="Arial"/>
        </w:rPr>
        <w:t>Osoby oprávněné zadávat zhotoviteli požadavky na provedení činnosti</w:t>
      </w:r>
    </w:p>
    <w:p w14:paraId="71194D69" w14:textId="77777777" w:rsidR="00AB6E1E" w:rsidRPr="00AB1D27" w:rsidRDefault="00AB6E1E" w:rsidP="00A603E2">
      <w:pPr>
        <w:rPr>
          <w:rFonts w:ascii="Arial" w:hAnsi="Arial"/>
        </w:rPr>
      </w:pPr>
    </w:p>
    <w:tbl>
      <w:tblPr>
        <w:tblStyle w:val="Mkatabulky"/>
        <w:tblW w:w="0" w:type="auto"/>
        <w:tblLook w:val="01E0" w:firstRow="1" w:lastRow="1" w:firstColumn="1" w:lastColumn="1" w:noHBand="0" w:noVBand="0"/>
      </w:tblPr>
      <w:tblGrid>
        <w:gridCol w:w="3086"/>
        <w:gridCol w:w="3070"/>
        <w:gridCol w:w="3130"/>
      </w:tblGrid>
      <w:tr w:rsidR="00AB6E1E" w:rsidRPr="00AB1D27" w14:paraId="7413CBDB" w14:textId="77777777" w:rsidTr="00D86D7A">
        <w:tc>
          <w:tcPr>
            <w:tcW w:w="3086" w:type="dxa"/>
          </w:tcPr>
          <w:p w14:paraId="72BB992C" w14:textId="77777777" w:rsidR="00AB6E1E" w:rsidRPr="00F669E1" w:rsidRDefault="00AB6E1E" w:rsidP="00A603E2">
            <w:pPr>
              <w:jc w:val="center"/>
              <w:rPr>
                <w:rFonts w:ascii="Arial" w:hAnsi="Arial" w:cs="Arial"/>
                <w:b/>
              </w:rPr>
            </w:pPr>
            <w:r w:rsidRPr="00F669E1">
              <w:rPr>
                <w:rFonts w:ascii="Arial" w:hAnsi="Arial" w:cs="Arial"/>
                <w:b/>
              </w:rPr>
              <w:t>Jméno</w:t>
            </w:r>
          </w:p>
        </w:tc>
        <w:tc>
          <w:tcPr>
            <w:tcW w:w="3070" w:type="dxa"/>
          </w:tcPr>
          <w:p w14:paraId="21F019B5" w14:textId="77777777" w:rsidR="00AB6E1E" w:rsidRPr="00F669E1" w:rsidRDefault="00AB6E1E" w:rsidP="00A603E2">
            <w:pPr>
              <w:jc w:val="center"/>
              <w:rPr>
                <w:rFonts w:ascii="Arial" w:hAnsi="Arial" w:cs="Arial"/>
                <w:b/>
              </w:rPr>
            </w:pPr>
            <w:r w:rsidRPr="00F669E1">
              <w:rPr>
                <w:rFonts w:ascii="Arial" w:hAnsi="Arial" w:cs="Arial"/>
                <w:b/>
              </w:rPr>
              <w:t>Telefon</w:t>
            </w:r>
          </w:p>
        </w:tc>
        <w:tc>
          <w:tcPr>
            <w:tcW w:w="3130" w:type="dxa"/>
          </w:tcPr>
          <w:p w14:paraId="1316FDD0" w14:textId="77777777" w:rsidR="00AB6E1E" w:rsidRPr="00F669E1" w:rsidRDefault="00AB6E1E" w:rsidP="00A603E2">
            <w:pPr>
              <w:jc w:val="center"/>
              <w:rPr>
                <w:rFonts w:ascii="Arial" w:hAnsi="Arial" w:cs="Arial"/>
                <w:b/>
              </w:rPr>
            </w:pPr>
            <w:r w:rsidRPr="00F669E1">
              <w:rPr>
                <w:rFonts w:ascii="Arial" w:hAnsi="Arial" w:cs="Arial"/>
                <w:b/>
              </w:rPr>
              <w:t>e-mail</w:t>
            </w:r>
          </w:p>
        </w:tc>
      </w:tr>
      <w:tr w:rsidR="00AB6E1E" w:rsidRPr="00AB1D27" w14:paraId="1087F693" w14:textId="77777777" w:rsidTr="00D86D7A">
        <w:tc>
          <w:tcPr>
            <w:tcW w:w="3086" w:type="dxa"/>
          </w:tcPr>
          <w:p w14:paraId="368092B6" w14:textId="77777777" w:rsidR="00AB6E1E" w:rsidRPr="00F669E1" w:rsidRDefault="00F53D76" w:rsidP="00A603E2">
            <w:pPr>
              <w:rPr>
                <w:rFonts w:ascii="Arial" w:hAnsi="Arial" w:cs="Arial"/>
              </w:rPr>
            </w:pPr>
            <w:r>
              <w:rPr>
                <w:rFonts w:ascii="Arial" w:hAnsi="Arial" w:cs="Arial"/>
              </w:rPr>
              <w:t>xxx</w:t>
            </w:r>
            <w:r w:rsidR="00AB6E1E" w:rsidRPr="00F669E1">
              <w:rPr>
                <w:rFonts w:ascii="Arial" w:hAnsi="Arial" w:cs="Arial"/>
              </w:rPr>
              <w:t xml:space="preserve"> </w:t>
            </w:r>
          </w:p>
        </w:tc>
        <w:tc>
          <w:tcPr>
            <w:tcW w:w="3070" w:type="dxa"/>
          </w:tcPr>
          <w:p w14:paraId="7D891739" w14:textId="77777777" w:rsidR="00AB6E1E" w:rsidRPr="00F669E1" w:rsidRDefault="00F53D76" w:rsidP="00A603E2">
            <w:pPr>
              <w:rPr>
                <w:rFonts w:ascii="Arial" w:hAnsi="Arial" w:cs="Arial"/>
              </w:rPr>
            </w:pPr>
            <w:r>
              <w:rPr>
                <w:rFonts w:ascii="Arial" w:hAnsi="Arial" w:cs="Arial"/>
              </w:rPr>
              <w:t>xxx</w:t>
            </w:r>
          </w:p>
        </w:tc>
        <w:tc>
          <w:tcPr>
            <w:tcW w:w="3130" w:type="dxa"/>
          </w:tcPr>
          <w:p w14:paraId="0F4CCE03" w14:textId="77777777" w:rsidR="00AB6E1E" w:rsidRPr="00F669E1" w:rsidRDefault="00F53D76" w:rsidP="00A603E2">
            <w:pPr>
              <w:rPr>
                <w:rFonts w:ascii="Arial" w:hAnsi="Arial" w:cs="Arial"/>
              </w:rPr>
            </w:pPr>
            <w:r>
              <w:rPr>
                <w:rFonts w:ascii="Arial" w:hAnsi="Arial" w:cs="Arial"/>
              </w:rPr>
              <w:t>xxx</w:t>
            </w:r>
            <w:r w:rsidR="00AB6E1E" w:rsidRPr="00F669E1">
              <w:rPr>
                <w:rFonts w:ascii="Arial" w:hAnsi="Arial" w:cs="Arial"/>
              </w:rPr>
              <w:t xml:space="preserve"> </w:t>
            </w:r>
          </w:p>
        </w:tc>
      </w:tr>
      <w:tr w:rsidR="00AB6E1E" w:rsidRPr="00AB1D27" w14:paraId="36548A8F" w14:textId="77777777" w:rsidTr="00D86D7A">
        <w:tc>
          <w:tcPr>
            <w:tcW w:w="3086" w:type="dxa"/>
          </w:tcPr>
          <w:p w14:paraId="4B0B22B1" w14:textId="77777777" w:rsidR="00AB6E1E" w:rsidRPr="00F669E1" w:rsidRDefault="00F53D76" w:rsidP="00A603E2">
            <w:pPr>
              <w:rPr>
                <w:rFonts w:ascii="Arial" w:hAnsi="Arial" w:cs="Arial"/>
              </w:rPr>
            </w:pPr>
            <w:r>
              <w:rPr>
                <w:rFonts w:ascii="Arial" w:hAnsi="Arial" w:cs="Arial"/>
              </w:rPr>
              <w:t>xxx</w:t>
            </w:r>
          </w:p>
        </w:tc>
        <w:tc>
          <w:tcPr>
            <w:tcW w:w="3070" w:type="dxa"/>
          </w:tcPr>
          <w:p w14:paraId="053ED079" w14:textId="77777777" w:rsidR="00AB6E1E" w:rsidRPr="00F669E1" w:rsidRDefault="00F53D76" w:rsidP="00A603E2">
            <w:pPr>
              <w:rPr>
                <w:rFonts w:ascii="Arial" w:hAnsi="Arial" w:cs="Arial"/>
              </w:rPr>
            </w:pPr>
            <w:r>
              <w:rPr>
                <w:rFonts w:ascii="Arial" w:hAnsi="Arial" w:cs="Arial"/>
              </w:rPr>
              <w:t>xxx</w:t>
            </w:r>
          </w:p>
        </w:tc>
        <w:tc>
          <w:tcPr>
            <w:tcW w:w="3130" w:type="dxa"/>
          </w:tcPr>
          <w:p w14:paraId="55D06236" w14:textId="77777777" w:rsidR="00AB6E1E" w:rsidRPr="00F669E1" w:rsidRDefault="00F53D76" w:rsidP="00A603E2">
            <w:pPr>
              <w:rPr>
                <w:rFonts w:ascii="Arial" w:hAnsi="Arial" w:cs="Arial"/>
              </w:rPr>
            </w:pPr>
            <w:r>
              <w:rPr>
                <w:rFonts w:ascii="Arial" w:hAnsi="Arial" w:cs="Arial"/>
              </w:rPr>
              <w:t>xxx</w:t>
            </w:r>
          </w:p>
        </w:tc>
      </w:tr>
      <w:tr w:rsidR="00AB6E1E" w:rsidRPr="00AB1D27" w14:paraId="510C23CA" w14:textId="77777777" w:rsidTr="00D86D7A">
        <w:tc>
          <w:tcPr>
            <w:tcW w:w="3086" w:type="dxa"/>
          </w:tcPr>
          <w:p w14:paraId="64545ABA" w14:textId="77777777" w:rsidR="00AB6E1E" w:rsidRPr="00F669E1" w:rsidRDefault="00F53D76" w:rsidP="00A603E2">
            <w:pPr>
              <w:rPr>
                <w:rFonts w:ascii="Arial" w:hAnsi="Arial" w:cs="Arial"/>
              </w:rPr>
            </w:pPr>
            <w:r>
              <w:rPr>
                <w:rFonts w:ascii="Arial" w:hAnsi="Arial" w:cs="Arial"/>
              </w:rPr>
              <w:t>xxx</w:t>
            </w:r>
          </w:p>
        </w:tc>
        <w:tc>
          <w:tcPr>
            <w:tcW w:w="3070" w:type="dxa"/>
          </w:tcPr>
          <w:p w14:paraId="1329760D" w14:textId="77777777" w:rsidR="00AB6E1E" w:rsidRPr="00F669E1" w:rsidRDefault="00F53D76" w:rsidP="00A603E2">
            <w:pPr>
              <w:rPr>
                <w:rFonts w:ascii="Arial" w:hAnsi="Arial" w:cs="Arial"/>
              </w:rPr>
            </w:pPr>
            <w:r>
              <w:rPr>
                <w:rFonts w:ascii="Arial" w:hAnsi="Arial" w:cs="Arial"/>
              </w:rPr>
              <w:t>xxx</w:t>
            </w:r>
          </w:p>
        </w:tc>
        <w:tc>
          <w:tcPr>
            <w:tcW w:w="3130" w:type="dxa"/>
          </w:tcPr>
          <w:p w14:paraId="38A29A74" w14:textId="77777777" w:rsidR="00AB6E1E" w:rsidRPr="00F669E1" w:rsidRDefault="00F53D76" w:rsidP="00A603E2">
            <w:pPr>
              <w:rPr>
                <w:rFonts w:ascii="Arial" w:hAnsi="Arial" w:cs="Arial"/>
              </w:rPr>
            </w:pPr>
            <w:r>
              <w:rPr>
                <w:rFonts w:ascii="Arial" w:hAnsi="Arial" w:cs="Arial"/>
              </w:rPr>
              <w:t>xxx</w:t>
            </w:r>
          </w:p>
        </w:tc>
      </w:tr>
      <w:tr w:rsidR="00AB6E1E" w:rsidRPr="00AB1D27" w14:paraId="71336B6E" w14:textId="77777777" w:rsidTr="00D86D7A">
        <w:tc>
          <w:tcPr>
            <w:tcW w:w="3086" w:type="dxa"/>
          </w:tcPr>
          <w:p w14:paraId="59C5D971" w14:textId="77777777" w:rsidR="00AB6E1E" w:rsidRPr="00F669E1" w:rsidRDefault="00F53D76" w:rsidP="00A603E2">
            <w:pPr>
              <w:rPr>
                <w:rFonts w:ascii="Arial" w:hAnsi="Arial" w:cs="Arial"/>
              </w:rPr>
            </w:pPr>
            <w:r>
              <w:rPr>
                <w:rFonts w:ascii="Arial" w:hAnsi="Arial" w:cs="Arial"/>
              </w:rPr>
              <w:t>xxx</w:t>
            </w:r>
          </w:p>
        </w:tc>
        <w:tc>
          <w:tcPr>
            <w:tcW w:w="3070" w:type="dxa"/>
          </w:tcPr>
          <w:p w14:paraId="1633B4D2" w14:textId="77777777" w:rsidR="00AB6E1E" w:rsidRPr="00F669E1" w:rsidRDefault="00F53D76" w:rsidP="00A603E2">
            <w:pPr>
              <w:rPr>
                <w:rFonts w:ascii="Arial" w:hAnsi="Arial" w:cs="Arial"/>
              </w:rPr>
            </w:pPr>
            <w:r>
              <w:rPr>
                <w:rFonts w:ascii="Arial" w:hAnsi="Arial" w:cs="Arial"/>
              </w:rPr>
              <w:t>xxx</w:t>
            </w:r>
          </w:p>
        </w:tc>
        <w:tc>
          <w:tcPr>
            <w:tcW w:w="3130" w:type="dxa"/>
          </w:tcPr>
          <w:p w14:paraId="58AC9DED" w14:textId="77777777" w:rsidR="00AB6E1E" w:rsidRPr="00F669E1" w:rsidRDefault="00F53D76" w:rsidP="00A603E2">
            <w:pPr>
              <w:rPr>
                <w:rFonts w:ascii="Arial" w:hAnsi="Arial" w:cs="Arial"/>
              </w:rPr>
            </w:pPr>
            <w:r>
              <w:rPr>
                <w:rFonts w:ascii="Arial" w:hAnsi="Arial" w:cs="Arial"/>
              </w:rPr>
              <w:t>xxx</w:t>
            </w:r>
          </w:p>
        </w:tc>
      </w:tr>
    </w:tbl>
    <w:p w14:paraId="5CAD4F19" w14:textId="77777777" w:rsidR="00AB6E1E" w:rsidRPr="00AB1D27" w:rsidRDefault="00AB6E1E" w:rsidP="00A603E2">
      <w:pPr>
        <w:rPr>
          <w:rFonts w:ascii="Arial" w:hAnsi="Arial"/>
        </w:rPr>
      </w:pPr>
    </w:p>
    <w:p w14:paraId="7FC060BF" w14:textId="77777777" w:rsidR="00AB6E1E" w:rsidRDefault="00AB6E1E" w:rsidP="00A603E2">
      <w:pPr>
        <w:jc w:val="center"/>
        <w:rPr>
          <w:rFonts w:ascii="Arial" w:hAnsi="Arial" w:cs="Arial"/>
        </w:rPr>
      </w:pPr>
      <w:r>
        <w:rPr>
          <w:rFonts w:ascii="Arial" w:hAnsi="Arial" w:cs="Arial"/>
        </w:rPr>
        <w:t xml:space="preserve">B. </w:t>
      </w:r>
      <w:r w:rsidRPr="007C6333">
        <w:rPr>
          <w:rFonts w:ascii="Arial" w:hAnsi="Arial" w:cs="Arial"/>
        </w:rPr>
        <w:t xml:space="preserve">Osoby oprávněné </w:t>
      </w:r>
      <w:r>
        <w:rPr>
          <w:rFonts w:ascii="Arial" w:hAnsi="Arial" w:cs="Arial"/>
        </w:rPr>
        <w:t xml:space="preserve">odsouhlasit použití kopií dat </w:t>
      </w:r>
      <w:r w:rsidRPr="00A24DD7">
        <w:rPr>
          <w:rFonts w:ascii="Arial" w:hAnsi="Arial" w:cs="Arial"/>
          <w:szCs w:val="22"/>
        </w:rPr>
        <w:t>a provozních údajů</w:t>
      </w:r>
      <w:r w:rsidRPr="0057684A">
        <w:rPr>
          <w:rFonts w:ascii="Arial" w:hAnsi="Arial" w:cs="Arial"/>
        </w:rPr>
        <w:t> </w:t>
      </w:r>
      <w:r>
        <w:rPr>
          <w:rFonts w:ascii="Arial" w:hAnsi="Arial" w:cs="Arial"/>
        </w:rPr>
        <w:t xml:space="preserve">mimo EGAP </w:t>
      </w:r>
    </w:p>
    <w:p w14:paraId="124C8A75" w14:textId="77777777" w:rsidR="00AB6E1E" w:rsidRDefault="00AB6E1E" w:rsidP="00A603E2">
      <w:pPr>
        <w:jc w:val="center"/>
        <w:rPr>
          <w:rFonts w:ascii="Arial" w:hAnsi="Arial" w:cs="Arial"/>
        </w:rPr>
      </w:pPr>
    </w:p>
    <w:tbl>
      <w:tblPr>
        <w:tblStyle w:val="Mkatabulky"/>
        <w:tblW w:w="0" w:type="auto"/>
        <w:tblLook w:val="01E0" w:firstRow="1" w:lastRow="1" w:firstColumn="1" w:lastColumn="1" w:noHBand="0" w:noVBand="0"/>
      </w:tblPr>
      <w:tblGrid>
        <w:gridCol w:w="3086"/>
        <w:gridCol w:w="3070"/>
        <w:gridCol w:w="3130"/>
      </w:tblGrid>
      <w:tr w:rsidR="00AB6E1E" w:rsidRPr="00AB1D27" w14:paraId="7F98367A" w14:textId="77777777" w:rsidTr="00D86D7A">
        <w:tc>
          <w:tcPr>
            <w:tcW w:w="3086" w:type="dxa"/>
          </w:tcPr>
          <w:p w14:paraId="1D6862C7" w14:textId="77777777" w:rsidR="00AB6E1E" w:rsidRPr="00F669E1" w:rsidRDefault="00AB6E1E" w:rsidP="00A603E2">
            <w:pPr>
              <w:jc w:val="center"/>
              <w:rPr>
                <w:rFonts w:ascii="Arial" w:hAnsi="Arial" w:cs="Arial"/>
                <w:b/>
              </w:rPr>
            </w:pPr>
            <w:r w:rsidRPr="00F669E1">
              <w:rPr>
                <w:rFonts w:ascii="Arial" w:hAnsi="Arial" w:cs="Arial"/>
                <w:b/>
              </w:rPr>
              <w:t>Jméno</w:t>
            </w:r>
          </w:p>
        </w:tc>
        <w:tc>
          <w:tcPr>
            <w:tcW w:w="3070" w:type="dxa"/>
          </w:tcPr>
          <w:p w14:paraId="48A22F94" w14:textId="77777777" w:rsidR="00AB6E1E" w:rsidRPr="00F669E1" w:rsidRDefault="00AB6E1E" w:rsidP="00A603E2">
            <w:pPr>
              <w:jc w:val="center"/>
              <w:rPr>
                <w:rFonts w:ascii="Arial" w:hAnsi="Arial" w:cs="Arial"/>
                <w:b/>
              </w:rPr>
            </w:pPr>
            <w:r w:rsidRPr="00F669E1">
              <w:rPr>
                <w:rFonts w:ascii="Arial" w:hAnsi="Arial" w:cs="Arial"/>
                <w:b/>
              </w:rPr>
              <w:t>Telefon</w:t>
            </w:r>
          </w:p>
        </w:tc>
        <w:tc>
          <w:tcPr>
            <w:tcW w:w="3130" w:type="dxa"/>
          </w:tcPr>
          <w:p w14:paraId="11081EF4" w14:textId="77777777" w:rsidR="00AB6E1E" w:rsidRPr="00F669E1" w:rsidRDefault="00AB6E1E" w:rsidP="00A603E2">
            <w:pPr>
              <w:jc w:val="center"/>
              <w:rPr>
                <w:rFonts w:ascii="Arial" w:hAnsi="Arial" w:cs="Arial"/>
                <w:b/>
              </w:rPr>
            </w:pPr>
            <w:r w:rsidRPr="00F669E1">
              <w:rPr>
                <w:rFonts w:ascii="Arial" w:hAnsi="Arial" w:cs="Arial"/>
                <w:b/>
              </w:rPr>
              <w:t>e-mail</w:t>
            </w:r>
          </w:p>
        </w:tc>
      </w:tr>
      <w:tr w:rsidR="00AB6E1E" w:rsidRPr="00AB1D27" w14:paraId="5B31FCF7" w14:textId="77777777" w:rsidTr="00D86D7A">
        <w:tc>
          <w:tcPr>
            <w:tcW w:w="3086" w:type="dxa"/>
          </w:tcPr>
          <w:p w14:paraId="0D6EDD3C" w14:textId="77777777" w:rsidR="00AB6E1E" w:rsidRPr="00F669E1" w:rsidRDefault="00F53D76" w:rsidP="00A603E2">
            <w:pPr>
              <w:rPr>
                <w:rFonts w:ascii="Arial" w:hAnsi="Arial" w:cs="Arial"/>
              </w:rPr>
            </w:pPr>
            <w:r>
              <w:rPr>
                <w:rFonts w:ascii="Arial" w:hAnsi="Arial" w:cs="Arial"/>
              </w:rPr>
              <w:t>xxx</w:t>
            </w:r>
          </w:p>
        </w:tc>
        <w:tc>
          <w:tcPr>
            <w:tcW w:w="3070" w:type="dxa"/>
          </w:tcPr>
          <w:p w14:paraId="712A0476" w14:textId="77777777" w:rsidR="00AB6E1E" w:rsidRPr="00F669E1" w:rsidRDefault="00F53D76" w:rsidP="00A603E2">
            <w:pPr>
              <w:rPr>
                <w:rFonts w:ascii="Arial" w:hAnsi="Arial" w:cs="Arial"/>
              </w:rPr>
            </w:pPr>
            <w:r>
              <w:rPr>
                <w:rFonts w:ascii="Arial" w:hAnsi="Arial" w:cs="Arial"/>
              </w:rPr>
              <w:t>xxx</w:t>
            </w:r>
          </w:p>
        </w:tc>
        <w:tc>
          <w:tcPr>
            <w:tcW w:w="3130" w:type="dxa"/>
          </w:tcPr>
          <w:p w14:paraId="73FA0F83" w14:textId="77777777" w:rsidR="00AB6E1E" w:rsidRPr="00F669E1" w:rsidRDefault="00F53D76" w:rsidP="00A603E2">
            <w:pPr>
              <w:rPr>
                <w:rFonts w:ascii="Arial" w:hAnsi="Arial" w:cs="Arial"/>
              </w:rPr>
            </w:pPr>
            <w:r>
              <w:rPr>
                <w:rFonts w:ascii="Arial" w:hAnsi="Arial" w:cs="Arial"/>
              </w:rPr>
              <w:t>xxx</w:t>
            </w:r>
            <w:r w:rsidR="00AB6E1E" w:rsidRPr="00F669E1">
              <w:rPr>
                <w:rFonts w:ascii="Arial" w:hAnsi="Arial" w:cs="Arial"/>
              </w:rPr>
              <w:t xml:space="preserve"> </w:t>
            </w:r>
          </w:p>
        </w:tc>
      </w:tr>
    </w:tbl>
    <w:p w14:paraId="27C26A9F" w14:textId="77777777" w:rsidR="00AB6E1E" w:rsidRDefault="00AB6E1E" w:rsidP="00A603E2">
      <w:pPr>
        <w:rPr>
          <w:b/>
          <w:szCs w:val="24"/>
        </w:rPr>
      </w:pPr>
    </w:p>
    <w:p w14:paraId="688115E6" w14:textId="77777777" w:rsidR="00AB6E1E" w:rsidRPr="00AB1D27" w:rsidRDefault="00AB6E1E" w:rsidP="00A603E2">
      <w:pPr>
        <w:rPr>
          <w:b/>
          <w:szCs w:val="24"/>
        </w:rPr>
      </w:pPr>
    </w:p>
    <w:p w14:paraId="3B3204FA" w14:textId="77777777" w:rsidR="00AB6E1E" w:rsidRPr="00333D44" w:rsidRDefault="00AB6E1E" w:rsidP="002109B6">
      <w:pPr>
        <w:pStyle w:val="Nadpis2"/>
        <w:numPr>
          <w:ilvl w:val="1"/>
          <w:numId w:val="67"/>
        </w:numPr>
        <w:ind w:left="567" w:hanging="567"/>
        <w:rPr>
          <w:rFonts w:cs="Arial"/>
          <w:szCs w:val="22"/>
        </w:rPr>
      </w:pPr>
      <w:r w:rsidRPr="00A7106B">
        <w:rPr>
          <w:rFonts w:cs="Arial"/>
          <w:szCs w:val="22"/>
        </w:rPr>
        <w:t xml:space="preserve">Seznam </w:t>
      </w:r>
      <w:r w:rsidRPr="008352B5">
        <w:rPr>
          <w:rFonts w:cs="Arial"/>
          <w:szCs w:val="22"/>
        </w:rPr>
        <w:t>odpovědných osob zhotovitele může být měněn pouze s písemným souhlasem objednatele a</w:t>
      </w:r>
      <w:r w:rsidR="00380795" w:rsidRPr="00333D44">
        <w:rPr>
          <w:rFonts w:cs="Arial"/>
          <w:szCs w:val="22"/>
        </w:rPr>
        <w:t> </w:t>
      </w:r>
      <w:r w:rsidRPr="00333D44">
        <w:rPr>
          <w:rFonts w:cs="Arial"/>
          <w:szCs w:val="22"/>
        </w:rPr>
        <w:t>písemný doklad o těchto změnách podepíší zástupci obou smluvních stran.</w:t>
      </w:r>
    </w:p>
    <w:p w14:paraId="08F5BE4B" w14:textId="77777777" w:rsidR="00AB6E1E" w:rsidRPr="00A24DD7" w:rsidRDefault="00AB6E1E" w:rsidP="00A603E2"/>
    <w:p w14:paraId="5692040F" w14:textId="77777777" w:rsidR="00AB6E1E" w:rsidRDefault="00AB6E1E" w:rsidP="002109B6">
      <w:pPr>
        <w:pStyle w:val="Nadpis1"/>
      </w:pPr>
      <w:r w:rsidRPr="002109B6">
        <w:t>Závěrečné</w:t>
      </w:r>
      <w:r w:rsidRPr="00784EBF">
        <w:t xml:space="preserve"> ujednání     </w:t>
      </w:r>
    </w:p>
    <w:p w14:paraId="3AB291DC" w14:textId="77777777" w:rsidR="00AB6E1E" w:rsidRPr="002109B6" w:rsidRDefault="00D83BE8" w:rsidP="002109B6">
      <w:pPr>
        <w:pStyle w:val="Nadpis2"/>
        <w:ind w:left="567" w:hanging="567"/>
      </w:pPr>
      <w:r>
        <w:t>D</w:t>
      </w:r>
      <w:r w:rsidR="00AB6E1E" w:rsidRPr="002109B6">
        <w:t xml:space="preserve">odatek je vyhotoven ve 2 stejnopisech, přičemž každá se smluvních stran obdrží po podpisu tohoto dodatku po jednom. </w:t>
      </w:r>
    </w:p>
    <w:p w14:paraId="6F9279AA" w14:textId="77777777" w:rsidR="00AB6E1E" w:rsidRPr="002109B6" w:rsidRDefault="00AB6E1E" w:rsidP="002109B6">
      <w:pPr>
        <w:pStyle w:val="Nadpis2"/>
        <w:ind w:left="567" w:hanging="567"/>
      </w:pPr>
      <w:r w:rsidRPr="002109B6">
        <w:t xml:space="preserve">Dodatek se dnem podpisu smluvními stranami stává platnou a nedílnou součástí smlouvy, ke které je vázán.  </w:t>
      </w:r>
    </w:p>
    <w:p w14:paraId="6152594E" w14:textId="77777777" w:rsidR="00AB6E1E" w:rsidRPr="002109B6" w:rsidRDefault="00AB6E1E" w:rsidP="002109B6">
      <w:pPr>
        <w:pStyle w:val="Nadpis2"/>
        <w:ind w:left="567" w:hanging="567"/>
      </w:pPr>
      <w:r w:rsidRPr="002109B6">
        <w:t>Ostatní ustanovení smlouvy a předchozí dodatky zůstávají beze změny.</w:t>
      </w:r>
    </w:p>
    <w:p w14:paraId="2F38EA6A" w14:textId="77777777" w:rsidR="00AB6E1E" w:rsidRPr="002109B6" w:rsidRDefault="00AB6E1E" w:rsidP="002109B6">
      <w:pPr>
        <w:pStyle w:val="Nadpis2"/>
        <w:ind w:left="567" w:hanging="567"/>
      </w:pPr>
      <w:r w:rsidRPr="002109B6">
        <w:t xml:space="preserve">Záležitosti tímto dodatkem, předchozími dodatky a smlouvou výslovně neupravené se řídí ustanoveními </w:t>
      </w:r>
      <w:r w:rsidR="005534A8">
        <w:t xml:space="preserve">občanského zákoníku </w:t>
      </w:r>
      <w:r w:rsidRPr="002109B6">
        <w:t xml:space="preserve">a dalších právních předpisů. </w:t>
      </w:r>
    </w:p>
    <w:p w14:paraId="3585BF9F" w14:textId="77777777" w:rsidR="00AB6E1E" w:rsidRPr="002109B6" w:rsidRDefault="00AB6E1E" w:rsidP="002109B6">
      <w:pPr>
        <w:pStyle w:val="Nadpis2"/>
        <w:ind w:left="567" w:hanging="567"/>
      </w:pPr>
      <w:r w:rsidRPr="002109B6">
        <w:t>Dodavatel bere na vědomí, že objednatel, jako právnická osoba s většinovou majetkovou účastí státu, podléhá zákonu č. 340/2015 Sb., o zvláštních podmínkách účinnosti některých smluv, uveřejňování těchto smluv a o registru smluv, ve znění pozdějších předpisů</w:t>
      </w:r>
      <w:r w:rsidR="00380795" w:rsidRPr="00A7106B">
        <w:t> </w:t>
      </w:r>
      <w:r w:rsidRPr="002109B6">
        <w:t xml:space="preserve">a souhlasí s uveřejněním tohoto dodatku, předchozích dodatků a Smluv </w:t>
      </w:r>
      <w:r w:rsidRPr="002109B6">
        <w:lastRenderedPageBreak/>
        <w:t>v registru smluv.</w:t>
      </w:r>
    </w:p>
    <w:p w14:paraId="67150BCE" w14:textId="77777777" w:rsidR="00AB6E1E" w:rsidRPr="002109B6" w:rsidRDefault="00AB6E1E" w:rsidP="002109B6">
      <w:pPr>
        <w:pStyle w:val="Nadpis2"/>
        <w:ind w:left="567" w:hanging="567"/>
      </w:pPr>
      <w:r w:rsidRPr="002109B6">
        <w:t>Smluvní strany se dohodly, že uveřejnění v registru smluv zajistí objednatel.</w:t>
      </w:r>
    </w:p>
    <w:p w14:paraId="2D72BDE5" w14:textId="77777777" w:rsidR="00AB6E1E" w:rsidRPr="002109B6" w:rsidRDefault="00AB6E1E" w:rsidP="002109B6">
      <w:pPr>
        <w:pStyle w:val="Nadpis2"/>
        <w:ind w:left="567" w:hanging="567"/>
      </w:pPr>
      <w:r w:rsidRPr="002109B6">
        <w:t>Dodavatel prohlašuje, že tento dodatek ani smlouva č. S21/2002 ani předchozí dodatky neobsahují žádné skutečnosti, které by tvořily jeho obchodní tajemství ve smyslu § 504 občanský zákoníku, s výjimkou cen, které dodavatel za předmět svého obchodního tajemství označí. Smluvní strany současně narovnávají pochybnost ohledně uveřejnění dodatku č. 4 ke smlouvě č. S21/2002 a metadat k němu, kdy dodavatel výslovně neoznačil cenu za předmět svého obchodního tajemství (resp. naopak prohlásil, že nic ve smlouvě ani v dodatku č. 4 předmět jeho obchodního tajemství netvoří), a přesto, v souladu s jeho vůlí a vzájemnou dohodou smluvních stran, byly určité údaje o cenách v dodatku č. 4 znečitelněny, resp. nebyly uvedeny v metadatech. Narovnání smluvních stran tedy spočívá v potvrzení dodavatelem, že jím označené údaje o ceně tvoří předmět jeho obchodního tajemství.</w:t>
      </w:r>
    </w:p>
    <w:p w14:paraId="25EBCECA" w14:textId="77777777" w:rsidR="00AB6E1E" w:rsidRPr="002109B6" w:rsidRDefault="00AB6E1E" w:rsidP="002109B6">
      <w:pPr>
        <w:pStyle w:val="Nadpis2"/>
        <w:ind w:left="567" w:hanging="567"/>
      </w:pPr>
      <w:r w:rsidRPr="002109B6">
        <w:t xml:space="preserve">Smluvní strany současně narovnávají pochybnost ohledně dodatku č. 2 ke smlouvě </w:t>
      </w:r>
      <w:r w:rsidRPr="002109B6">
        <w:br/>
        <w:t xml:space="preserve">č. 2005/SW/Z010 z 21. 6. 2005 (smlouva o dodávce programového vybavení), který nebyl uveřejněn v registru smluv pro pochybnost, zda uveřejnění podléhá, neboť jednorázová cena (úplata) činila 20 000,- Kč bez DPH. Narovnání smluvních stran spočívá v potvrzení dodavatelem, že zaplacením jím vystavené faktury splnil objednatel svůj závazek zaplatit za plnění, které mu bylo poskytnuto na základě uvedeného dodatku č. 2, a dále v potvrzení dodavatelem, že objednatel užíval a užívá plnění specifikované v dodatku č. 2 po právu.  </w:t>
      </w:r>
    </w:p>
    <w:p w14:paraId="6268D1A1" w14:textId="77777777" w:rsidR="00AB6E1E" w:rsidRPr="002109B6" w:rsidRDefault="00061EBC" w:rsidP="007F611D">
      <w:pPr>
        <w:pStyle w:val="Nadpis2"/>
        <w:ind w:left="567" w:hanging="567"/>
      </w:pPr>
      <w:r w:rsidRPr="00061EBC">
        <w:t>Smluvní strany prohlašují, že dodatek byl sepsán na základě objednatelem uvedených a jím autorizovaných údajů. Na důkaz své pravé a svobodné vůle uzavřít dodatek o výše uvedeném obsahu připojují zástupci smluvních stran své podpisy.</w:t>
      </w:r>
      <w:r>
        <w:t xml:space="preserve"> </w:t>
      </w:r>
      <w:r w:rsidR="00AB6E1E" w:rsidRPr="002109B6">
        <w:t>Tento dodatek vstupuje v účinnost dnem jeho uveřejnění v registru smluv.</w:t>
      </w:r>
    </w:p>
    <w:p w14:paraId="6A3EFACE" w14:textId="77777777" w:rsidR="00AB6E1E" w:rsidRPr="00784EBF" w:rsidRDefault="00AB6E1E" w:rsidP="00A603E2">
      <w:pPr>
        <w:jc w:val="both"/>
        <w:rPr>
          <w:rFonts w:ascii="Verdana" w:hAnsi="Verdana"/>
        </w:rPr>
      </w:pPr>
    </w:p>
    <w:p w14:paraId="0D28B191" w14:textId="77777777" w:rsidR="00AB6E1E" w:rsidRPr="002109B6" w:rsidRDefault="00AB6E1E" w:rsidP="00A603E2">
      <w:pPr>
        <w:spacing w:before="120" w:line="240" w:lineRule="atLeast"/>
        <w:rPr>
          <w:rFonts w:ascii="Arial" w:hAnsi="Arial" w:cs="Arial"/>
          <w:sz w:val="22"/>
          <w:szCs w:val="22"/>
        </w:rPr>
      </w:pPr>
      <w:r w:rsidRPr="004C0035">
        <w:rPr>
          <w:rFonts w:ascii="Arial" w:hAnsi="Arial" w:cs="Arial"/>
          <w:sz w:val="22"/>
          <w:szCs w:val="22"/>
        </w:rPr>
        <w:t>V ………….... dne .……………………</w:t>
      </w:r>
      <w:r w:rsidR="00D13347" w:rsidRPr="004C0035">
        <w:rPr>
          <w:rFonts w:ascii="Arial" w:hAnsi="Arial" w:cs="Arial"/>
        </w:rPr>
        <w:tab/>
      </w:r>
      <w:r w:rsidR="00D13347" w:rsidRPr="004C0035">
        <w:rPr>
          <w:rFonts w:ascii="Arial" w:hAnsi="Arial" w:cs="Arial"/>
        </w:rPr>
        <w:tab/>
      </w:r>
      <w:r w:rsidRPr="002109B6">
        <w:rPr>
          <w:rFonts w:ascii="Arial" w:hAnsi="Arial" w:cs="Arial"/>
          <w:sz w:val="22"/>
          <w:szCs w:val="22"/>
        </w:rPr>
        <w:t xml:space="preserve">V </w:t>
      </w:r>
      <w:r w:rsidR="00C41527" w:rsidRPr="002109B6">
        <w:rPr>
          <w:rFonts w:ascii="Arial" w:hAnsi="Arial" w:cs="Arial"/>
          <w:sz w:val="22"/>
          <w:szCs w:val="22"/>
        </w:rPr>
        <w:t xml:space="preserve">Praze </w:t>
      </w:r>
      <w:r w:rsidRPr="002109B6">
        <w:rPr>
          <w:rFonts w:ascii="Arial" w:hAnsi="Arial" w:cs="Arial"/>
          <w:sz w:val="22"/>
          <w:szCs w:val="22"/>
        </w:rPr>
        <w:t>dne .……………………</w:t>
      </w:r>
      <w:r w:rsidRPr="002109B6" w:rsidDel="00E96238">
        <w:rPr>
          <w:rFonts w:ascii="Arial" w:hAnsi="Arial" w:cs="Arial"/>
          <w:sz w:val="22"/>
          <w:szCs w:val="22"/>
        </w:rPr>
        <w:t xml:space="preserve"> </w:t>
      </w:r>
    </w:p>
    <w:p w14:paraId="6D30BD66" w14:textId="77777777" w:rsidR="00AB6E1E" w:rsidRPr="004C0035" w:rsidRDefault="00AB6E1E" w:rsidP="00A603E2">
      <w:pPr>
        <w:spacing w:before="120" w:line="240" w:lineRule="atLeast"/>
        <w:rPr>
          <w:rFonts w:ascii="Arial" w:hAnsi="Arial" w:cs="Arial"/>
          <w:position w:val="6"/>
          <w:sz w:val="22"/>
          <w:szCs w:val="22"/>
        </w:rPr>
      </w:pPr>
    </w:p>
    <w:p w14:paraId="01DED4F7" w14:textId="77777777" w:rsidR="00AB6E1E" w:rsidRPr="004C0035" w:rsidRDefault="00AB6E1E" w:rsidP="00A603E2">
      <w:pPr>
        <w:spacing w:before="120" w:line="240" w:lineRule="atLeast"/>
        <w:rPr>
          <w:rFonts w:ascii="Arial" w:hAnsi="Arial" w:cs="Arial"/>
          <w:position w:val="6"/>
          <w:sz w:val="22"/>
          <w:szCs w:val="22"/>
        </w:rPr>
      </w:pPr>
      <w:r w:rsidRPr="004C0035">
        <w:rPr>
          <w:rFonts w:ascii="Arial" w:hAnsi="Arial" w:cs="Arial"/>
          <w:position w:val="6"/>
          <w:sz w:val="22"/>
          <w:szCs w:val="22"/>
        </w:rPr>
        <w:t xml:space="preserve"> </w:t>
      </w:r>
    </w:p>
    <w:p w14:paraId="5C9CB237" w14:textId="77777777" w:rsidR="00AB6E1E" w:rsidRPr="004C0035" w:rsidRDefault="00AB6E1E" w:rsidP="002109B6">
      <w:pPr>
        <w:spacing w:before="120" w:line="240" w:lineRule="atLeast"/>
        <w:ind w:left="4950" w:hanging="4950"/>
        <w:rPr>
          <w:rFonts w:ascii="Arial" w:hAnsi="Arial" w:cs="Arial"/>
          <w:sz w:val="22"/>
          <w:szCs w:val="22"/>
        </w:rPr>
      </w:pPr>
      <w:r w:rsidRPr="004C0035">
        <w:rPr>
          <w:rFonts w:ascii="Arial" w:hAnsi="Arial" w:cs="Arial"/>
          <w:b/>
          <w:sz w:val="22"/>
          <w:szCs w:val="22"/>
        </w:rPr>
        <w:t>COMPEKON s.r.o</w:t>
      </w:r>
      <w:r w:rsidR="00D13347" w:rsidRPr="004C0035">
        <w:rPr>
          <w:rFonts w:ascii="Arial" w:hAnsi="Arial" w:cs="Arial"/>
          <w:sz w:val="22"/>
          <w:szCs w:val="22"/>
        </w:rPr>
        <w:tab/>
      </w:r>
      <w:r w:rsidR="00D13347" w:rsidRPr="004C0035">
        <w:rPr>
          <w:rFonts w:ascii="Arial" w:hAnsi="Arial" w:cs="Arial"/>
          <w:sz w:val="22"/>
          <w:szCs w:val="22"/>
        </w:rPr>
        <w:tab/>
      </w:r>
      <w:r w:rsidRPr="004C0035">
        <w:rPr>
          <w:rFonts w:ascii="Arial" w:hAnsi="Arial" w:cs="Arial"/>
          <w:b/>
          <w:sz w:val="22"/>
          <w:szCs w:val="22"/>
        </w:rPr>
        <w:t>Exportní garanční a pojišťovací společnost, a.s.</w:t>
      </w:r>
    </w:p>
    <w:p w14:paraId="026DC174" w14:textId="77777777" w:rsidR="00AB6E1E" w:rsidRPr="004C0035" w:rsidRDefault="00AB6E1E" w:rsidP="00A603E2">
      <w:pPr>
        <w:spacing w:before="120" w:line="240" w:lineRule="atLeast"/>
        <w:rPr>
          <w:rFonts w:ascii="Arial" w:hAnsi="Arial" w:cs="Arial"/>
          <w:b/>
          <w:sz w:val="22"/>
          <w:szCs w:val="22"/>
        </w:rPr>
      </w:pPr>
      <w:r w:rsidRPr="004C0035">
        <w:rPr>
          <w:rFonts w:ascii="Arial" w:hAnsi="Arial" w:cs="Arial"/>
          <w:b/>
          <w:sz w:val="22"/>
          <w:szCs w:val="22"/>
        </w:rPr>
        <w:t xml:space="preserve">     </w:t>
      </w:r>
    </w:p>
    <w:p w14:paraId="47A31E9C" w14:textId="77777777" w:rsidR="00D13347" w:rsidRPr="002109B6" w:rsidRDefault="00D13347" w:rsidP="00A603E2">
      <w:pPr>
        <w:spacing w:before="120" w:line="240" w:lineRule="atLeast"/>
        <w:rPr>
          <w:rFonts w:ascii="Arial" w:hAnsi="Arial" w:cs="Arial"/>
          <w:b/>
          <w:sz w:val="22"/>
          <w:szCs w:val="22"/>
        </w:rPr>
      </w:pPr>
    </w:p>
    <w:p w14:paraId="57DA2B9A" w14:textId="77777777" w:rsidR="00D13347" w:rsidRPr="002109B6" w:rsidRDefault="00D13347" w:rsidP="00A603E2">
      <w:pPr>
        <w:spacing w:before="120" w:line="240" w:lineRule="atLeast"/>
        <w:rPr>
          <w:rFonts w:ascii="Arial" w:hAnsi="Arial" w:cs="Arial"/>
          <w:b/>
          <w:sz w:val="22"/>
          <w:szCs w:val="22"/>
        </w:rPr>
      </w:pPr>
      <w:r w:rsidRPr="002109B6">
        <w:rPr>
          <w:rFonts w:ascii="Arial" w:hAnsi="Arial" w:cs="Arial"/>
          <w:b/>
          <w:sz w:val="22"/>
          <w:szCs w:val="22"/>
        </w:rPr>
        <w:t>……………………………………..</w:t>
      </w:r>
      <w:r w:rsidRPr="002109B6">
        <w:rPr>
          <w:rFonts w:ascii="Arial" w:hAnsi="Arial" w:cs="Arial"/>
          <w:b/>
          <w:sz w:val="22"/>
          <w:szCs w:val="22"/>
        </w:rPr>
        <w:tab/>
      </w:r>
      <w:r w:rsidRPr="002109B6">
        <w:rPr>
          <w:rFonts w:ascii="Arial" w:hAnsi="Arial" w:cs="Arial"/>
          <w:b/>
          <w:sz w:val="22"/>
          <w:szCs w:val="22"/>
        </w:rPr>
        <w:tab/>
      </w:r>
      <w:r w:rsidRPr="002109B6">
        <w:rPr>
          <w:rFonts w:ascii="Arial" w:hAnsi="Arial" w:cs="Arial"/>
          <w:b/>
          <w:sz w:val="22"/>
          <w:szCs w:val="22"/>
        </w:rPr>
        <w:tab/>
        <w:t>……………………………………..</w:t>
      </w:r>
    </w:p>
    <w:p w14:paraId="67C7971F" w14:textId="77777777" w:rsidR="00AB6E1E" w:rsidRPr="002109B6" w:rsidRDefault="00AB6E1E" w:rsidP="00A603E2">
      <w:pPr>
        <w:spacing w:before="120" w:line="240" w:lineRule="atLeast"/>
        <w:rPr>
          <w:rFonts w:ascii="Arial" w:hAnsi="Arial" w:cs="Arial"/>
          <w:b/>
          <w:sz w:val="22"/>
          <w:szCs w:val="22"/>
        </w:rPr>
      </w:pPr>
      <w:r w:rsidRPr="002109B6">
        <w:rPr>
          <w:rFonts w:ascii="Arial" w:hAnsi="Arial" w:cs="Arial"/>
          <w:b/>
          <w:sz w:val="22"/>
          <w:szCs w:val="22"/>
        </w:rPr>
        <w:t>Ing. Pavel Zamec</w:t>
      </w:r>
      <w:r w:rsidRPr="002109B6">
        <w:rPr>
          <w:rFonts w:ascii="Arial" w:hAnsi="Arial" w:cs="Arial"/>
          <w:b/>
          <w:sz w:val="22"/>
          <w:szCs w:val="22"/>
        </w:rPr>
        <w:tab/>
      </w:r>
      <w:r w:rsidRPr="002109B6">
        <w:rPr>
          <w:rFonts w:ascii="Arial" w:hAnsi="Arial" w:cs="Arial"/>
          <w:b/>
          <w:sz w:val="22"/>
          <w:szCs w:val="22"/>
        </w:rPr>
        <w:tab/>
      </w:r>
      <w:r w:rsidRPr="002109B6">
        <w:rPr>
          <w:rFonts w:ascii="Arial" w:hAnsi="Arial" w:cs="Arial"/>
          <w:b/>
          <w:sz w:val="22"/>
          <w:szCs w:val="22"/>
        </w:rPr>
        <w:tab/>
      </w:r>
      <w:r w:rsidRPr="002109B6">
        <w:rPr>
          <w:rFonts w:ascii="Arial" w:hAnsi="Arial" w:cs="Arial"/>
          <w:b/>
          <w:sz w:val="22"/>
          <w:szCs w:val="22"/>
        </w:rPr>
        <w:tab/>
      </w:r>
      <w:r w:rsidRPr="002109B6">
        <w:rPr>
          <w:rFonts w:ascii="Arial" w:hAnsi="Arial" w:cs="Arial"/>
          <w:b/>
          <w:sz w:val="22"/>
          <w:szCs w:val="22"/>
        </w:rPr>
        <w:tab/>
        <w:t>Ing. Martin Růžička</w:t>
      </w:r>
    </w:p>
    <w:p w14:paraId="6EFD7AD8" w14:textId="77777777" w:rsidR="00AB6E1E" w:rsidRPr="002109B6" w:rsidRDefault="00AB6E1E" w:rsidP="00A603E2">
      <w:pPr>
        <w:spacing w:before="120" w:line="240" w:lineRule="atLeast"/>
        <w:rPr>
          <w:rFonts w:ascii="Arial" w:hAnsi="Arial" w:cs="Arial"/>
          <w:b/>
          <w:sz w:val="22"/>
          <w:szCs w:val="22"/>
        </w:rPr>
      </w:pPr>
      <w:r w:rsidRPr="002109B6">
        <w:rPr>
          <w:rFonts w:ascii="Arial" w:hAnsi="Arial" w:cs="Arial"/>
          <w:b/>
          <w:sz w:val="22"/>
          <w:szCs w:val="22"/>
        </w:rPr>
        <w:t xml:space="preserve">jednatel společnosti </w:t>
      </w:r>
      <w:r w:rsidRPr="002109B6">
        <w:rPr>
          <w:rFonts w:ascii="Arial" w:hAnsi="Arial" w:cs="Arial"/>
          <w:b/>
          <w:sz w:val="22"/>
          <w:szCs w:val="22"/>
        </w:rPr>
        <w:tab/>
      </w:r>
      <w:r w:rsidRPr="002109B6">
        <w:rPr>
          <w:rFonts w:ascii="Arial" w:hAnsi="Arial" w:cs="Arial"/>
          <w:b/>
          <w:sz w:val="22"/>
          <w:szCs w:val="22"/>
        </w:rPr>
        <w:tab/>
      </w:r>
      <w:r w:rsidRPr="002109B6">
        <w:rPr>
          <w:rFonts w:ascii="Arial" w:hAnsi="Arial" w:cs="Arial"/>
          <w:b/>
          <w:sz w:val="22"/>
          <w:szCs w:val="22"/>
        </w:rPr>
        <w:tab/>
      </w:r>
      <w:r w:rsidR="00CD4877" w:rsidRPr="002109B6">
        <w:rPr>
          <w:rFonts w:ascii="Arial" w:hAnsi="Arial" w:cs="Arial"/>
          <w:b/>
          <w:sz w:val="22"/>
          <w:szCs w:val="22"/>
        </w:rPr>
        <w:tab/>
      </w:r>
      <w:r w:rsidRPr="002109B6">
        <w:rPr>
          <w:rFonts w:ascii="Arial" w:hAnsi="Arial" w:cs="Arial"/>
          <w:b/>
          <w:sz w:val="22"/>
          <w:szCs w:val="22"/>
        </w:rPr>
        <w:t xml:space="preserve">člen představenstva </w:t>
      </w:r>
    </w:p>
    <w:p w14:paraId="0D5E909B" w14:textId="77777777" w:rsidR="00AB6E1E" w:rsidRPr="002109B6" w:rsidRDefault="00AB6E1E" w:rsidP="00A603E2">
      <w:pPr>
        <w:spacing w:before="120" w:line="240" w:lineRule="atLeast"/>
        <w:rPr>
          <w:rFonts w:ascii="Arial" w:hAnsi="Arial" w:cs="Arial"/>
          <w:b/>
          <w:sz w:val="22"/>
          <w:szCs w:val="22"/>
        </w:rPr>
      </w:pPr>
    </w:p>
    <w:p w14:paraId="7FDE3F94" w14:textId="77777777" w:rsidR="00AB6E1E" w:rsidRPr="002109B6" w:rsidRDefault="00AB6E1E" w:rsidP="00A603E2">
      <w:pPr>
        <w:spacing w:before="120" w:line="240" w:lineRule="atLeast"/>
        <w:rPr>
          <w:rFonts w:ascii="Arial" w:hAnsi="Arial" w:cs="Arial"/>
          <w:b/>
          <w:sz w:val="22"/>
          <w:szCs w:val="22"/>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2109B6">
        <w:rPr>
          <w:rFonts w:ascii="Arial" w:hAnsi="Arial" w:cs="Arial"/>
          <w:b/>
          <w:sz w:val="22"/>
          <w:szCs w:val="22"/>
        </w:rPr>
        <w:t>……………………………………..</w:t>
      </w:r>
    </w:p>
    <w:p w14:paraId="0C3A1697" w14:textId="77777777" w:rsidR="00AB6E1E" w:rsidRPr="002109B6" w:rsidRDefault="00AB6E1E" w:rsidP="00A603E2">
      <w:pPr>
        <w:spacing w:before="120" w:line="240" w:lineRule="atLeast"/>
        <w:rPr>
          <w:rFonts w:ascii="Arial" w:hAnsi="Arial" w:cs="Arial"/>
          <w:b/>
          <w:sz w:val="22"/>
          <w:szCs w:val="22"/>
        </w:rPr>
      </w:pPr>
      <w:r w:rsidRPr="002109B6">
        <w:rPr>
          <w:rFonts w:ascii="Arial" w:hAnsi="Arial" w:cs="Arial"/>
          <w:b/>
          <w:sz w:val="22"/>
          <w:szCs w:val="22"/>
        </w:rPr>
        <w:tab/>
      </w:r>
      <w:r w:rsidRPr="002109B6">
        <w:rPr>
          <w:rFonts w:ascii="Arial" w:hAnsi="Arial" w:cs="Arial"/>
          <w:b/>
          <w:sz w:val="22"/>
          <w:szCs w:val="22"/>
        </w:rPr>
        <w:tab/>
      </w:r>
      <w:r w:rsidRPr="002109B6">
        <w:rPr>
          <w:rFonts w:ascii="Arial" w:hAnsi="Arial" w:cs="Arial"/>
          <w:b/>
          <w:sz w:val="22"/>
          <w:szCs w:val="22"/>
        </w:rPr>
        <w:tab/>
      </w:r>
      <w:r w:rsidRPr="002109B6">
        <w:rPr>
          <w:rFonts w:ascii="Arial" w:hAnsi="Arial" w:cs="Arial"/>
          <w:b/>
          <w:sz w:val="22"/>
          <w:szCs w:val="22"/>
        </w:rPr>
        <w:tab/>
      </w:r>
      <w:r w:rsidRPr="002109B6">
        <w:rPr>
          <w:rFonts w:ascii="Arial" w:hAnsi="Arial" w:cs="Arial"/>
          <w:b/>
          <w:sz w:val="22"/>
          <w:szCs w:val="22"/>
        </w:rPr>
        <w:tab/>
      </w:r>
      <w:r w:rsidRPr="002109B6">
        <w:rPr>
          <w:rFonts w:ascii="Arial" w:hAnsi="Arial" w:cs="Arial"/>
          <w:b/>
          <w:sz w:val="22"/>
          <w:szCs w:val="22"/>
        </w:rPr>
        <w:tab/>
      </w:r>
      <w:r w:rsidRPr="002109B6">
        <w:rPr>
          <w:rFonts w:ascii="Arial" w:hAnsi="Arial" w:cs="Arial"/>
          <w:b/>
          <w:sz w:val="22"/>
          <w:szCs w:val="22"/>
        </w:rPr>
        <w:tab/>
        <w:t>Ing. Silvie Goldscheiderová</w:t>
      </w:r>
    </w:p>
    <w:p w14:paraId="2B816211" w14:textId="77777777" w:rsidR="00AB6E1E" w:rsidRPr="002109B6" w:rsidRDefault="00AB6E1E" w:rsidP="002109B6">
      <w:pPr>
        <w:spacing w:before="120" w:line="240" w:lineRule="atLeast"/>
        <w:ind w:left="4248" w:firstLine="708"/>
        <w:rPr>
          <w:rFonts w:ascii="Arial" w:hAnsi="Arial" w:cs="Arial"/>
          <w:b/>
          <w:sz w:val="22"/>
          <w:szCs w:val="22"/>
        </w:rPr>
      </w:pPr>
      <w:r w:rsidRPr="002109B6">
        <w:rPr>
          <w:rFonts w:ascii="Arial" w:hAnsi="Arial" w:cs="Arial"/>
          <w:b/>
          <w:sz w:val="22"/>
          <w:szCs w:val="22"/>
        </w:rPr>
        <w:t>výkonná ředitelka úseku 120</w:t>
      </w:r>
    </w:p>
    <w:p w14:paraId="1D9BFD65" w14:textId="77777777" w:rsidR="00AB6E1E" w:rsidRPr="002109B6" w:rsidRDefault="00AB6E1E" w:rsidP="00A603E2">
      <w:pPr>
        <w:spacing w:before="120" w:line="240" w:lineRule="atLeast"/>
        <w:rPr>
          <w:rFonts w:ascii="Arial" w:hAnsi="Arial" w:cs="Arial"/>
          <w:sz w:val="22"/>
          <w:szCs w:val="22"/>
        </w:rPr>
      </w:pPr>
    </w:p>
    <w:p w14:paraId="0454CFA8" w14:textId="77777777" w:rsidR="00AB6E1E" w:rsidRPr="002109B6" w:rsidRDefault="00AB6E1E" w:rsidP="00A603E2">
      <w:pPr>
        <w:spacing w:before="120" w:line="240" w:lineRule="atLeast"/>
        <w:rPr>
          <w:rFonts w:ascii="Arial" w:hAnsi="Arial" w:cs="Arial"/>
          <w:sz w:val="22"/>
          <w:szCs w:val="22"/>
        </w:rPr>
      </w:pPr>
    </w:p>
    <w:p w14:paraId="44AF09D7" w14:textId="77777777" w:rsidR="00380795" w:rsidRPr="002109B6" w:rsidRDefault="00380795" w:rsidP="00A603E2">
      <w:pPr>
        <w:spacing w:before="120" w:line="240" w:lineRule="atLeast"/>
        <w:rPr>
          <w:rFonts w:ascii="Arial" w:hAnsi="Arial" w:cs="Arial"/>
          <w:sz w:val="22"/>
          <w:szCs w:val="22"/>
        </w:rPr>
      </w:pPr>
    </w:p>
    <w:p w14:paraId="0A196496" w14:textId="77777777" w:rsidR="00380795" w:rsidRDefault="00380795" w:rsidP="00A603E2">
      <w:pPr>
        <w:spacing w:before="120" w:line="240" w:lineRule="atLeast"/>
        <w:rPr>
          <w:rFonts w:ascii="Verdana" w:hAnsi="Verdana"/>
        </w:rPr>
      </w:pPr>
    </w:p>
    <w:p w14:paraId="0B347C0D" w14:textId="77777777" w:rsidR="00380795" w:rsidRDefault="00380795" w:rsidP="00A603E2">
      <w:pPr>
        <w:spacing w:before="120" w:line="240" w:lineRule="atLeast"/>
        <w:rPr>
          <w:rFonts w:ascii="Verdana" w:hAnsi="Verdana"/>
        </w:rPr>
      </w:pPr>
    </w:p>
    <w:p w14:paraId="7787C2FB" w14:textId="77777777" w:rsidR="00380795" w:rsidRDefault="00380795" w:rsidP="00A603E2">
      <w:pPr>
        <w:spacing w:before="120" w:line="240" w:lineRule="atLeast"/>
        <w:rPr>
          <w:rFonts w:ascii="Verdana" w:hAnsi="Verdana"/>
        </w:rPr>
      </w:pPr>
    </w:p>
    <w:p w14:paraId="2E50033B" w14:textId="77777777" w:rsidR="00380795" w:rsidRDefault="00380795" w:rsidP="00A603E2">
      <w:pPr>
        <w:spacing w:before="120" w:line="240" w:lineRule="atLeast"/>
        <w:rPr>
          <w:rFonts w:ascii="Verdana" w:hAnsi="Verdana"/>
        </w:rPr>
      </w:pPr>
    </w:p>
    <w:p w14:paraId="4E98C56D" w14:textId="77777777" w:rsidR="00AB6E1E" w:rsidRDefault="00AB6E1E" w:rsidP="002109B6">
      <w:pPr>
        <w:pStyle w:val="Nadpis1"/>
        <w:numPr>
          <w:ilvl w:val="0"/>
          <w:numId w:val="0"/>
        </w:numPr>
        <w:ind w:left="708" w:hanging="708"/>
      </w:pPr>
      <w:r w:rsidRPr="0069059B">
        <w:t xml:space="preserve">Příloha č. </w:t>
      </w:r>
      <w:r>
        <w:t>4</w:t>
      </w:r>
      <w:r w:rsidRPr="0069059B">
        <w:t xml:space="preserve"> ke Smlouvě o podpoře dodaného programového vybavení č. S21/2002</w:t>
      </w:r>
    </w:p>
    <w:p w14:paraId="55DABC04" w14:textId="77777777" w:rsidR="00AB6E1E" w:rsidRDefault="00AB6E1E" w:rsidP="00A603E2">
      <w:pPr>
        <w:spacing w:before="120" w:line="240" w:lineRule="atLeast"/>
        <w:rPr>
          <w:b/>
          <w:sz w:val="36"/>
        </w:rPr>
      </w:pPr>
    </w:p>
    <w:p w14:paraId="436BC1FD" w14:textId="77777777" w:rsidR="00AB6E1E" w:rsidRPr="002109B6" w:rsidRDefault="00AB6E1E" w:rsidP="00A603E2">
      <w:pPr>
        <w:pStyle w:val="Nadpis2"/>
        <w:numPr>
          <w:ilvl w:val="0"/>
          <w:numId w:val="0"/>
        </w:numPr>
        <w:rPr>
          <w:b/>
          <w:sz w:val="28"/>
          <w:szCs w:val="28"/>
        </w:rPr>
      </w:pPr>
      <w:r w:rsidRPr="002109B6">
        <w:rPr>
          <w:b/>
          <w:sz w:val="28"/>
          <w:szCs w:val="28"/>
        </w:rPr>
        <w:t>Jednotná pravidla pro vztahy s dodavateli IT služeb</w:t>
      </w:r>
    </w:p>
    <w:p w14:paraId="17FDED44" w14:textId="77777777" w:rsidR="00AB6E1E" w:rsidRPr="002109B6" w:rsidRDefault="00AB6E1E" w:rsidP="00A603E2">
      <w:pPr>
        <w:pStyle w:val="Bezmezer"/>
        <w:rPr>
          <w:sz w:val="22"/>
        </w:rPr>
      </w:pPr>
      <w:r w:rsidRPr="002109B6">
        <w:rPr>
          <w:sz w:val="22"/>
        </w:rPr>
        <w:t xml:space="preserve">Dodavatel se zavazuje dodržovat </w:t>
      </w:r>
      <w:r w:rsidRPr="002109B6">
        <w:rPr>
          <w:b/>
          <w:sz w:val="22"/>
        </w:rPr>
        <w:t>Jednotná pravidla pro vztahy s dodavateli IT služeb</w:t>
      </w:r>
      <w:r w:rsidRPr="002109B6">
        <w:rPr>
          <w:sz w:val="22"/>
        </w:rPr>
        <w:t xml:space="preserve"> (dále jen „Pravidla“), která vymezují základní pravidla a postupy pro dodavatele informačních technologií pro oblast </w:t>
      </w:r>
    </w:p>
    <w:p w14:paraId="038401D4" w14:textId="77777777" w:rsidR="00AB6E1E" w:rsidRPr="002109B6" w:rsidRDefault="00AB6E1E" w:rsidP="00A603E2">
      <w:pPr>
        <w:pStyle w:val="Bezmezer"/>
        <w:numPr>
          <w:ilvl w:val="0"/>
          <w:numId w:val="12"/>
        </w:numPr>
        <w:ind w:left="0" w:firstLine="0"/>
        <w:rPr>
          <w:sz w:val="22"/>
        </w:rPr>
      </w:pPr>
      <w:r w:rsidRPr="002109B6">
        <w:rPr>
          <w:sz w:val="22"/>
        </w:rPr>
        <w:t xml:space="preserve">používání, bezpečnosti a ochrany informačních systémů Exportní garanční a pojišťovací společnosti, a.s., jejich jednotlivých aplikací (dále společně jen „informační systémy EGAP“), dat a informací (dále společně jen „data“), a dále </w:t>
      </w:r>
    </w:p>
    <w:p w14:paraId="7A46D75D" w14:textId="77777777" w:rsidR="00AB6E1E" w:rsidRPr="002109B6" w:rsidRDefault="00AB6E1E" w:rsidP="00A603E2">
      <w:pPr>
        <w:pStyle w:val="Bezmezer"/>
        <w:numPr>
          <w:ilvl w:val="0"/>
          <w:numId w:val="12"/>
        </w:numPr>
        <w:ind w:left="0" w:firstLine="0"/>
        <w:rPr>
          <w:sz w:val="22"/>
        </w:rPr>
      </w:pPr>
      <w:r w:rsidRPr="002109B6">
        <w:rPr>
          <w:sz w:val="22"/>
        </w:rPr>
        <w:t xml:space="preserve">zajištění a udržení funkčnosti informačních systémů Exportní garanční a pojišťovací společnosti, a.s. a prevence zneužití dat v nich uložených dodavatelem.     </w:t>
      </w:r>
    </w:p>
    <w:p w14:paraId="0AC0F137" w14:textId="77777777" w:rsidR="00AB6E1E" w:rsidRPr="002109B6" w:rsidRDefault="00AB6E1E" w:rsidP="00A603E2">
      <w:pPr>
        <w:pStyle w:val="Bezmezer"/>
        <w:rPr>
          <w:sz w:val="22"/>
        </w:rPr>
      </w:pPr>
      <w:r w:rsidRPr="002109B6">
        <w:rPr>
          <w:sz w:val="22"/>
        </w:rPr>
        <w:t xml:space="preserve">Podrobnější úprava může být uvedena ve smlouvě, jejíž přílohou Pravidla jsou, a tato má přednost před Pravidly. </w:t>
      </w:r>
    </w:p>
    <w:p w14:paraId="26F28A26" w14:textId="77777777" w:rsidR="00AB6E1E" w:rsidRPr="00D13347" w:rsidRDefault="00AB6E1E" w:rsidP="002109B6">
      <w:pPr>
        <w:pStyle w:val="Normlnsodsazenm"/>
        <w:ind w:left="426" w:hanging="426"/>
        <w:rPr>
          <w:szCs w:val="22"/>
        </w:rPr>
      </w:pPr>
      <w:r w:rsidRPr="00D13347">
        <w:rPr>
          <w:szCs w:val="22"/>
        </w:rPr>
        <w:t xml:space="preserve">Exportní garanční a pojišťovací společnost, a.s. (dále jen „EGAP“) je výhradním vlastníkem informačních systémů EGAP, dat a provozních údajů v nich uložených, komunikačních prostředků i domény egap.cz a elektronických poštovních adres obsahujících označení EGAP. </w:t>
      </w:r>
    </w:p>
    <w:p w14:paraId="41AA8C00" w14:textId="77777777" w:rsidR="00AB6E1E" w:rsidRPr="008352B5" w:rsidRDefault="00AB6E1E" w:rsidP="002109B6">
      <w:pPr>
        <w:pStyle w:val="Normlnsodsazenm"/>
        <w:ind w:left="426" w:hanging="426"/>
        <w:rPr>
          <w:szCs w:val="22"/>
        </w:rPr>
      </w:pPr>
      <w:r w:rsidRPr="00A7106B">
        <w:rPr>
          <w:szCs w:val="22"/>
        </w:rPr>
        <w:t>Dodavatel je oprávněn přistupovat k informacím a provozním údajů v informačních systémech EGAP pouze v rozsahu předmětu smlouvy. Jakýkoliv přístup do informačního systému EGAP či manipulace s daty nebo provozními údaji nad rámec předmětu smlouvy je</w:t>
      </w:r>
      <w:r w:rsidRPr="008352B5">
        <w:rPr>
          <w:szCs w:val="22"/>
        </w:rPr>
        <w:t xml:space="preserve"> hrubým porušením smlouvy. </w:t>
      </w:r>
    </w:p>
    <w:p w14:paraId="46C9BEAE" w14:textId="77777777" w:rsidR="00AB6E1E" w:rsidRPr="00333D44" w:rsidRDefault="00AB6E1E" w:rsidP="002109B6">
      <w:pPr>
        <w:pStyle w:val="Normlnsodsazenm"/>
        <w:ind w:left="426" w:hanging="426"/>
        <w:rPr>
          <w:szCs w:val="22"/>
        </w:rPr>
      </w:pPr>
      <w:r w:rsidRPr="00333D44">
        <w:rPr>
          <w:szCs w:val="22"/>
        </w:rPr>
        <w:t xml:space="preserve">Při přístupu k datům a provozním údajům v informačních systémech EGAP je dodavatel povinen postupovat tak, aby nebyla ohrožena či narušena důvěrnost, dostupnost a integrita dat a provozních údajů. </w:t>
      </w:r>
    </w:p>
    <w:p w14:paraId="44A4FB84" w14:textId="77777777" w:rsidR="00AB6E1E" w:rsidRPr="003D41B2" w:rsidRDefault="00AB6E1E" w:rsidP="002109B6">
      <w:pPr>
        <w:pStyle w:val="Normlnsodsazenm"/>
        <w:ind w:left="426" w:hanging="426"/>
        <w:rPr>
          <w:szCs w:val="22"/>
        </w:rPr>
      </w:pPr>
      <w:r w:rsidRPr="00D83BE8">
        <w:rPr>
          <w:szCs w:val="22"/>
        </w:rPr>
        <w:t xml:space="preserve">Dodavatel přistupuje k datům, provozním údajům a do informačních systémů EGAP na základě souhlasu a povolení osoby určené smlouvou (dále jen „oprávněná osoba“). </w:t>
      </w:r>
    </w:p>
    <w:p w14:paraId="0851DCC9" w14:textId="77777777" w:rsidR="00AB6E1E" w:rsidRPr="002109B6" w:rsidRDefault="00AB6E1E" w:rsidP="002109B6">
      <w:pPr>
        <w:pStyle w:val="Normlnsodsazenm"/>
        <w:ind w:left="426" w:hanging="426"/>
        <w:rPr>
          <w:szCs w:val="22"/>
        </w:rPr>
      </w:pPr>
      <w:r w:rsidRPr="003D41B2">
        <w:rPr>
          <w:szCs w:val="22"/>
        </w:rPr>
        <w:t>Opráv</w:t>
      </w:r>
      <w:r w:rsidRPr="00061EBC">
        <w:rPr>
          <w:szCs w:val="22"/>
        </w:rPr>
        <w:t>něná osoba přidělí po uzavření smlouvy přístupová práva dodavateli v rozsahu potřebném pro plnění účelu smlouvy. Každý zástupce dodavatele (dále jen „zástupce“) přistupující do informačních systémů EGAP má z důvodu individuální identifikace pro účely kontroly oprávněnou osobou přiděleno ID a volí si heslo, kterým se do informačních systémů přihlašuje. Zástupce je povinen přístupové ID a heslo uschovat tak, aby nebylo možné jeho zneužití. Pokud bude individuálně nastavené ID a heslo využito neoprávněnou osob</w:t>
      </w:r>
      <w:r w:rsidRPr="00282D4B">
        <w:rPr>
          <w:szCs w:val="22"/>
        </w:rPr>
        <w:t xml:space="preserve">ou, jde na straně dodavatele o hrubé porušení smlouvy. </w:t>
      </w:r>
    </w:p>
    <w:p w14:paraId="478FB8BA" w14:textId="77777777" w:rsidR="00AB6E1E" w:rsidRPr="002109B6" w:rsidRDefault="00AB6E1E" w:rsidP="002109B6">
      <w:pPr>
        <w:pStyle w:val="Normlnsodsazenm"/>
        <w:ind w:left="426" w:hanging="426"/>
        <w:rPr>
          <w:szCs w:val="22"/>
        </w:rPr>
      </w:pPr>
      <w:r w:rsidRPr="002109B6">
        <w:rPr>
          <w:szCs w:val="22"/>
        </w:rPr>
        <w:t xml:space="preserve">Dodavatel je povinen mít přijata a nastavena taková bezpečnostní opatření a pravidla, aby nemohlo dojít ke zneužití dat a provozních údajů v informačních systémech, tedy k ohrožení či narušení důvěrnosti, dostupnosti a integrity dat a provozních údajů. Na žádost EGAP je povinen přijatá a nastavená opatření doložit.  </w:t>
      </w:r>
    </w:p>
    <w:p w14:paraId="6FAE89C4" w14:textId="77777777" w:rsidR="00AB6E1E" w:rsidRPr="002109B6" w:rsidRDefault="00AB6E1E" w:rsidP="002109B6">
      <w:pPr>
        <w:pStyle w:val="Normlnsodsazenm"/>
        <w:ind w:left="426" w:hanging="426"/>
        <w:rPr>
          <w:szCs w:val="22"/>
        </w:rPr>
      </w:pPr>
      <w:r w:rsidRPr="002109B6">
        <w:rPr>
          <w:szCs w:val="22"/>
        </w:rPr>
        <w:t xml:space="preserve">V souladu s předmětem plnění smlouvy může být dodavateli zřízen dálkový přístup k informačním systémům EGAP, datům a provozním údajům v nich uloženým. Dodavatel není oprávněn provádět bez souhlasu oprávněné osoby zřizování, rušení nebo změny </w:t>
      </w:r>
      <w:r w:rsidRPr="002109B6">
        <w:rPr>
          <w:szCs w:val="22"/>
        </w:rPr>
        <w:lastRenderedPageBreak/>
        <w:t xml:space="preserve">uživatelských účtů a přístupových práv, které mu byly zřízeny za účelem plnění předmětu smlouvy, včetně změn v jednotlivých aplikacích. </w:t>
      </w:r>
    </w:p>
    <w:p w14:paraId="15E80803" w14:textId="77777777" w:rsidR="00AB6E1E" w:rsidRPr="002109B6" w:rsidRDefault="00AB6E1E" w:rsidP="002109B6">
      <w:pPr>
        <w:pStyle w:val="Normlnsodsazenm"/>
        <w:ind w:left="426" w:hanging="426"/>
        <w:rPr>
          <w:szCs w:val="22"/>
        </w:rPr>
      </w:pPr>
      <w:r w:rsidRPr="002109B6">
        <w:rPr>
          <w:szCs w:val="22"/>
        </w:rPr>
        <w:t>Používá-li dodavatel k plnění předmětu smlouvy elektronická zařízení ve vlastnictví EGAP, nesmí kopírovat, stahovat a ukládat aplikace a soubory</w:t>
      </w:r>
    </w:p>
    <w:p w14:paraId="01880C79" w14:textId="77777777" w:rsidR="00AB6E1E" w:rsidRPr="002109B6" w:rsidRDefault="00AB6E1E" w:rsidP="002109B6">
      <w:pPr>
        <w:pStyle w:val="lenn2"/>
        <w:numPr>
          <w:ilvl w:val="0"/>
          <w:numId w:val="35"/>
        </w:numPr>
        <w:ind w:right="-1"/>
        <w:jc w:val="both"/>
        <w:rPr>
          <w:szCs w:val="22"/>
        </w:rPr>
      </w:pPr>
      <w:r w:rsidRPr="002109B6">
        <w:rPr>
          <w:szCs w:val="22"/>
        </w:rPr>
        <w:t>s obsahem, který je svou povahou závadný a schopný jakkoliv poškodit EGAP a její dobré jméno (dále také jako „nevhodný materiál“),</w:t>
      </w:r>
    </w:p>
    <w:p w14:paraId="5B5325F8" w14:textId="77777777" w:rsidR="00AB6E1E" w:rsidRPr="002109B6" w:rsidRDefault="00AB6E1E" w:rsidP="002109B6">
      <w:pPr>
        <w:pStyle w:val="lenn2"/>
        <w:numPr>
          <w:ilvl w:val="0"/>
          <w:numId w:val="35"/>
        </w:numPr>
        <w:ind w:right="-1"/>
        <w:jc w:val="both"/>
        <w:rPr>
          <w:szCs w:val="22"/>
        </w:rPr>
      </w:pPr>
      <w:r w:rsidRPr="002109B6">
        <w:rPr>
          <w:szCs w:val="22"/>
        </w:rPr>
        <w:t>s nelegálním obsahem,</w:t>
      </w:r>
    </w:p>
    <w:p w14:paraId="1FE474C9" w14:textId="77777777" w:rsidR="00AB6E1E" w:rsidRPr="002109B6" w:rsidRDefault="00AB6E1E" w:rsidP="002109B6">
      <w:pPr>
        <w:pStyle w:val="lenn2"/>
        <w:numPr>
          <w:ilvl w:val="0"/>
          <w:numId w:val="35"/>
        </w:numPr>
        <w:jc w:val="both"/>
        <w:rPr>
          <w:szCs w:val="22"/>
        </w:rPr>
      </w:pPr>
      <w:r w:rsidRPr="002109B6">
        <w:rPr>
          <w:szCs w:val="22"/>
        </w:rPr>
        <w:t>bez platné licence.</w:t>
      </w:r>
    </w:p>
    <w:p w14:paraId="1A611239" w14:textId="77777777" w:rsidR="00AB6E1E" w:rsidRPr="003D41B2" w:rsidRDefault="00AB6E1E" w:rsidP="002109B6">
      <w:pPr>
        <w:pStyle w:val="Normlnsodsazenm"/>
        <w:ind w:left="426" w:hanging="426"/>
        <w:rPr>
          <w:szCs w:val="22"/>
        </w:rPr>
      </w:pPr>
      <w:r w:rsidRPr="00D13347">
        <w:rPr>
          <w:szCs w:val="22"/>
        </w:rPr>
        <w:t>Dodavatel se nesmí při plnění předmětu smlouvy prostřednictvím informačních systémů EGAP dopouštět takového jednání, které by mohlo být posuzováno jako páchání trestné činnosti dle zák. č. 40/2009 Sb., trestní zákoník, ve znění pozdějších změn a</w:t>
      </w:r>
      <w:r w:rsidRPr="00A7106B">
        <w:rPr>
          <w:szCs w:val="22"/>
        </w:rPr>
        <w:t> </w:t>
      </w:r>
      <w:r w:rsidRPr="008352B5">
        <w:rPr>
          <w:szCs w:val="22"/>
        </w:rPr>
        <w:t>doplnění (dále jen „trestní zákoník“)</w:t>
      </w:r>
      <w:r w:rsidRPr="00333D44">
        <w:rPr>
          <w:szCs w:val="22"/>
        </w:rPr>
        <w:t>, či přestupku dle zákona č. 250/2016 Sb., o</w:t>
      </w:r>
      <w:r w:rsidRPr="00D83BE8">
        <w:rPr>
          <w:szCs w:val="22"/>
        </w:rPr>
        <w:t xml:space="preserve"> odpovědnosti za přestupky a řízení o nich, ve znění pozdějších změn a doplnění (dále jen „zákon o přestupcích“), které by bylo možné vyhodnot</w:t>
      </w:r>
      <w:r w:rsidRPr="003D41B2">
        <w:rPr>
          <w:szCs w:val="22"/>
        </w:rPr>
        <w:t xml:space="preserve">it jako kriminálně nebo společensky závadné a bylo tak svou povahou schopno způsobit EGAP újmu. </w:t>
      </w:r>
    </w:p>
    <w:p w14:paraId="1904C7F6" w14:textId="77777777" w:rsidR="00AB6E1E" w:rsidRPr="00282D4B" w:rsidRDefault="00AB6E1E" w:rsidP="002109B6">
      <w:pPr>
        <w:pStyle w:val="Normlnsodsazenm"/>
        <w:ind w:left="426" w:hanging="426"/>
        <w:rPr>
          <w:szCs w:val="22"/>
        </w:rPr>
      </w:pPr>
      <w:r w:rsidRPr="00061EBC">
        <w:rPr>
          <w:szCs w:val="22"/>
        </w:rPr>
        <w:t xml:space="preserve">EGAP je oprávněn monitorovat přístupy dodavatele do informačních systémů EGAP, k datům a provozním údajům v nich uloženým. </w:t>
      </w:r>
    </w:p>
    <w:p w14:paraId="6777E522" w14:textId="77777777" w:rsidR="00AB6E1E" w:rsidRPr="002109B6" w:rsidRDefault="00AB6E1E" w:rsidP="002109B6">
      <w:pPr>
        <w:pStyle w:val="Normlnsodsazenm"/>
        <w:ind w:left="426" w:hanging="426"/>
        <w:rPr>
          <w:szCs w:val="22"/>
        </w:rPr>
      </w:pPr>
      <w:r w:rsidRPr="002109B6">
        <w:rPr>
          <w:szCs w:val="22"/>
        </w:rPr>
        <w:t xml:space="preserve">Dodavatel je povinen zachovávat mlčenlivost o datech a provozních údajích uložených v informačních systémech EGAP, jakož i o konkrétních informačních systémech používaných v EGAP. A dále o bezpečnostních incidentech vzniklých v souvislosti s plněním předmětu smlouvy, popř. majících vliv na plnění předmětu smlouvy. </w:t>
      </w:r>
    </w:p>
    <w:p w14:paraId="7D9E2F1A" w14:textId="77777777" w:rsidR="00AB6E1E" w:rsidRPr="002109B6" w:rsidRDefault="00AB6E1E" w:rsidP="002109B6">
      <w:pPr>
        <w:pStyle w:val="Normlnsodsazenm"/>
        <w:ind w:left="426" w:hanging="426"/>
        <w:rPr>
          <w:szCs w:val="22"/>
        </w:rPr>
      </w:pPr>
      <w:r w:rsidRPr="002109B6">
        <w:rPr>
          <w:szCs w:val="22"/>
        </w:rPr>
        <w:t xml:space="preserve">Dodavatel je oprávněn pořizovat kopie dat a provozních údajů pouze pro účely plnění předmětu smlouvy. Pořízená kopie může opustit prostředí EGAP pouze po výslovném souhlasu osoby určené EGAP ve smlouvě U takto pořízené kopie musí být dodržen bezpečný způsob zacházení, tj. data nesmí být jakýmkoli způsobem zpřístupněna neoprávněným osobám. </w:t>
      </w:r>
    </w:p>
    <w:p w14:paraId="3881EBE9" w14:textId="77777777" w:rsidR="00AB6E1E" w:rsidRPr="002109B6" w:rsidRDefault="00AB6E1E" w:rsidP="002109B6">
      <w:pPr>
        <w:pStyle w:val="Normlnsodsazenm"/>
        <w:ind w:left="426" w:hanging="426"/>
        <w:rPr>
          <w:szCs w:val="22"/>
        </w:rPr>
      </w:pPr>
      <w:r w:rsidRPr="002109B6">
        <w:rPr>
          <w:szCs w:val="22"/>
        </w:rPr>
        <w:t xml:space="preserve">Dodavatel není oprávněn bez souhlasu EGAP testovat účinnost bezpečnostních mechanizmů chránících informační systémy EGAP, včetně dat a provozních údajů v nich uložených. Rozsah testování je vždy určen EGAP. </w:t>
      </w:r>
    </w:p>
    <w:p w14:paraId="6B442009" w14:textId="77777777" w:rsidR="00AB6E1E" w:rsidRPr="002109B6" w:rsidRDefault="00AB6E1E" w:rsidP="002109B6">
      <w:pPr>
        <w:pStyle w:val="Normlnsodsazenm"/>
        <w:ind w:left="426" w:hanging="426"/>
        <w:rPr>
          <w:szCs w:val="22"/>
        </w:rPr>
      </w:pPr>
      <w:r w:rsidRPr="002109B6">
        <w:rPr>
          <w:szCs w:val="22"/>
        </w:rPr>
        <w:t xml:space="preserve">Dodavatel nesmí bez souhlasu EGAP modifikovat existující aplikační SW nebo operační systém. </w:t>
      </w:r>
    </w:p>
    <w:p w14:paraId="2F8DE3AB" w14:textId="77777777" w:rsidR="00AB6E1E" w:rsidRPr="002109B6" w:rsidRDefault="00AB6E1E" w:rsidP="002109B6">
      <w:pPr>
        <w:pStyle w:val="Normlnsodsazenm"/>
        <w:ind w:left="426" w:hanging="426"/>
        <w:rPr>
          <w:szCs w:val="22"/>
        </w:rPr>
      </w:pPr>
      <w:r w:rsidRPr="002109B6">
        <w:rPr>
          <w:szCs w:val="22"/>
        </w:rPr>
        <w:t xml:space="preserve">Dodavatel nesmí v informačních systémech EGAP instalovat a kopírovat žádný SW neautorizovaný EGAP a/nebo nelegální. </w:t>
      </w:r>
    </w:p>
    <w:p w14:paraId="7163EE43" w14:textId="77777777" w:rsidR="00AB6E1E" w:rsidRPr="002109B6" w:rsidRDefault="00AB6E1E" w:rsidP="002109B6">
      <w:pPr>
        <w:pStyle w:val="Normlnsodsazenm"/>
        <w:ind w:left="426" w:hanging="426"/>
        <w:rPr>
          <w:szCs w:val="22"/>
        </w:rPr>
      </w:pPr>
      <w:r w:rsidRPr="002109B6">
        <w:rPr>
          <w:szCs w:val="22"/>
        </w:rPr>
        <w:t>Pokud dodavatel plní předmět smlouvy přímo v informačních systémech EGAP, nesmí bez výslovného souhlasu vypínat nebo modifikovat nastavené antivirové, antispamové či jiné programové systémy ochrany informačních systémů EGAP.</w:t>
      </w:r>
    </w:p>
    <w:p w14:paraId="21B863B2" w14:textId="77777777" w:rsidR="00AB6E1E" w:rsidRPr="002109B6" w:rsidRDefault="00AB6E1E" w:rsidP="002109B6">
      <w:pPr>
        <w:pStyle w:val="Normlnsodsazenm"/>
        <w:ind w:left="426" w:hanging="426"/>
        <w:rPr>
          <w:szCs w:val="22"/>
        </w:rPr>
      </w:pPr>
      <w:r w:rsidRPr="002109B6">
        <w:rPr>
          <w:szCs w:val="22"/>
        </w:rPr>
        <w:t xml:space="preserve">Dodavatel není oprávněn vytvářet, kopírovat, rozšiřovat nebo se pokoušet zavádět jakýkoliv počítačový kód, jehož cílem je dále se v informačních systémech EGAP množit, poškozovat je nebo jakýmkoliv jiným způsobem omezovat výkon a kapacitu systémových zdrojů. </w:t>
      </w:r>
    </w:p>
    <w:p w14:paraId="39D577F6" w14:textId="77777777" w:rsidR="00AB6E1E" w:rsidRPr="002109B6" w:rsidRDefault="00AB6E1E" w:rsidP="002109B6">
      <w:pPr>
        <w:pStyle w:val="Normlnsodsazenm"/>
        <w:ind w:left="426" w:hanging="426"/>
        <w:rPr>
          <w:szCs w:val="22"/>
        </w:rPr>
      </w:pPr>
      <w:r w:rsidRPr="002109B6">
        <w:rPr>
          <w:szCs w:val="22"/>
        </w:rPr>
        <w:t xml:space="preserve">Je-li dodavateli zřízena elektronická pošta s doménou egap.cz (dále jen „e-mailová schránka“), je tomuto zakázáno šířit prostřednictvím zřízené e-mailové schránky </w:t>
      </w:r>
    </w:p>
    <w:p w14:paraId="4D67D91B" w14:textId="77777777" w:rsidR="00AB6E1E" w:rsidRPr="002109B6" w:rsidRDefault="00AB6E1E" w:rsidP="002109B6">
      <w:pPr>
        <w:pStyle w:val="lenn2"/>
        <w:numPr>
          <w:ilvl w:val="0"/>
          <w:numId w:val="35"/>
        </w:numPr>
        <w:ind w:right="-1"/>
        <w:jc w:val="both"/>
        <w:rPr>
          <w:szCs w:val="22"/>
        </w:rPr>
      </w:pPr>
      <w:r w:rsidRPr="002109B6">
        <w:rPr>
          <w:szCs w:val="22"/>
        </w:rPr>
        <w:t xml:space="preserve">nevhodné materiály, </w:t>
      </w:r>
    </w:p>
    <w:p w14:paraId="2400B840" w14:textId="77777777" w:rsidR="00AB6E1E" w:rsidRPr="002109B6" w:rsidRDefault="00AB6E1E" w:rsidP="002109B6">
      <w:pPr>
        <w:pStyle w:val="lenn2"/>
        <w:numPr>
          <w:ilvl w:val="0"/>
          <w:numId w:val="35"/>
        </w:numPr>
        <w:ind w:right="-1"/>
        <w:jc w:val="both"/>
        <w:rPr>
          <w:szCs w:val="22"/>
        </w:rPr>
      </w:pPr>
      <w:r w:rsidRPr="002109B6">
        <w:rPr>
          <w:szCs w:val="22"/>
        </w:rPr>
        <w:t xml:space="preserve">materiály, které svým obsahem, případně šířením mohou naplnit skutkovou podstatu některého z trestných činů uvedených v trestním zákoníku nebo zákona o přestupcích, nebo být v rozporu s jinými platnými právními předpisy,  </w:t>
      </w:r>
    </w:p>
    <w:p w14:paraId="4AA9481D" w14:textId="77777777" w:rsidR="00AB6E1E" w:rsidRPr="00D13347" w:rsidRDefault="00AB6E1E" w:rsidP="002109B6">
      <w:pPr>
        <w:pStyle w:val="lenn2"/>
        <w:numPr>
          <w:ilvl w:val="0"/>
          <w:numId w:val="35"/>
        </w:numPr>
        <w:ind w:right="-1"/>
        <w:jc w:val="both"/>
        <w:rPr>
          <w:szCs w:val="22"/>
        </w:rPr>
      </w:pPr>
      <w:r w:rsidRPr="002109B6">
        <w:rPr>
          <w:szCs w:val="22"/>
        </w:rPr>
        <w:t>tzv. řetězové e-maily</w:t>
      </w:r>
      <w:r w:rsidRPr="002109B6">
        <w:rPr>
          <w:szCs w:val="22"/>
        </w:rPr>
        <w:footnoteReference w:id="1"/>
      </w:r>
      <w:r w:rsidRPr="00D13347">
        <w:rPr>
          <w:szCs w:val="22"/>
        </w:rPr>
        <w:t xml:space="preserve">. </w:t>
      </w:r>
    </w:p>
    <w:p w14:paraId="5B406AB5" w14:textId="77777777" w:rsidR="00AB6E1E" w:rsidRPr="00333D44" w:rsidRDefault="00AB6E1E" w:rsidP="002109B6">
      <w:pPr>
        <w:pStyle w:val="Normlnsodsazenm"/>
        <w:ind w:left="426" w:hanging="426"/>
        <w:rPr>
          <w:szCs w:val="22"/>
        </w:rPr>
      </w:pPr>
      <w:r w:rsidRPr="00D13347">
        <w:rPr>
          <w:szCs w:val="22"/>
        </w:rPr>
        <w:t xml:space="preserve">Dodavatel nesmí bez souhlasu EGAP připojovat žádné vlastní či jiné </w:t>
      </w:r>
      <w:r w:rsidRPr="00A7106B">
        <w:rPr>
          <w:szCs w:val="22"/>
        </w:rPr>
        <w:t>elektronické systém</w:t>
      </w:r>
      <w:r w:rsidRPr="008352B5">
        <w:rPr>
          <w:szCs w:val="22"/>
        </w:rPr>
        <w:t>y k</w:t>
      </w:r>
      <w:r w:rsidRPr="00C6457F">
        <w:rPr>
          <w:szCs w:val="22"/>
        </w:rPr>
        <w:t> vnitřní síti.</w:t>
      </w:r>
    </w:p>
    <w:p w14:paraId="514A8A5A" w14:textId="77777777" w:rsidR="00AB6E1E" w:rsidRPr="00D83BE8" w:rsidRDefault="00AB6E1E" w:rsidP="002109B6">
      <w:pPr>
        <w:pStyle w:val="Normlnsodsazenm"/>
        <w:ind w:left="426" w:hanging="426"/>
        <w:rPr>
          <w:szCs w:val="22"/>
        </w:rPr>
      </w:pPr>
      <w:r w:rsidRPr="00333D44">
        <w:rPr>
          <w:szCs w:val="22"/>
        </w:rPr>
        <w:lastRenderedPageBreak/>
        <w:t>EGAP je držitelem platných licencí umožňujících používání softwaru</w:t>
      </w:r>
      <w:r w:rsidRPr="00D83BE8">
        <w:rPr>
          <w:szCs w:val="22"/>
        </w:rPr>
        <w:t xml:space="preserve"> (SW). </w:t>
      </w:r>
    </w:p>
    <w:p w14:paraId="33AA8E6A" w14:textId="77777777" w:rsidR="00AB6E1E" w:rsidRPr="003D41B2" w:rsidRDefault="00AB6E1E" w:rsidP="002109B6">
      <w:pPr>
        <w:pStyle w:val="Normlnsodsazenm"/>
        <w:ind w:left="426" w:hanging="426"/>
        <w:rPr>
          <w:szCs w:val="22"/>
        </w:rPr>
      </w:pPr>
      <w:r w:rsidRPr="003D41B2">
        <w:rPr>
          <w:szCs w:val="22"/>
        </w:rPr>
        <w:t xml:space="preserve">V případě aplikací vyvinutých pouze pro EGAP na zakázku je EGAP vlastníkem programových kódů. </w:t>
      </w:r>
    </w:p>
    <w:p w14:paraId="31264BAE" w14:textId="77777777" w:rsidR="00AB6E1E" w:rsidRPr="00282D4B" w:rsidRDefault="00AB6E1E" w:rsidP="002109B6">
      <w:pPr>
        <w:pStyle w:val="Normlnsodsazenm"/>
        <w:ind w:left="426" w:hanging="426"/>
        <w:rPr>
          <w:szCs w:val="22"/>
        </w:rPr>
      </w:pPr>
      <w:r w:rsidRPr="00061EBC">
        <w:rPr>
          <w:szCs w:val="22"/>
        </w:rPr>
        <w:t>EGAP je oprávněn provádět kontrolu a audit u dodavatele (dále souhrnně jen jako „audit“). Cílem auditu je ověřit, zda dodavatel postupuje v souladu s předmětem smlouvy a zda dodržuje povinnosti, ke kterým se smlouvou zavázal. Podrobná pravidla pro provádění auditu u dodavatele jsou uvedena ve smlouvě.</w:t>
      </w:r>
    </w:p>
    <w:p w14:paraId="25321D84" w14:textId="77777777" w:rsidR="00AB6E1E" w:rsidRPr="002109B6" w:rsidRDefault="00AB6E1E" w:rsidP="002109B6">
      <w:pPr>
        <w:pStyle w:val="Normlnsodsazenm"/>
        <w:ind w:left="426" w:hanging="426"/>
        <w:rPr>
          <w:szCs w:val="22"/>
        </w:rPr>
      </w:pPr>
      <w:r w:rsidRPr="002109B6">
        <w:rPr>
          <w:szCs w:val="22"/>
        </w:rPr>
        <w:t>Audit musí být proveden vždy, dojde-li k bezpečnostnímu incidentu na straně dodavatele, který má svou povahou významný dopad do procesů EGAP. Pro účely provedení auditu je dodavatel povinen poskytnout EGAP nezbytnou součinnost. Neposkytnutí součinnosti dodavatelem je hrubým porušením smlouvy.</w:t>
      </w:r>
    </w:p>
    <w:p w14:paraId="0EA3197D" w14:textId="77777777" w:rsidR="00AB6E1E" w:rsidRPr="002109B6" w:rsidRDefault="00AB6E1E" w:rsidP="002109B6">
      <w:pPr>
        <w:pStyle w:val="Normlnsodsazenm"/>
        <w:ind w:left="426" w:hanging="426"/>
        <w:rPr>
          <w:szCs w:val="22"/>
        </w:rPr>
      </w:pPr>
      <w:r w:rsidRPr="002109B6">
        <w:rPr>
          <w:szCs w:val="22"/>
        </w:rPr>
        <w:t xml:space="preserve">O záměru provést audit EGAP písemně vyrozumí dodavatele v termínu nejméně 7 kalendářních dnů předem. Spolu s oznámením o záměru provedení auditu zašle EGAP dodavateli rovněž vyrozumění, kdo bude za EGAP audit provádět a v jakém rozsahu. EGAP může provedením auditu pověřit třetí subjekt. </w:t>
      </w:r>
    </w:p>
    <w:p w14:paraId="22157D4B" w14:textId="77777777" w:rsidR="00AB6E1E" w:rsidRPr="002109B6" w:rsidRDefault="00AB6E1E" w:rsidP="002109B6">
      <w:pPr>
        <w:pStyle w:val="Normlnsodsazenm"/>
        <w:ind w:left="426" w:hanging="426"/>
        <w:rPr>
          <w:szCs w:val="22"/>
        </w:rPr>
      </w:pPr>
      <w:r w:rsidRPr="002109B6">
        <w:rPr>
          <w:szCs w:val="22"/>
        </w:rPr>
        <w:t xml:space="preserve">K plnění předmětu smlouvy může dodavatel využít subdodavatele, není-li smlouvou stanoveno jinak. Využití subdodavatele musí být schváleno EGAP. Využije-li dodavatel subdodavatele, je dodavatel zodpovědný za to, že subdodavatel dodrží ve stejném rozsahu smluvní ujednání jako dodavatel. </w:t>
      </w:r>
    </w:p>
    <w:p w14:paraId="2D747885" w14:textId="77777777" w:rsidR="00AB6E1E" w:rsidRPr="00333D44" w:rsidRDefault="00AB6E1E" w:rsidP="002109B6">
      <w:pPr>
        <w:pStyle w:val="Normlnsodsazenm"/>
        <w:ind w:left="426" w:hanging="426"/>
        <w:rPr>
          <w:szCs w:val="22"/>
        </w:rPr>
      </w:pPr>
      <w:r w:rsidRPr="00D13347">
        <w:rPr>
          <w:szCs w:val="22"/>
        </w:rPr>
        <w:t>Je-li předmětem smlouvy změna informačních systémů EGAP, je dodavatel ve spolupráci s EGAP povinen tuto změnu přezkoumat, ověřit v testovacím provozu a po odsouhlasení EGAP nasadit v ostr</w:t>
      </w:r>
      <w:r w:rsidRPr="00A7106B">
        <w:rPr>
          <w:szCs w:val="22"/>
        </w:rPr>
        <w:t>ém provozu</w:t>
      </w:r>
      <w:r w:rsidRPr="008352B5">
        <w:rPr>
          <w:szCs w:val="22"/>
        </w:rPr>
        <w:t xml:space="preserve"> (jeli k tomu smluvně oprávněn). O těchto změnách jsou vytvářeny dodavatelem akceptační protokoly, které jsou zasílány EGAP a v EGAP jsou uchovávány. </w:t>
      </w:r>
    </w:p>
    <w:p w14:paraId="68404AB9" w14:textId="77777777" w:rsidR="00AB6E1E" w:rsidRPr="002109B6" w:rsidRDefault="00AB6E1E" w:rsidP="002109B6">
      <w:pPr>
        <w:pStyle w:val="Normlnsodsazenm"/>
        <w:ind w:left="426" w:hanging="426"/>
        <w:rPr>
          <w:szCs w:val="22"/>
        </w:rPr>
      </w:pPr>
      <w:r w:rsidRPr="00333D44">
        <w:rPr>
          <w:szCs w:val="22"/>
        </w:rPr>
        <w:t>Dodavatel je povinen podrobně zaprotokolovat všechny provedené změny informačních systémů</w:t>
      </w:r>
      <w:r w:rsidRPr="00D83BE8">
        <w:rPr>
          <w:szCs w:val="22"/>
        </w:rPr>
        <w:t xml:space="preserve"> EGAP do provozní dokumentace tak, aby podle této dokumentace mohly být v případě potřeby změny odstraněny nebo zopakovány. Způsob vedení provozní dokumentace je ze strany EGAP specifikován pro každý systém samostatně. </w:t>
      </w:r>
    </w:p>
    <w:p w14:paraId="057F9532" w14:textId="77777777" w:rsidR="00AB6E1E" w:rsidRPr="00D83BE8" w:rsidRDefault="00AB6E1E" w:rsidP="002109B6">
      <w:pPr>
        <w:pStyle w:val="Normlnsodsazenm"/>
        <w:ind w:left="426" w:hanging="426"/>
        <w:rPr>
          <w:szCs w:val="22"/>
        </w:rPr>
      </w:pPr>
      <w:r w:rsidRPr="00D13347">
        <w:rPr>
          <w:szCs w:val="22"/>
        </w:rPr>
        <w:t xml:space="preserve">V případě vzniku bezpečnostního incidentu u dodavatele souvisejícího s plněním smlouvy, případně bezpečnostního incidentu, který může mít vliv na předmět plnění smlouvy nebo na činnost EGAP, </w:t>
      </w:r>
      <w:r w:rsidRPr="00A7106B">
        <w:rPr>
          <w:szCs w:val="22"/>
        </w:rPr>
        <w:t>je dodavatel povinen neprodleně informovat EGAP o vzniku incidentu a o opatřeních, která dodavatel učinil k</w:t>
      </w:r>
      <w:r w:rsidRPr="008352B5">
        <w:rPr>
          <w:szCs w:val="22"/>
        </w:rPr>
        <w:t> jeho zabránění či odstranění.</w:t>
      </w:r>
      <w:r w:rsidRPr="00C6457F">
        <w:rPr>
          <w:szCs w:val="22"/>
        </w:rPr>
        <w:t xml:space="preserve"> A dále o opatřeních, která přijal, aby v budoucnu k</w:t>
      </w:r>
      <w:r w:rsidRPr="00333D44">
        <w:rPr>
          <w:szCs w:val="22"/>
        </w:rPr>
        <w:t xml:space="preserve"> obdobnému bezpečnostnímu incidentu nedocházelo. </w:t>
      </w:r>
    </w:p>
    <w:p w14:paraId="0A8B478E" w14:textId="77777777" w:rsidR="00AB6E1E" w:rsidRPr="003D41B2" w:rsidRDefault="00AB6E1E" w:rsidP="002109B6">
      <w:pPr>
        <w:pStyle w:val="Normlnsodsazenm"/>
        <w:ind w:left="426" w:hanging="426"/>
        <w:rPr>
          <w:szCs w:val="22"/>
        </w:rPr>
      </w:pPr>
      <w:r w:rsidRPr="003D41B2">
        <w:rPr>
          <w:szCs w:val="22"/>
        </w:rPr>
        <w:t xml:space="preserve">Dodavatel je povinen přijmout opatření k řízení rizik souvisejících s předmětem smlouvy. O tomto je povinen v průběhu trvání smlouvy informovat EGAP dle nastaveného harmonogramu dohodnutého ve smlouvě, nejméně však jednou za dva roky. </w:t>
      </w:r>
    </w:p>
    <w:p w14:paraId="1C44C265" w14:textId="77777777" w:rsidR="00AB6E1E" w:rsidRPr="002109B6" w:rsidRDefault="00AB6E1E" w:rsidP="002109B6">
      <w:pPr>
        <w:pStyle w:val="Normlnsodsazenm"/>
        <w:ind w:left="426" w:hanging="426"/>
        <w:rPr>
          <w:szCs w:val="22"/>
        </w:rPr>
      </w:pPr>
      <w:r w:rsidRPr="00061EBC">
        <w:rPr>
          <w:szCs w:val="22"/>
        </w:rPr>
        <w:t>Dodavatel je povinen informovat EGAP o významné změně vlivu, ovládání či řízení dodavatele ve smyslu § 71 a násl. zákona č. 90/2012 Sb., o obchodních korporacích, změně zásadních aktiv dodavatele a o oprávnění s nimi nakládat (dále společně jako „vliv“), včetně vlivu na smlou</w:t>
      </w:r>
      <w:r w:rsidRPr="00282D4B">
        <w:rPr>
          <w:szCs w:val="22"/>
        </w:rPr>
        <w:t xml:space="preserve">vu s dodavatelem. </w:t>
      </w:r>
    </w:p>
    <w:p w14:paraId="14E24BD3" w14:textId="77777777" w:rsidR="00AB6E1E" w:rsidRPr="002109B6" w:rsidRDefault="00AB6E1E" w:rsidP="002109B6">
      <w:pPr>
        <w:pStyle w:val="Normlnsodsazenm"/>
        <w:ind w:left="426" w:hanging="426"/>
        <w:rPr>
          <w:szCs w:val="22"/>
        </w:rPr>
      </w:pPr>
      <w:r w:rsidRPr="002109B6">
        <w:rPr>
          <w:szCs w:val="22"/>
        </w:rPr>
        <w:t xml:space="preserve">V návaznosti na dodavatelem sdělené informace EGAP provede posouzení změn a v případě, že dojde k významné změně kontroly nad dodavatelem nebo v případě změny kontroly nad zásadními aktivy dodavatele využívanými k plnění smlouvy, je EGAP oprávněn od smlouvy odstoupit za podmínek uvedených ve smlouvě. </w:t>
      </w:r>
    </w:p>
    <w:p w14:paraId="48839ACB" w14:textId="77777777" w:rsidR="00AB6E1E" w:rsidRPr="002109B6" w:rsidRDefault="00AB6E1E" w:rsidP="002109B6">
      <w:pPr>
        <w:pStyle w:val="Normlnsodsazenm"/>
        <w:ind w:left="426" w:hanging="426"/>
        <w:rPr>
          <w:szCs w:val="22"/>
        </w:rPr>
      </w:pPr>
      <w:r w:rsidRPr="002109B6">
        <w:rPr>
          <w:szCs w:val="22"/>
        </w:rPr>
        <w:t>Dojde-li k ukončení smlouvy, je dodavatel povinen postupovat tak, aby nedošlo k narušení dostupnosti, důvěrnosti a bezpečnosti dat a informačních systémů EGAP, a nedošlo tak k narušení celkové činnosti EGAP.</w:t>
      </w:r>
    </w:p>
    <w:p w14:paraId="7BD63FF9" w14:textId="77777777" w:rsidR="00AB6E1E" w:rsidRPr="002109B6" w:rsidRDefault="00AB6E1E" w:rsidP="002109B6">
      <w:pPr>
        <w:pStyle w:val="Normlnsodsazenm"/>
        <w:ind w:left="426" w:hanging="426"/>
        <w:rPr>
          <w:szCs w:val="22"/>
        </w:rPr>
      </w:pPr>
      <w:r w:rsidRPr="002109B6">
        <w:rPr>
          <w:szCs w:val="22"/>
        </w:rPr>
        <w:t xml:space="preserve">Dodavatel je povinen mít nastaveny podmínky a pravidla pro řízení kontinuity činností tak, aby </w:t>
      </w:r>
    </w:p>
    <w:p w14:paraId="656138AD" w14:textId="77777777" w:rsidR="00AB6E1E" w:rsidRPr="002109B6" w:rsidRDefault="00AB6E1E" w:rsidP="002109B6">
      <w:pPr>
        <w:pStyle w:val="lenn2"/>
        <w:numPr>
          <w:ilvl w:val="0"/>
          <w:numId w:val="35"/>
        </w:numPr>
        <w:ind w:right="-1"/>
        <w:jc w:val="both"/>
        <w:rPr>
          <w:szCs w:val="22"/>
        </w:rPr>
      </w:pPr>
      <w:r w:rsidRPr="002109B6">
        <w:rPr>
          <w:szCs w:val="22"/>
        </w:rPr>
        <w:t xml:space="preserve">v případě vzniku jakéhokoliv incidentu u dodavatele byl schopen zajistit plnění předmětu smlouvy a nedošlo k ohrožení činnosti EGAP, dostupnosti, důvěrnosti a bezpečnosti dat a informačních systémů EGAP, </w:t>
      </w:r>
    </w:p>
    <w:p w14:paraId="5DC84366" w14:textId="77777777" w:rsidR="00AB6E1E" w:rsidRPr="002109B6" w:rsidRDefault="00AB6E1E" w:rsidP="002109B6">
      <w:pPr>
        <w:pStyle w:val="lenn2"/>
        <w:numPr>
          <w:ilvl w:val="0"/>
          <w:numId w:val="35"/>
        </w:numPr>
        <w:ind w:right="-1"/>
        <w:jc w:val="both"/>
        <w:rPr>
          <w:szCs w:val="22"/>
        </w:rPr>
      </w:pPr>
      <w:r w:rsidRPr="002109B6">
        <w:rPr>
          <w:szCs w:val="22"/>
        </w:rPr>
        <w:lastRenderedPageBreak/>
        <w:t xml:space="preserve">v případě vzniku incidentu v EGAP byl dodavatel schopen poskytnout součinnost EGAP tak, aby EGAP byl schopen obnovit své procesy v nastavených lhůtách stanovených ve smlouvě. </w:t>
      </w:r>
    </w:p>
    <w:p w14:paraId="66CE983D" w14:textId="77777777" w:rsidR="00AB6E1E" w:rsidRPr="002109B6" w:rsidRDefault="00AB6E1E" w:rsidP="002109B6">
      <w:pPr>
        <w:pStyle w:val="Normlnsodsazenm"/>
        <w:numPr>
          <w:ilvl w:val="0"/>
          <w:numId w:val="0"/>
        </w:numPr>
        <w:ind w:left="426"/>
        <w:rPr>
          <w:szCs w:val="22"/>
        </w:rPr>
      </w:pPr>
      <w:r w:rsidRPr="002109B6">
        <w:rPr>
          <w:szCs w:val="22"/>
        </w:rPr>
        <w:t xml:space="preserve">Podmínky a pravidla pro řízení kontinuity činností je dodavatel povinen přezkoumávat alespoň 1x ročně. Zprávu o přezkumu předloží EGAP na vyžádání. </w:t>
      </w:r>
    </w:p>
    <w:p w14:paraId="1EB3437D" w14:textId="77777777" w:rsidR="00AB6E1E" w:rsidRPr="002109B6" w:rsidRDefault="00AB6E1E" w:rsidP="002109B6">
      <w:pPr>
        <w:pStyle w:val="Normlnsodsazenm"/>
        <w:ind w:left="426" w:hanging="426"/>
        <w:rPr>
          <w:szCs w:val="22"/>
        </w:rPr>
      </w:pPr>
      <w:r w:rsidRPr="002109B6">
        <w:rPr>
          <w:szCs w:val="22"/>
        </w:rPr>
        <w:t xml:space="preserve">Data a provozní údaje je dodavatel povinen předávat EGAP v dohodnutém formátu stanoveném  ve smlouvě tak, aby tato mohl EGAP používat k účelu, ke kterému byly vyžádány. Budou-li data a provozní údaje předány ve formátu, který nemůže EGAP použít, je dodavatel povinen neprodleně na výzvu EGAP zjednat nápravu. </w:t>
      </w:r>
    </w:p>
    <w:p w14:paraId="5E30D864" w14:textId="77777777" w:rsidR="00AB6E1E" w:rsidRPr="002109B6" w:rsidRDefault="00AB6E1E" w:rsidP="002109B6">
      <w:pPr>
        <w:pStyle w:val="Normlnsodsazenm"/>
        <w:ind w:left="426" w:hanging="426"/>
        <w:rPr>
          <w:szCs w:val="22"/>
        </w:rPr>
      </w:pPr>
      <w:r w:rsidRPr="002109B6">
        <w:rPr>
          <w:szCs w:val="22"/>
        </w:rPr>
        <w:t xml:space="preserve">V případě ukončení smluvního vztahu s dodavatelem je tento povinen zlikvidovat data a provozní údaje, které měl k dispozici pro plnění smluvního vztahu, a to tak, aby nemohlo dojít k porušení jejich dostupnosti, důvěrnosti a bezpečnosti. Způsob likvidace dat a provozních údajů je stanoven s ohledem na jejich citlivost a důležitost ve smlouvě. O likvidaci dat a provozních údajů podá dodavatel písemnou informaci EGAP v termínu do jednoho měsíce od ukončení smlouvy. </w:t>
      </w:r>
    </w:p>
    <w:p w14:paraId="12EA6732" w14:textId="77777777" w:rsidR="00AB6E1E" w:rsidRPr="002109B6" w:rsidRDefault="00AB6E1E" w:rsidP="002109B6">
      <w:pPr>
        <w:pStyle w:val="Normlnsodsazenm"/>
        <w:ind w:left="426" w:hanging="426"/>
        <w:rPr>
          <w:szCs w:val="22"/>
        </w:rPr>
      </w:pPr>
      <w:r w:rsidRPr="002109B6">
        <w:rPr>
          <w:szCs w:val="22"/>
        </w:rPr>
        <w:t xml:space="preserve">Dojde-li ze strany dodavatele k porušení stanovených pravidel, je EGAP oprávněn sankcionovat dodavatele za takováto porušení. Vznikne-li EGAP v souvislosti s porušením těchto povinností škoda, je dodavatel povinen ji v plné výši nahradit. Podmínky a postupy při uložení sankce a náhrady škody jsou upraveny ve smlouvě. </w:t>
      </w:r>
    </w:p>
    <w:bookmarkEnd w:id="0"/>
    <w:bookmarkEnd w:id="1"/>
    <w:p w14:paraId="4585AE19" w14:textId="77777777" w:rsidR="00AB6E1E" w:rsidRPr="0069059B" w:rsidRDefault="00AB6E1E" w:rsidP="00A603E2">
      <w:pPr>
        <w:spacing w:before="120" w:line="240" w:lineRule="atLeast"/>
        <w:rPr>
          <w:b/>
        </w:rPr>
      </w:pPr>
    </w:p>
    <w:p w14:paraId="3474D31E" w14:textId="77777777" w:rsidR="0069059B" w:rsidRPr="0069059B" w:rsidRDefault="0069059B" w:rsidP="00A603E2">
      <w:pPr>
        <w:spacing w:before="120" w:line="240" w:lineRule="atLeast"/>
        <w:rPr>
          <w:b/>
        </w:rPr>
      </w:pPr>
    </w:p>
    <w:sectPr w:rsidR="0069059B" w:rsidRPr="0069059B" w:rsidSect="00D1334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720" w:right="1274" w:bottom="720" w:left="1276"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34477" w14:textId="77777777" w:rsidR="001E5AF3" w:rsidRDefault="001E5AF3">
      <w:r>
        <w:separator/>
      </w:r>
    </w:p>
  </w:endnote>
  <w:endnote w:type="continuationSeparator" w:id="0">
    <w:p w14:paraId="5969BD7B" w14:textId="77777777" w:rsidR="001E5AF3" w:rsidRDefault="001E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1BB21" w14:textId="77777777" w:rsidR="0003319B" w:rsidRDefault="000331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0AC2" w14:textId="77777777" w:rsidR="009F6935" w:rsidRPr="00DE66BA" w:rsidRDefault="009D684A" w:rsidP="00CD4877">
    <w:pPr>
      <w:widowControl/>
      <w:tabs>
        <w:tab w:val="left" w:pos="709"/>
      </w:tabs>
      <w:jc w:val="right"/>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SUBJECT  \* MERGEFORMAT </w:instrText>
    </w:r>
    <w:r>
      <w:rPr>
        <w:rFonts w:ascii="Verdana" w:hAnsi="Verdana"/>
        <w:sz w:val="18"/>
        <w:szCs w:val="18"/>
      </w:rPr>
      <w:fldChar w:fldCharType="separate"/>
    </w:r>
    <w:r w:rsidR="00FF4BF4">
      <w:rPr>
        <w:rFonts w:ascii="Verdana" w:hAnsi="Verdana"/>
        <w:sz w:val="18"/>
        <w:szCs w:val="18"/>
      </w:rPr>
      <w:t>817504 v1</w:t>
    </w:r>
    <w:r>
      <w:rPr>
        <w:rFonts w:ascii="Verdana" w:hAnsi="Verdana"/>
        <w:sz w:val="18"/>
        <w:szCs w:val="18"/>
      </w:rPr>
      <w:fldChar w:fldCharType="end"/>
    </w:r>
    <w:r>
      <w:rPr>
        <w:rFonts w:ascii="Verdana" w:hAnsi="Verdana"/>
        <w:sz w:val="18"/>
        <w:szCs w:val="18"/>
      </w:rPr>
      <w:t xml:space="preserve"> </w:t>
    </w:r>
    <w:r w:rsidR="009F6935" w:rsidRPr="00DE66BA">
      <w:rPr>
        <w:rFonts w:ascii="Verdana" w:hAnsi="Verdana"/>
        <w:sz w:val="18"/>
        <w:szCs w:val="18"/>
      </w:rPr>
      <w:t xml:space="preserve">Dodatek ke smlouvě </w:t>
    </w:r>
    <w:r w:rsidR="009F6935" w:rsidRPr="00DE66BA">
      <w:rPr>
        <w:rStyle w:val="slostrnky"/>
        <w:rFonts w:ascii="Verdana" w:hAnsi="Verdana"/>
        <w:sz w:val="18"/>
        <w:szCs w:val="18"/>
      </w:rPr>
      <w:fldChar w:fldCharType="begin"/>
    </w:r>
    <w:r w:rsidR="009F6935" w:rsidRPr="00DE66BA">
      <w:rPr>
        <w:rStyle w:val="slostrnky"/>
        <w:rFonts w:ascii="Verdana" w:hAnsi="Verdana"/>
        <w:sz w:val="18"/>
        <w:szCs w:val="18"/>
      </w:rPr>
      <w:instrText xml:space="preserve"> PAGE </w:instrText>
    </w:r>
    <w:r w:rsidR="009F6935" w:rsidRPr="00DE66BA">
      <w:rPr>
        <w:rStyle w:val="slostrnky"/>
        <w:rFonts w:ascii="Verdana" w:hAnsi="Verdana"/>
        <w:sz w:val="18"/>
        <w:szCs w:val="18"/>
      </w:rPr>
      <w:fldChar w:fldCharType="separate"/>
    </w:r>
    <w:r w:rsidR="00FF4BF4">
      <w:rPr>
        <w:rStyle w:val="slostrnky"/>
        <w:rFonts w:ascii="Verdana" w:hAnsi="Verdana"/>
        <w:noProof/>
        <w:sz w:val="18"/>
        <w:szCs w:val="18"/>
      </w:rPr>
      <w:t>1</w:t>
    </w:r>
    <w:r w:rsidR="009F6935" w:rsidRPr="00DE66BA">
      <w:rPr>
        <w:rStyle w:val="slostrnky"/>
        <w:rFonts w:ascii="Verdana" w:hAnsi="Verdana"/>
        <w:sz w:val="18"/>
        <w:szCs w:val="18"/>
      </w:rPr>
      <w:fldChar w:fldCharType="end"/>
    </w:r>
    <w:r w:rsidR="009F6935" w:rsidRPr="00DE66BA">
      <w:rPr>
        <w:rStyle w:val="slostrnky"/>
        <w:rFonts w:ascii="Verdana" w:hAnsi="Verdana"/>
        <w:sz w:val="18"/>
        <w:szCs w:val="18"/>
      </w:rPr>
      <w:t>/</w:t>
    </w:r>
    <w:r w:rsidR="009F6935" w:rsidRPr="00DE66BA">
      <w:rPr>
        <w:rStyle w:val="slostrnky"/>
        <w:rFonts w:ascii="Verdana" w:hAnsi="Verdana"/>
        <w:sz w:val="18"/>
        <w:szCs w:val="18"/>
      </w:rPr>
      <w:fldChar w:fldCharType="begin"/>
    </w:r>
    <w:r w:rsidR="009F6935" w:rsidRPr="00DE66BA">
      <w:rPr>
        <w:rStyle w:val="slostrnky"/>
        <w:rFonts w:ascii="Verdana" w:hAnsi="Verdana"/>
        <w:sz w:val="18"/>
        <w:szCs w:val="18"/>
      </w:rPr>
      <w:instrText xml:space="preserve"> NUMPAGES </w:instrText>
    </w:r>
    <w:r w:rsidR="009F6935" w:rsidRPr="00DE66BA">
      <w:rPr>
        <w:rStyle w:val="slostrnky"/>
        <w:rFonts w:ascii="Verdana" w:hAnsi="Verdana"/>
        <w:sz w:val="18"/>
        <w:szCs w:val="18"/>
      </w:rPr>
      <w:fldChar w:fldCharType="separate"/>
    </w:r>
    <w:r w:rsidR="00FF4BF4">
      <w:rPr>
        <w:rStyle w:val="slostrnky"/>
        <w:rFonts w:ascii="Verdana" w:hAnsi="Verdana"/>
        <w:noProof/>
        <w:sz w:val="18"/>
        <w:szCs w:val="18"/>
      </w:rPr>
      <w:t>9</w:t>
    </w:r>
    <w:r w:rsidR="009F6935" w:rsidRPr="00DE66BA">
      <w:rPr>
        <w:rStyle w:val="slostrnky"/>
        <w:rFonts w:ascii="Verdana" w:hAnsi="Verda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614EE" w14:textId="77777777" w:rsidR="004D06E0" w:rsidRDefault="00FF4BF4">
    <w:pPr>
      <w:pStyle w:val="Zpat"/>
    </w:pPr>
    <w:r>
      <w:fldChar w:fldCharType="begin"/>
    </w:r>
    <w:r>
      <w:instrText xml:space="preserve"> SUBJECT  \* MERGEFORMAT </w:instrText>
    </w:r>
    <w:r>
      <w:fldChar w:fldCharType="separate"/>
    </w:r>
    <w:r>
      <w:t>817504 v1</w:t>
    </w:r>
    <w:r>
      <w:fldChar w:fldCharType="end"/>
    </w:r>
    <w:r w:rsidR="009D684A">
      <w:t xml:space="preserve"> </w:t>
    </w:r>
    <w:r>
      <w:fldChar w:fldCharType="begin"/>
    </w:r>
    <w:r>
      <w:instrText xml:space="preserve"> SUBJECT  \* MERGEFORMAT </w:instrText>
    </w:r>
    <w:r>
      <w:fldChar w:fldCharType="separate"/>
    </w:r>
    <w:r>
      <w:t>817504 v1</w:t>
    </w:r>
    <w:r>
      <w:fldChar w:fldCharType="end"/>
    </w:r>
    <w:r w:rsidR="001C341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3FE2B" w14:textId="77777777" w:rsidR="001E5AF3" w:rsidRDefault="001E5AF3">
      <w:r>
        <w:separator/>
      </w:r>
    </w:p>
  </w:footnote>
  <w:footnote w:type="continuationSeparator" w:id="0">
    <w:p w14:paraId="73533190" w14:textId="77777777" w:rsidR="001E5AF3" w:rsidRDefault="001E5AF3">
      <w:r>
        <w:continuationSeparator/>
      </w:r>
    </w:p>
  </w:footnote>
  <w:footnote w:id="1">
    <w:p w14:paraId="052B11C7" w14:textId="77777777" w:rsidR="00AB6E1E" w:rsidRDefault="00AB6E1E" w:rsidP="00AB6E1E">
      <w:pPr>
        <w:pStyle w:val="Textpoznpodarou"/>
        <w:jc w:val="both"/>
      </w:pPr>
      <w:r w:rsidRPr="00F27F0C">
        <w:rPr>
          <w:rStyle w:val="Znakapoznpodarou"/>
          <w:sz w:val="18"/>
          <w:szCs w:val="18"/>
        </w:rPr>
        <w:footnoteRef/>
      </w:r>
      <w:r w:rsidRPr="00F27F0C">
        <w:rPr>
          <w:sz w:val="18"/>
          <w:szCs w:val="18"/>
        </w:rPr>
        <w:t xml:space="preserve"> E-mail, který obdrží Uživatel IS a rozesílá jej širšímu počtu adresátů. Obsah e-mailu se zpravidla netýká činnosti EGAP.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A3537" w14:textId="77777777" w:rsidR="0003319B" w:rsidRDefault="000331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A277" w14:textId="77777777" w:rsidR="009F6935" w:rsidRDefault="009F6935">
    <w:pPr>
      <w:pStyle w:val="Zhlav"/>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59AAC" w14:textId="77777777" w:rsidR="0003319B" w:rsidRDefault="000331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42C6"/>
    <w:multiLevelType w:val="hybridMultilevel"/>
    <w:tmpl w:val="BCEC3900"/>
    <w:lvl w:ilvl="0" w:tplc="A92C7902">
      <w:start w:val="2"/>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D175CBF"/>
    <w:multiLevelType w:val="multilevel"/>
    <w:tmpl w:val="8BD85518"/>
    <w:lvl w:ilvl="0">
      <w:start w:val="3"/>
      <w:numFmt w:val="decimal"/>
      <w:lvlText w:val="%1"/>
      <w:lvlJc w:val="left"/>
      <w:pPr>
        <w:ind w:left="480" w:hanging="480"/>
      </w:pPr>
      <w:rPr>
        <w:rFonts w:hint="default"/>
      </w:rPr>
    </w:lvl>
    <w:lvl w:ilvl="1">
      <w:start w:val="1"/>
      <w:numFmt w:val="decimal"/>
      <w:lvlText w:val="%1.%2"/>
      <w:lvlJc w:val="left"/>
      <w:pPr>
        <w:ind w:left="2614" w:hanging="480"/>
      </w:pPr>
      <w:rPr>
        <w:rFonts w:hint="default"/>
      </w:rPr>
    </w:lvl>
    <w:lvl w:ilvl="2">
      <w:start w:val="1"/>
      <w:numFmt w:val="decimal"/>
      <w:lvlText w:val="%1.%2.%3"/>
      <w:lvlJc w:val="left"/>
      <w:pPr>
        <w:ind w:left="4988" w:hanging="720"/>
      </w:pPr>
      <w:rPr>
        <w:rFonts w:hint="default"/>
      </w:rPr>
    </w:lvl>
    <w:lvl w:ilvl="3">
      <w:start w:val="1"/>
      <w:numFmt w:val="decimal"/>
      <w:lvlText w:val="%1.%2.%3.%4"/>
      <w:lvlJc w:val="left"/>
      <w:pPr>
        <w:ind w:left="7122" w:hanging="720"/>
      </w:pPr>
      <w:rPr>
        <w:rFonts w:hint="default"/>
      </w:rPr>
    </w:lvl>
    <w:lvl w:ilvl="4">
      <w:start w:val="1"/>
      <w:numFmt w:val="decimal"/>
      <w:lvlText w:val="%1.%2.%3.%4.%5"/>
      <w:lvlJc w:val="left"/>
      <w:pPr>
        <w:ind w:left="9616" w:hanging="1080"/>
      </w:pPr>
      <w:rPr>
        <w:rFonts w:hint="default"/>
      </w:rPr>
    </w:lvl>
    <w:lvl w:ilvl="5">
      <w:start w:val="1"/>
      <w:numFmt w:val="decimal"/>
      <w:lvlText w:val="%1.%2.%3.%4.%5.%6"/>
      <w:lvlJc w:val="left"/>
      <w:pPr>
        <w:ind w:left="11750" w:hanging="1080"/>
      </w:pPr>
      <w:rPr>
        <w:rFonts w:hint="default"/>
      </w:rPr>
    </w:lvl>
    <w:lvl w:ilvl="6">
      <w:start w:val="1"/>
      <w:numFmt w:val="decimal"/>
      <w:lvlText w:val="%1.%2.%3.%4.%5.%6.%7"/>
      <w:lvlJc w:val="left"/>
      <w:pPr>
        <w:ind w:left="14244" w:hanging="1440"/>
      </w:pPr>
      <w:rPr>
        <w:rFonts w:hint="default"/>
      </w:rPr>
    </w:lvl>
    <w:lvl w:ilvl="7">
      <w:start w:val="1"/>
      <w:numFmt w:val="decimal"/>
      <w:lvlText w:val="%1.%2.%3.%4.%5.%6.%7.%8"/>
      <w:lvlJc w:val="left"/>
      <w:pPr>
        <w:ind w:left="16378" w:hanging="1440"/>
      </w:pPr>
      <w:rPr>
        <w:rFonts w:hint="default"/>
      </w:rPr>
    </w:lvl>
    <w:lvl w:ilvl="8">
      <w:start w:val="1"/>
      <w:numFmt w:val="decimal"/>
      <w:lvlText w:val="%1.%2.%3.%4.%5.%6.%7.%8.%9"/>
      <w:lvlJc w:val="left"/>
      <w:pPr>
        <w:ind w:left="18872" w:hanging="1800"/>
      </w:pPr>
      <w:rPr>
        <w:rFonts w:hint="default"/>
      </w:rPr>
    </w:lvl>
  </w:abstractNum>
  <w:abstractNum w:abstractNumId="2">
    <w:nsid w:val="0D982A53"/>
    <w:multiLevelType w:val="multilevel"/>
    <w:tmpl w:val="FF16BD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452DDF"/>
    <w:multiLevelType w:val="hybridMultilevel"/>
    <w:tmpl w:val="5D02B058"/>
    <w:lvl w:ilvl="0" w:tplc="2C02C19E">
      <w:start w:val="6"/>
      <w:numFmt w:val="bullet"/>
      <w:lvlText w:val=""/>
      <w:lvlJc w:val="left"/>
      <w:pPr>
        <w:tabs>
          <w:tab w:val="num" w:pos="-132"/>
        </w:tabs>
        <w:ind w:left="-132" w:hanging="435"/>
      </w:pPr>
      <w:rPr>
        <w:rFonts w:ascii="Symbol" w:eastAsia="Times New Roman" w:hAnsi="Symbol" w:cs="Times New Roman" w:hint="default"/>
      </w:rPr>
    </w:lvl>
    <w:lvl w:ilvl="1" w:tplc="04050003" w:tentative="1">
      <w:start w:val="1"/>
      <w:numFmt w:val="bullet"/>
      <w:lvlText w:val="o"/>
      <w:lvlJc w:val="left"/>
      <w:pPr>
        <w:tabs>
          <w:tab w:val="num" w:pos="513"/>
        </w:tabs>
        <w:ind w:left="513" w:hanging="360"/>
      </w:pPr>
      <w:rPr>
        <w:rFonts w:ascii="Courier New" w:hAnsi="Courier New" w:cs="Courier New" w:hint="default"/>
      </w:rPr>
    </w:lvl>
    <w:lvl w:ilvl="2" w:tplc="04050005" w:tentative="1">
      <w:start w:val="1"/>
      <w:numFmt w:val="bullet"/>
      <w:lvlText w:val=""/>
      <w:lvlJc w:val="left"/>
      <w:pPr>
        <w:tabs>
          <w:tab w:val="num" w:pos="1233"/>
        </w:tabs>
        <w:ind w:left="1233" w:hanging="360"/>
      </w:pPr>
      <w:rPr>
        <w:rFonts w:ascii="Wingdings" w:hAnsi="Wingdings" w:hint="default"/>
      </w:rPr>
    </w:lvl>
    <w:lvl w:ilvl="3" w:tplc="04050001" w:tentative="1">
      <w:start w:val="1"/>
      <w:numFmt w:val="bullet"/>
      <w:lvlText w:val=""/>
      <w:lvlJc w:val="left"/>
      <w:pPr>
        <w:tabs>
          <w:tab w:val="num" w:pos="1953"/>
        </w:tabs>
        <w:ind w:left="1953" w:hanging="360"/>
      </w:pPr>
      <w:rPr>
        <w:rFonts w:ascii="Symbol" w:hAnsi="Symbol" w:hint="default"/>
      </w:rPr>
    </w:lvl>
    <w:lvl w:ilvl="4" w:tplc="04050003" w:tentative="1">
      <w:start w:val="1"/>
      <w:numFmt w:val="bullet"/>
      <w:lvlText w:val="o"/>
      <w:lvlJc w:val="left"/>
      <w:pPr>
        <w:tabs>
          <w:tab w:val="num" w:pos="2673"/>
        </w:tabs>
        <w:ind w:left="2673" w:hanging="360"/>
      </w:pPr>
      <w:rPr>
        <w:rFonts w:ascii="Courier New" w:hAnsi="Courier New" w:cs="Courier New" w:hint="default"/>
      </w:rPr>
    </w:lvl>
    <w:lvl w:ilvl="5" w:tplc="04050005" w:tentative="1">
      <w:start w:val="1"/>
      <w:numFmt w:val="bullet"/>
      <w:lvlText w:val=""/>
      <w:lvlJc w:val="left"/>
      <w:pPr>
        <w:tabs>
          <w:tab w:val="num" w:pos="3393"/>
        </w:tabs>
        <w:ind w:left="3393" w:hanging="360"/>
      </w:pPr>
      <w:rPr>
        <w:rFonts w:ascii="Wingdings" w:hAnsi="Wingdings" w:hint="default"/>
      </w:rPr>
    </w:lvl>
    <w:lvl w:ilvl="6" w:tplc="04050001" w:tentative="1">
      <w:start w:val="1"/>
      <w:numFmt w:val="bullet"/>
      <w:lvlText w:val=""/>
      <w:lvlJc w:val="left"/>
      <w:pPr>
        <w:tabs>
          <w:tab w:val="num" w:pos="4113"/>
        </w:tabs>
        <w:ind w:left="4113" w:hanging="360"/>
      </w:pPr>
      <w:rPr>
        <w:rFonts w:ascii="Symbol" w:hAnsi="Symbol" w:hint="default"/>
      </w:rPr>
    </w:lvl>
    <w:lvl w:ilvl="7" w:tplc="04050003" w:tentative="1">
      <w:start w:val="1"/>
      <w:numFmt w:val="bullet"/>
      <w:lvlText w:val="o"/>
      <w:lvlJc w:val="left"/>
      <w:pPr>
        <w:tabs>
          <w:tab w:val="num" w:pos="4833"/>
        </w:tabs>
        <w:ind w:left="4833" w:hanging="360"/>
      </w:pPr>
      <w:rPr>
        <w:rFonts w:ascii="Courier New" w:hAnsi="Courier New" w:cs="Courier New" w:hint="default"/>
      </w:rPr>
    </w:lvl>
    <w:lvl w:ilvl="8" w:tplc="04050005" w:tentative="1">
      <w:start w:val="1"/>
      <w:numFmt w:val="bullet"/>
      <w:lvlText w:val=""/>
      <w:lvlJc w:val="left"/>
      <w:pPr>
        <w:tabs>
          <w:tab w:val="num" w:pos="5553"/>
        </w:tabs>
        <w:ind w:left="5553" w:hanging="360"/>
      </w:pPr>
      <w:rPr>
        <w:rFonts w:ascii="Wingdings" w:hAnsi="Wingdings" w:hint="default"/>
      </w:rPr>
    </w:lvl>
  </w:abstractNum>
  <w:abstractNum w:abstractNumId="4">
    <w:nsid w:val="13C77D44"/>
    <w:multiLevelType w:val="hybridMultilevel"/>
    <w:tmpl w:val="DC76573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nsid w:val="1694517F"/>
    <w:multiLevelType w:val="multilevel"/>
    <w:tmpl w:val="9A46D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2A0F0A"/>
    <w:multiLevelType w:val="multilevel"/>
    <w:tmpl w:val="67465410"/>
    <w:lvl w:ilvl="0">
      <w:start w:val="2"/>
      <w:numFmt w:val="decimal"/>
      <w:lvlText w:val="%1"/>
      <w:lvlJc w:val="left"/>
      <w:pPr>
        <w:ind w:left="2494" w:hanging="2494"/>
      </w:pPr>
      <w:rPr>
        <w:rFonts w:ascii="Arial" w:hAnsi="Arial" w:hint="default"/>
        <w:b w:val="0"/>
        <w:sz w:val="22"/>
      </w:rPr>
    </w:lvl>
    <w:lvl w:ilvl="1">
      <w:start w:val="1"/>
      <w:numFmt w:val="decimal"/>
      <w:lvlText w:val="%1.%2"/>
      <w:lvlJc w:val="left"/>
      <w:pPr>
        <w:ind w:left="4628" w:hanging="2494"/>
      </w:pPr>
      <w:rPr>
        <w:rFonts w:ascii="Arial" w:hAnsi="Arial" w:hint="default"/>
        <w:b w:val="0"/>
        <w:sz w:val="22"/>
      </w:rPr>
    </w:lvl>
    <w:lvl w:ilvl="2">
      <w:start w:val="1"/>
      <w:numFmt w:val="decimal"/>
      <w:lvlText w:val="%1.%2.%3"/>
      <w:lvlJc w:val="left"/>
      <w:pPr>
        <w:ind w:left="7122" w:hanging="2854"/>
      </w:pPr>
      <w:rPr>
        <w:rFonts w:ascii="Arial" w:hAnsi="Arial" w:hint="default"/>
        <w:b w:val="0"/>
        <w:sz w:val="22"/>
      </w:rPr>
    </w:lvl>
    <w:lvl w:ilvl="3">
      <w:start w:val="1"/>
      <w:numFmt w:val="decimal"/>
      <w:lvlText w:val="%1.%2.%3.%4"/>
      <w:lvlJc w:val="left"/>
      <w:pPr>
        <w:ind w:left="9256" w:hanging="2854"/>
      </w:pPr>
      <w:rPr>
        <w:rFonts w:ascii="Arial" w:hAnsi="Arial" w:hint="default"/>
        <w:b w:val="0"/>
        <w:sz w:val="22"/>
      </w:rPr>
    </w:lvl>
    <w:lvl w:ilvl="4">
      <w:start w:val="1"/>
      <w:numFmt w:val="decimal"/>
      <w:lvlText w:val="%1.%2.%3.%4.%5"/>
      <w:lvlJc w:val="left"/>
      <w:pPr>
        <w:ind w:left="11750" w:hanging="3214"/>
      </w:pPr>
      <w:rPr>
        <w:rFonts w:ascii="Arial" w:hAnsi="Arial" w:hint="default"/>
        <w:b w:val="0"/>
        <w:sz w:val="22"/>
      </w:rPr>
    </w:lvl>
    <w:lvl w:ilvl="5">
      <w:start w:val="1"/>
      <w:numFmt w:val="decimal"/>
      <w:lvlText w:val="%1.%2.%3.%4.%5.%6"/>
      <w:lvlJc w:val="left"/>
      <w:pPr>
        <w:ind w:left="13884" w:hanging="3214"/>
      </w:pPr>
      <w:rPr>
        <w:rFonts w:ascii="Arial" w:hAnsi="Arial" w:hint="default"/>
        <w:b w:val="0"/>
        <w:sz w:val="22"/>
      </w:rPr>
    </w:lvl>
    <w:lvl w:ilvl="6">
      <w:start w:val="1"/>
      <w:numFmt w:val="decimal"/>
      <w:lvlText w:val="%1.%2.%3.%4.%5.%6.%7"/>
      <w:lvlJc w:val="left"/>
      <w:pPr>
        <w:ind w:left="16378" w:hanging="3574"/>
      </w:pPr>
      <w:rPr>
        <w:rFonts w:ascii="Arial" w:hAnsi="Arial" w:hint="default"/>
        <w:b w:val="0"/>
        <w:sz w:val="22"/>
      </w:rPr>
    </w:lvl>
    <w:lvl w:ilvl="7">
      <w:start w:val="1"/>
      <w:numFmt w:val="decimal"/>
      <w:lvlText w:val="%1.%2.%3.%4.%5.%6.%7.%8"/>
      <w:lvlJc w:val="left"/>
      <w:pPr>
        <w:ind w:left="18512" w:hanging="3574"/>
      </w:pPr>
      <w:rPr>
        <w:rFonts w:ascii="Arial" w:hAnsi="Arial" w:hint="default"/>
        <w:b w:val="0"/>
        <w:sz w:val="22"/>
      </w:rPr>
    </w:lvl>
    <w:lvl w:ilvl="8">
      <w:start w:val="1"/>
      <w:numFmt w:val="decimal"/>
      <w:lvlText w:val="%1.%2.%3.%4.%5.%6.%7.%8.%9"/>
      <w:lvlJc w:val="left"/>
      <w:pPr>
        <w:ind w:left="21006" w:hanging="3934"/>
      </w:pPr>
      <w:rPr>
        <w:rFonts w:ascii="Arial" w:hAnsi="Arial" w:hint="default"/>
        <w:b w:val="0"/>
        <w:sz w:val="22"/>
      </w:rPr>
    </w:lvl>
  </w:abstractNum>
  <w:abstractNum w:abstractNumId="7">
    <w:nsid w:val="1B623453"/>
    <w:multiLevelType w:val="multilevel"/>
    <w:tmpl w:val="0652CA3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4AF780A"/>
    <w:multiLevelType w:val="hybridMultilevel"/>
    <w:tmpl w:val="BC92A82C"/>
    <w:lvl w:ilvl="0" w:tplc="806AF954">
      <w:start w:val="1"/>
      <w:numFmt w:val="lowerLetter"/>
      <w:lvlText w:val="%1)"/>
      <w:lvlJc w:val="left"/>
      <w:pPr>
        <w:ind w:left="1993" w:hanging="720"/>
      </w:pPr>
      <w:rPr>
        <w:rFonts w:hint="default"/>
      </w:rPr>
    </w:lvl>
    <w:lvl w:ilvl="1" w:tplc="04050019" w:tentative="1">
      <w:start w:val="1"/>
      <w:numFmt w:val="lowerLetter"/>
      <w:lvlText w:val="%2."/>
      <w:lvlJc w:val="left"/>
      <w:pPr>
        <w:ind w:left="2353" w:hanging="360"/>
      </w:pPr>
    </w:lvl>
    <w:lvl w:ilvl="2" w:tplc="0405001B" w:tentative="1">
      <w:start w:val="1"/>
      <w:numFmt w:val="lowerRoman"/>
      <w:lvlText w:val="%3."/>
      <w:lvlJc w:val="right"/>
      <w:pPr>
        <w:ind w:left="3073" w:hanging="180"/>
      </w:pPr>
    </w:lvl>
    <w:lvl w:ilvl="3" w:tplc="0405000F" w:tentative="1">
      <w:start w:val="1"/>
      <w:numFmt w:val="decimal"/>
      <w:lvlText w:val="%4."/>
      <w:lvlJc w:val="left"/>
      <w:pPr>
        <w:ind w:left="3793" w:hanging="360"/>
      </w:pPr>
    </w:lvl>
    <w:lvl w:ilvl="4" w:tplc="04050019" w:tentative="1">
      <w:start w:val="1"/>
      <w:numFmt w:val="lowerLetter"/>
      <w:lvlText w:val="%5."/>
      <w:lvlJc w:val="left"/>
      <w:pPr>
        <w:ind w:left="4513" w:hanging="360"/>
      </w:pPr>
    </w:lvl>
    <w:lvl w:ilvl="5" w:tplc="0405001B" w:tentative="1">
      <w:start w:val="1"/>
      <w:numFmt w:val="lowerRoman"/>
      <w:lvlText w:val="%6."/>
      <w:lvlJc w:val="right"/>
      <w:pPr>
        <w:ind w:left="5233" w:hanging="180"/>
      </w:pPr>
    </w:lvl>
    <w:lvl w:ilvl="6" w:tplc="0405000F" w:tentative="1">
      <w:start w:val="1"/>
      <w:numFmt w:val="decimal"/>
      <w:lvlText w:val="%7."/>
      <w:lvlJc w:val="left"/>
      <w:pPr>
        <w:ind w:left="5953" w:hanging="360"/>
      </w:pPr>
    </w:lvl>
    <w:lvl w:ilvl="7" w:tplc="04050019" w:tentative="1">
      <w:start w:val="1"/>
      <w:numFmt w:val="lowerLetter"/>
      <w:lvlText w:val="%8."/>
      <w:lvlJc w:val="left"/>
      <w:pPr>
        <w:ind w:left="6673" w:hanging="360"/>
      </w:pPr>
    </w:lvl>
    <w:lvl w:ilvl="8" w:tplc="0405001B" w:tentative="1">
      <w:start w:val="1"/>
      <w:numFmt w:val="lowerRoman"/>
      <w:lvlText w:val="%9."/>
      <w:lvlJc w:val="right"/>
      <w:pPr>
        <w:ind w:left="7393" w:hanging="180"/>
      </w:pPr>
    </w:lvl>
  </w:abstractNum>
  <w:abstractNum w:abstractNumId="9">
    <w:nsid w:val="2949123C"/>
    <w:multiLevelType w:val="hybridMultilevel"/>
    <w:tmpl w:val="AE8803AE"/>
    <w:lvl w:ilvl="0" w:tplc="05BEB20A">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65B014A"/>
    <w:multiLevelType w:val="hybridMultilevel"/>
    <w:tmpl w:val="A6E2C100"/>
    <w:lvl w:ilvl="0" w:tplc="6A12CBF8">
      <w:start w:val="1"/>
      <w:numFmt w:val="decimal"/>
      <w:pStyle w:val="Normlnsodsazenm"/>
      <w:lvlText w:val="%1."/>
      <w:lvlJc w:val="left"/>
      <w:pPr>
        <w:ind w:left="1432" w:hanging="360"/>
      </w:pPr>
      <w:rPr>
        <w:rFonts w:hint="default"/>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1">
    <w:nsid w:val="3992650C"/>
    <w:multiLevelType w:val="multilevel"/>
    <w:tmpl w:val="B5C4BC3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493704B"/>
    <w:multiLevelType w:val="multilevel"/>
    <w:tmpl w:val="5AC6B93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1412"/>
        </w:tabs>
        <w:ind w:left="1412" w:hanging="705"/>
      </w:pPr>
      <w:rPr>
        <w:rFonts w:hint="default"/>
      </w:rPr>
    </w:lvl>
    <w:lvl w:ilvl="2">
      <w:start w:val="1"/>
      <w:numFmt w:val="decimal"/>
      <w:lvlText w:val="%1.%2.%3."/>
      <w:lvlJc w:val="left"/>
      <w:pPr>
        <w:tabs>
          <w:tab w:val="num" w:pos="2134"/>
        </w:tabs>
        <w:ind w:left="2134" w:hanging="720"/>
      </w:pPr>
      <w:rPr>
        <w:rFonts w:hint="default"/>
      </w:rPr>
    </w:lvl>
    <w:lvl w:ilvl="3">
      <w:start w:val="1"/>
      <w:numFmt w:val="decimal"/>
      <w:lvlText w:val="%1.%2.%3.%4."/>
      <w:lvlJc w:val="left"/>
      <w:pPr>
        <w:tabs>
          <w:tab w:val="num" w:pos="2841"/>
        </w:tabs>
        <w:ind w:left="2841" w:hanging="720"/>
      </w:pPr>
      <w:rPr>
        <w:rFonts w:hint="default"/>
      </w:rPr>
    </w:lvl>
    <w:lvl w:ilvl="4">
      <w:start w:val="1"/>
      <w:numFmt w:val="decimal"/>
      <w:lvlText w:val="%1.%2.%3.%4.%5."/>
      <w:lvlJc w:val="left"/>
      <w:pPr>
        <w:tabs>
          <w:tab w:val="num" w:pos="3908"/>
        </w:tabs>
        <w:ind w:left="3908" w:hanging="1080"/>
      </w:pPr>
      <w:rPr>
        <w:rFonts w:hint="default"/>
      </w:rPr>
    </w:lvl>
    <w:lvl w:ilvl="5">
      <w:start w:val="1"/>
      <w:numFmt w:val="decimal"/>
      <w:lvlText w:val="%1.%2.%3.%4.%5.%6."/>
      <w:lvlJc w:val="left"/>
      <w:pPr>
        <w:tabs>
          <w:tab w:val="num" w:pos="4615"/>
        </w:tabs>
        <w:ind w:left="4615" w:hanging="1080"/>
      </w:pPr>
      <w:rPr>
        <w:rFonts w:hint="default"/>
      </w:rPr>
    </w:lvl>
    <w:lvl w:ilvl="6">
      <w:start w:val="1"/>
      <w:numFmt w:val="decimal"/>
      <w:lvlText w:val="%1.%2.%3.%4.%5.%6.%7."/>
      <w:lvlJc w:val="left"/>
      <w:pPr>
        <w:tabs>
          <w:tab w:val="num" w:pos="5322"/>
        </w:tabs>
        <w:ind w:left="5322" w:hanging="1080"/>
      </w:pPr>
      <w:rPr>
        <w:rFonts w:hint="default"/>
      </w:rPr>
    </w:lvl>
    <w:lvl w:ilvl="7">
      <w:start w:val="1"/>
      <w:numFmt w:val="decimal"/>
      <w:lvlText w:val="%1.%2.%3.%4.%5.%6.%7.%8."/>
      <w:lvlJc w:val="left"/>
      <w:pPr>
        <w:tabs>
          <w:tab w:val="num" w:pos="6389"/>
        </w:tabs>
        <w:ind w:left="6389" w:hanging="1440"/>
      </w:pPr>
      <w:rPr>
        <w:rFonts w:hint="default"/>
      </w:rPr>
    </w:lvl>
    <w:lvl w:ilvl="8">
      <w:start w:val="1"/>
      <w:numFmt w:val="decimal"/>
      <w:lvlText w:val="%1.%2.%3.%4.%5.%6.%7.%8.%9."/>
      <w:lvlJc w:val="left"/>
      <w:pPr>
        <w:tabs>
          <w:tab w:val="num" w:pos="7096"/>
        </w:tabs>
        <w:ind w:left="7096" w:hanging="1440"/>
      </w:pPr>
      <w:rPr>
        <w:rFonts w:hint="default"/>
      </w:rPr>
    </w:lvl>
  </w:abstractNum>
  <w:abstractNum w:abstractNumId="13">
    <w:nsid w:val="480825E2"/>
    <w:multiLevelType w:val="multilevel"/>
    <w:tmpl w:val="1A86E6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3419E0"/>
    <w:multiLevelType w:val="multilevel"/>
    <w:tmpl w:val="044EA808"/>
    <w:lvl w:ilvl="0">
      <w:start w:val="1"/>
      <w:numFmt w:val="decimal"/>
      <w:pStyle w:val="Nadpis1"/>
      <w:lvlText w:val="%1."/>
      <w:lvlJc w:val="left"/>
      <w:pPr>
        <w:ind w:left="708" w:hanging="708"/>
      </w:pPr>
      <w:rPr>
        <w:rFonts w:hint="default"/>
      </w:rPr>
    </w:lvl>
    <w:lvl w:ilvl="1">
      <w:start w:val="1"/>
      <w:numFmt w:val="decimal"/>
      <w:pStyle w:val="Nadpis2"/>
      <w:lvlText w:val="%1.%2."/>
      <w:lvlJc w:val="left"/>
      <w:pPr>
        <w:ind w:left="1416" w:hanging="708"/>
      </w:pPr>
      <w:rPr>
        <w:rFonts w:hint="default"/>
      </w:rPr>
    </w:lvl>
    <w:lvl w:ilvl="2">
      <w:start w:val="1"/>
      <w:numFmt w:val="decimal"/>
      <w:pStyle w:val="Nadpis3"/>
      <w:lvlText w:val="%1.%2.%3."/>
      <w:lvlJc w:val="left"/>
      <w:pPr>
        <w:ind w:left="2124" w:hanging="708"/>
      </w:pPr>
      <w:rPr>
        <w:rFonts w:hint="default"/>
      </w:rPr>
    </w:lvl>
    <w:lvl w:ilvl="3">
      <w:start w:val="1"/>
      <w:numFmt w:val="decimal"/>
      <w:pStyle w:val="Nadpis4"/>
      <w:lvlText w:val="%1.%2.%3.%4."/>
      <w:lvlJc w:val="left"/>
      <w:pPr>
        <w:ind w:left="2832" w:hanging="708"/>
      </w:pPr>
      <w:rPr>
        <w:rFonts w:hint="default"/>
      </w:rPr>
    </w:lvl>
    <w:lvl w:ilvl="4">
      <w:start w:val="1"/>
      <w:numFmt w:val="decimal"/>
      <w:lvlText w:val="%1.%2.%3.%4.%5."/>
      <w:lvlJc w:val="left"/>
      <w:pPr>
        <w:ind w:left="3540" w:hanging="708"/>
      </w:pPr>
      <w:rPr>
        <w:rFonts w:hint="default"/>
      </w:rPr>
    </w:lvl>
    <w:lvl w:ilvl="5">
      <w:start w:val="1"/>
      <w:numFmt w:val="decimal"/>
      <w:lvlText w:val="%1.%2.%3.%4.%5.%6."/>
      <w:lvlJc w:val="left"/>
      <w:pPr>
        <w:ind w:left="4248" w:hanging="708"/>
      </w:pPr>
      <w:rPr>
        <w:rFonts w:hint="default"/>
      </w:rPr>
    </w:lvl>
    <w:lvl w:ilvl="6">
      <w:start w:val="1"/>
      <w:numFmt w:val="decimal"/>
      <w:lvlText w:val="%1.%2.%3.%4.%5.%6.%7."/>
      <w:lvlJc w:val="left"/>
      <w:pPr>
        <w:ind w:left="4956" w:hanging="708"/>
      </w:pPr>
      <w:rPr>
        <w:rFonts w:hint="default"/>
      </w:rPr>
    </w:lvl>
    <w:lvl w:ilvl="7">
      <w:start w:val="1"/>
      <w:numFmt w:val="decimal"/>
      <w:pStyle w:val="Nadpis8"/>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nsid w:val="5BF45A4C"/>
    <w:multiLevelType w:val="multilevel"/>
    <w:tmpl w:val="E1C4DDF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273"/>
        </w:tabs>
        <w:ind w:left="1273" w:hanging="705"/>
      </w:pPr>
      <w:rPr>
        <w:rFonts w:hint="default"/>
      </w:rPr>
    </w:lvl>
    <w:lvl w:ilvl="2">
      <w:start w:val="1"/>
      <w:numFmt w:val="decimal"/>
      <w:lvlText w:val="%1.%2.%3."/>
      <w:lvlJc w:val="left"/>
      <w:pPr>
        <w:tabs>
          <w:tab w:val="num" w:pos="2134"/>
        </w:tabs>
        <w:ind w:left="2134" w:hanging="720"/>
      </w:pPr>
      <w:rPr>
        <w:rFonts w:hint="default"/>
      </w:rPr>
    </w:lvl>
    <w:lvl w:ilvl="3">
      <w:start w:val="1"/>
      <w:numFmt w:val="decimal"/>
      <w:lvlText w:val="%1.%2.%3.%4."/>
      <w:lvlJc w:val="left"/>
      <w:pPr>
        <w:tabs>
          <w:tab w:val="num" w:pos="2841"/>
        </w:tabs>
        <w:ind w:left="2841" w:hanging="720"/>
      </w:pPr>
      <w:rPr>
        <w:rFonts w:hint="default"/>
      </w:rPr>
    </w:lvl>
    <w:lvl w:ilvl="4">
      <w:start w:val="1"/>
      <w:numFmt w:val="decimal"/>
      <w:lvlText w:val="%1.%2.%3.%4.%5."/>
      <w:lvlJc w:val="left"/>
      <w:pPr>
        <w:tabs>
          <w:tab w:val="num" w:pos="3908"/>
        </w:tabs>
        <w:ind w:left="3908" w:hanging="1080"/>
      </w:pPr>
      <w:rPr>
        <w:rFonts w:hint="default"/>
      </w:rPr>
    </w:lvl>
    <w:lvl w:ilvl="5">
      <w:start w:val="1"/>
      <w:numFmt w:val="decimal"/>
      <w:lvlText w:val="%1.%2.%3.%4.%5.%6."/>
      <w:lvlJc w:val="left"/>
      <w:pPr>
        <w:tabs>
          <w:tab w:val="num" w:pos="4615"/>
        </w:tabs>
        <w:ind w:left="4615" w:hanging="1080"/>
      </w:pPr>
      <w:rPr>
        <w:rFonts w:hint="default"/>
      </w:rPr>
    </w:lvl>
    <w:lvl w:ilvl="6">
      <w:start w:val="1"/>
      <w:numFmt w:val="decimal"/>
      <w:lvlText w:val="%1.%2.%3.%4.%5.%6.%7."/>
      <w:lvlJc w:val="left"/>
      <w:pPr>
        <w:tabs>
          <w:tab w:val="num" w:pos="5322"/>
        </w:tabs>
        <w:ind w:left="5322" w:hanging="1080"/>
      </w:pPr>
      <w:rPr>
        <w:rFonts w:hint="default"/>
      </w:rPr>
    </w:lvl>
    <w:lvl w:ilvl="7">
      <w:start w:val="1"/>
      <w:numFmt w:val="decimal"/>
      <w:lvlText w:val="%1.%2.%3.%4.%5.%6.%7.%8."/>
      <w:lvlJc w:val="left"/>
      <w:pPr>
        <w:tabs>
          <w:tab w:val="num" w:pos="6389"/>
        </w:tabs>
        <w:ind w:left="6389" w:hanging="1440"/>
      </w:pPr>
      <w:rPr>
        <w:rFonts w:hint="default"/>
      </w:rPr>
    </w:lvl>
    <w:lvl w:ilvl="8">
      <w:start w:val="1"/>
      <w:numFmt w:val="decimal"/>
      <w:lvlText w:val="%1.%2.%3.%4.%5.%6.%7.%8.%9."/>
      <w:lvlJc w:val="left"/>
      <w:pPr>
        <w:tabs>
          <w:tab w:val="num" w:pos="7096"/>
        </w:tabs>
        <w:ind w:left="7096" w:hanging="1440"/>
      </w:pPr>
      <w:rPr>
        <w:rFonts w:hint="default"/>
      </w:rPr>
    </w:lvl>
  </w:abstractNum>
  <w:abstractNum w:abstractNumId="16">
    <w:nsid w:val="5FF92F67"/>
    <w:multiLevelType w:val="multilevel"/>
    <w:tmpl w:val="5A54BDA2"/>
    <w:lvl w:ilvl="0">
      <w:start w:val="4"/>
      <w:numFmt w:val="decimal"/>
      <w:lvlText w:val="%1"/>
      <w:lvlJc w:val="left"/>
      <w:pPr>
        <w:ind w:left="480" w:hanging="480"/>
      </w:pPr>
      <w:rPr>
        <w:rFonts w:hint="default"/>
      </w:rPr>
    </w:lvl>
    <w:lvl w:ilvl="1">
      <w:start w:val="1"/>
      <w:numFmt w:val="decimal"/>
      <w:lvlText w:val="%1.%2"/>
      <w:lvlJc w:val="left"/>
      <w:pPr>
        <w:ind w:left="2614" w:hanging="480"/>
      </w:pPr>
      <w:rPr>
        <w:rFonts w:hint="default"/>
      </w:rPr>
    </w:lvl>
    <w:lvl w:ilvl="2">
      <w:start w:val="1"/>
      <w:numFmt w:val="decimal"/>
      <w:lvlText w:val="%1.%2.%3"/>
      <w:lvlJc w:val="left"/>
      <w:pPr>
        <w:ind w:left="4988" w:hanging="720"/>
      </w:pPr>
      <w:rPr>
        <w:rFonts w:hint="default"/>
      </w:rPr>
    </w:lvl>
    <w:lvl w:ilvl="3">
      <w:start w:val="1"/>
      <w:numFmt w:val="decimal"/>
      <w:lvlText w:val="%1.%2.%3.%4"/>
      <w:lvlJc w:val="left"/>
      <w:pPr>
        <w:ind w:left="7122" w:hanging="720"/>
      </w:pPr>
      <w:rPr>
        <w:rFonts w:hint="default"/>
      </w:rPr>
    </w:lvl>
    <w:lvl w:ilvl="4">
      <w:start w:val="1"/>
      <w:numFmt w:val="decimal"/>
      <w:lvlText w:val="%1.%2.%3.%4.%5"/>
      <w:lvlJc w:val="left"/>
      <w:pPr>
        <w:ind w:left="9616" w:hanging="1080"/>
      </w:pPr>
      <w:rPr>
        <w:rFonts w:hint="default"/>
      </w:rPr>
    </w:lvl>
    <w:lvl w:ilvl="5">
      <w:start w:val="1"/>
      <w:numFmt w:val="decimal"/>
      <w:lvlText w:val="%1.%2.%3.%4.%5.%6"/>
      <w:lvlJc w:val="left"/>
      <w:pPr>
        <w:ind w:left="11750" w:hanging="1080"/>
      </w:pPr>
      <w:rPr>
        <w:rFonts w:hint="default"/>
      </w:rPr>
    </w:lvl>
    <w:lvl w:ilvl="6">
      <w:start w:val="1"/>
      <w:numFmt w:val="decimal"/>
      <w:lvlText w:val="%1.%2.%3.%4.%5.%6.%7"/>
      <w:lvlJc w:val="left"/>
      <w:pPr>
        <w:ind w:left="14244" w:hanging="1440"/>
      </w:pPr>
      <w:rPr>
        <w:rFonts w:hint="default"/>
      </w:rPr>
    </w:lvl>
    <w:lvl w:ilvl="7">
      <w:start w:val="1"/>
      <w:numFmt w:val="decimal"/>
      <w:lvlText w:val="%1.%2.%3.%4.%5.%6.%7.%8"/>
      <w:lvlJc w:val="left"/>
      <w:pPr>
        <w:ind w:left="16378" w:hanging="1440"/>
      </w:pPr>
      <w:rPr>
        <w:rFonts w:hint="default"/>
      </w:rPr>
    </w:lvl>
    <w:lvl w:ilvl="8">
      <w:start w:val="1"/>
      <w:numFmt w:val="decimal"/>
      <w:lvlText w:val="%1.%2.%3.%4.%5.%6.%7.%8.%9"/>
      <w:lvlJc w:val="left"/>
      <w:pPr>
        <w:ind w:left="18872" w:hanging="1800"/>
      </w:pPr>
      <w:rPr>
        <w:rFonts w:hint="default"/>
      </w:rPr>
    </w:lvl>
  </w:abstractNum>
  <w:abstractNum w:abstractNumId="17">
    <w:nsid w:val="65FC2F8E"/>
    <w:multiLevelType w:val="multilevel"/>
    <w:tmpl w:val="46326790"/>
    <w:lvl w:ilvl="0">
      <w:start w:val="1"/>
      <w:numFmt w:val="decimal"/>
      <w:isLgl/>
      <w:lvlText w:val="%1."/>
      <w:lvlJc w:val="left"/>
      <w:pPr>
        <w:tabs>
          <w:tab w:val="num" w:pos="284"/>
        </w:tabs>
        <w:ind w:left="284" w:hanging="284"/>
      </w:pPr>
      <w:rPr>
        <w:rFonts w:hint="default"/>
        <w:b/>
      </w:rPr>
    </w:lvl>
    <w:lvl w:ilvl="1">
      <w:start w:val="1"/>
      <w:numFmt w:val="decimal"/>
      <w:suff w:val="space"/>
      <w:lvlText w:val="%1.%2."/>
      <w:lvlJc w:val="left"/>
      <w:pPr>
        <w:ind w:left="907" w:hanging="340"/>
      </w:pPr>
      <w:rPr>
        <w:rFonts w:hint="default"/>
        <w:b w:val="0"/>
        <w:i w:val="0"/>
        <w:sz w:val="20"/>
        <w:szCs w:val="20"/>
      </w:rPr>
    </w:lvl>
    <w:lvl w:ilvl="2">
      <w:start w:val="1"/>
      <w:numFmt w:val="decimal"/>
      <w:suff w:val="space"/>
      <w:lvlText w:val="%1.%2.%3."/>
      <w:lvlJc w:val="left"/>
      <w:pPr>
        <w:ind w:left="3799" w:hanging="2665"/>
      </w:pPr>
      <w:rPr>
        <w:rFonts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4470A2B"/>
    <w:multiLevelType w:val="hybridMultilevel"/>
    <w:tmpl w:val="E2A08EB2"/>
    <w:lvl w:ilvl="0" w:tplc="75769956">
      <w:start w:val="1"/>
      <w:numFmt w:val="decimal"/>
      <w:lvlText w:val="%1."/>
      <w:lvlJc w:val="left"/>
      <w:pPr>
        <w:ind w:left="1431" w:hanging="360"/>
      </w:pPr>
    </w:lvl>
    <w:lvl w:ilvl="1" w:tplc="04050019">
      <w:start w:val="1"/>
      <w:numFmt w:val="lowerLetter"/>
      <w:lvlText w:val="%2."/>
      <w:lvlJc w:val="left"/>
      <w:pPr>
        <w:ind w:left="2151" w:hanging="360"/>
      </w:pPr>
    </w:lvl>
    <w:lvl w:ilvl="2" w:tplc="0405001B">
      <w:start w:val="1"/>
      <w:numFmt w:val="lowerRoman"/>
      <w:lvlText w:val="%3."/>
      <w:lvlJc w:val="right"/>
      <w:pPr>
        <w:ind w:left="2871" w:hanging="180"/>
      </w:pPr>
    </w:lvl>
    <w:lvl w:ilvl="3" w:tplc="0405000F">
      <w:start w:val="1"/>
      <w:numFmt w:val="decimal"/>
      <w:lvlText w:val="%4."/>
      <w:lvlJc w:val="left"/>
      <w:pPr>
        <w:ind w:left="3591" w:hanging="360"/>
      </w:pPr>
    </w:lvl>
    <w:lvl w:ilvl="4" w:tplc="04050019">
      <w:start w:val="1"/>
      <w:numFmt w:val="lowerLetter"/>
      <w:lvlText w:val="%5."/>
      <w:lvlJc w:val="left"/>
      <w:pPr>
        <w:ind w:left="4311" w:hanging="360"/>
      </w:pPr>
    </w:lvl>
    <w:lvl w:ilvl="5" w:tplc="0405001B">
      <w:start w:val="1"/>
      <w:numFmt w:val="lowerRoman"/>
      <w:lvlText w:val="%6."/>
      <w:lvlJc w:val="right"/>
      <w:pPr>
        <w:ind w:left="5031" w:hanging="180"/>
      </w:pPr>
    </w:lvl>
    <w:lvl w:ilvl="6" w:tplc="0405000F">
      <w:start w:val="1"/>
      <w:numFmt w:val="decimal"/>
      <w:lvlText w:val="%7."/>
      <w:lvlJc w:val="left"/>
      <w:pPr>
        <w:ind w:left="5751" w:hanging="360"/>
      </w:pPr>
    </w:lvl>
    <w:lvl w:ilvl="7" w:tplc="04050019">
      <w:start w:val="1"/>
      <w:numFmt w:val="lowerLetter"/>
      <w:lvlText w:val="%8."/>
      <w:lvlJc w:val="left"/>
      <w:pPr>
        <w:ind w:left="6471" w:hanging="360"/>
      </w:pPr>
    </w:lvl>
    <w:lvl w:ilvl="8" w:tplc="0405001B">
      <w:start w:val="1"/>
      <w:numFmt w:val="lowerRoman"/>
      <w:lvlText w:val="%9."/>
      <w:lvlJc w:val="right"/>
      <w:pPr>
        <w:ind w:left="7191" w:hanging="180"/>
      </w:pPr>
    </w:lvl>
  </w:abstractNum>
  <w:abstractNum w:abstractNumId="19">
    <w:nsid w:val="75010429"/>
    <w:multiLevelType w:val="multilevel"/>
    <w:tmpl w:val="6C9AE83C"/>
    <w:lvl w:ilvl="0">
      <w:start w:val="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5563346"/>
    <w:multiLevelType w:val="hybridMultilevel"/>
    <w:tmpl w:val="C36C7958"/>
    <w:lvl w:ilvl="0" w:tplc="AEDCC82C">
      <w:start w:val="1"/>
      <w:numFmt w:val="lowerLetter"/>
      <w:pStyle w:val="lenn2"/>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C284BDC"/>
    <w:multiLevelType w:val="hybridMultilevel"/>
    <w:tmpl w:val="A20C5980"/>
    <w:lvl w:ilvl="0" w:tplc="A92C7902">
      <w:start w:val="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
  </w:num>
  <w:num w:numId="4">
    <w:abstractNumId w:val="14"/>
  </w:num>
  <w:num w:numId="5">
    <w:abstractNumId w:val="14"/>
  </w:num>
  <w:num w:numId="6">
    <w:abstractNumId w:val="14"/>
  </w:num>
  <w:num w:numId="7">
    <w:abstractNumId w:val="14"/>
  </w:num>
  <w:num w:numId="8">
    <w:abstractNumId w:val="14"/>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1"/>
  </w:num>
  <w:num w:numId="13">
    <w:abstractNumId w:val="10"/>
  </w:num>
  <w:num w:numId="14">
    <w:abstractNumId w:val="9"/>
  </w:num>
  <w:num w:numId="15">
    <w:abstractNumId w:val="17"/>
  </w:num>
  <w:num w:numId="16">
    <w:abstractNumId w:val="6"/>
  </w:num>
  <w:num w:numId="17">
    <w:abstractNumId w:val="14"/>
  </w:num>
  <w:num w:numId="18">
    <w:abstractNumId w:val="14"/>
  </w:num>
  <w:num w:numId="19">
    <w:abstractNumId w:val="4"/>
  </w:num>
  <w:num w:numId="20">
    <w:abstractNumId w:val="14"/>
  </w:num>
  <w:num w:numId="2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
  </w:num>
  <w:num w:numId="29">
    <w:abstractNumId w:val="14"/>
  </w:num>
  <w:num w:numId="30">
    <w:abstractNumId w:val="14"/>
  </w:num>
  <w:num w:numId="31">
    <w:abstractNumId w:val="14"/>
  </w:num>
  <w:num w:numId="32">
    <w:abstractNumId w:val="14"/>
  </w:num>
  <w:num w:numId="33">
    <w:abstractNumId w:val="16"/>
  </w:num>
  <w:num w:numId="34">
    <w:abstractNumId w:val="10"/>
  </w:num>
  <w:num w:numId="35">
    <w:abstractNumId w:val="0"/>
  </w:num>
  <w:num w:numId="36">
    <w:abstractNumId w:val="20"/>
  </w:num>
  <w:num w:numId="37">
    <w:abstractNumId w:val="20"/>
  </w:num>
  <w:num w:numId="38">
    <w:abstractNumId w:val="20"/>
  </w:num>
  <w:num w:numId="39">
    <w:abstractNumId w:val="2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4"/>
  </w:num>
  <w:num w:numId="52">
    <w:abstractNumId w:val="19"/>
  </w:num>
  <w:num w:numId="53">
    <w:abstractNumId w:val="14"/>
  </w:num>
  <w:num w:numId="54">
    <w:abstractNumId w:val="2"/>
  </w:num>
  <w:num w:numId="55">
    <w:abstractNumId w:val="14"/>
  </w:num>
  <w:num w:numId="56">
    <w:abstractNumId w:val="14"/>
  </w:num>
  <w:num w:numId="57">
    <w:abstractNumId w:val="5"/>
  </w:num>
  <w:num w:numId="58">
    <w:abstractNumId w:val="14"/>
  </w:num>
  <w:num w:numId="59">
    <w:abstractNumId w:val="14"/>
  </w:num>
  <w:num w:numId="60">
    <w:abstractNumId w:val="14"/>
  </w:num>
  <w:num w:numId="61">
    <w:abstractNumId w:val="13"/>
  </w:num>
  <w:num w:numId="62">
    <w:abstractNumId w:val="14"/>
  </w:num>
  <w:num w:numId="63">
    <w:abstractNumId w:val="14"/>
  </w:num>
  <w:num w:numId="64">
    <w:abstractNumId w:val="14"/>
  </w:num>
  <w:num w:numId="65">
    <w:abstractNumId w:val="7"/>
  </w:num>
  <w:num w:numId="66">
    <w:abstractNumId w:val="14"/>
  </w:num>
  <w:num w:numId="67">
    <w:abstractNumId w:val="11"/>
  </w:num>
  <w:num w:numId="68">
    <w:abstractNumId w:val="14"/>
  </w:num>
  <w:num w:numId="69">
    <w:abstractNumId w:val="14"/>
  </w:num>
  <w:num w:numId="70">
    <w:abstractNumId w:val="14"/>
  </w:num>
  <w:num w:numId="71">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8B"/>
    <w:rsid w:val="00000CD0"/>
    <w:rsid w:val="00017138"/>
    <w:rsid w:val="000213C4"/>
    <w:rsid w:val="00024319"/>
    <w:rsid w:val="00026873"/>
    <w:rsid w:val="00027447"/>
    <w:rsid w:val="000319E6"/>
    <w:rsid w:val="0003319B"/>
    <w:rsid w:val="0005716B"/>
    <w:rsid w:val="00061EBC"/>
    <w:rsid w:val="00070C4C"/>
    <w:rsid w:val="000730E7"/>
    <w:rsid w:val="00080745"/>
    <w:rsid w:val="000920DC"/>
    <w:rsid w:val="000B0E2F"/>
    <w:rsid w:val="000B7DFA"/>
    <w:rsid w:val="000C2BE9"/>
    <w:rsid w:val="000C63AF"/>
    <w:rsid w:val="000C7F88"/>
    <w:rsid w:val="000D383A"/>
    <w:rsid w:val="000E312D"/>
    <w:rsid w:val="000E55B1"/>
    <w:rsid w:val="000F2158"/>
    <w:rsid w:val="0012015D"/>
    <w:rsid w:val="00134D2E"/>
    <w:rsid w:val="001535D0"/>
    <w:rsid w:val="0017029F"/>
    <w:rsid w:val="00175412"/>
    <w:rsid w:val="001913E3"/>
    <w:rsid w:val="001C0E5E"/>
    <w:rsid w:val="001C3414"/>
    <w:rsid w:val="001C7D65"/>
    <w:rsid w:val="001E5AF3"/>
    <w:rsid w:val="002109B6"/>
    <w:rsid w:val="00212B63"/>
    <w:rsid w:val="00214F5B"/>
    <w:rsid w:val="002242C4"/>
    <w:rsid w:val="00225A47"/>
    <w:rsid w:val="00233BDA"/>
    <w:rsid w:val="0023489B"/>
    <w:rsid w:val="00253E7C"/>
    <w:rsid w:val="0026325F"/>
    <w:rsid w:val="0026610A"/>
    <w:rsid w:val="002723F9"/>
    <w:rsid w:val="00273EBA"/>
    <w:rsid w:val="0027447E"/>
    <w:rsid w:val="00282D4B"/>
    <w:rsid w:val="002A700B"/>
    <w:rsid w:val="003237A3"/>
    <w:rsid w:val="00324EF1"/>
    <w:rsid w:val="00333D44"/>
    <w:rsid w:val="0034487B"/>
    <w:rsid w:val="0035239B"/>
    <w:rsid w:val="00380795"/>
    <w:rsid w:val="003860ED"/>
    <w:rsid w:val="00392E19"/>
    <w:rsid w:val="003B202C"/>
    <w:rsid w:val="003C37DF"/>
    <w:rsid w:val="003D41B2"/>
    <w:rsid w:val="003E4D13"/>
    <w:rsid w:val="003F5FAD"/>
    <w:rsid w:val="00417359"/>
    <w:rsid w:val="0043041B"/>
    <w:rsid w:val="00440AEC"/>
    <w:rsid w:val="00463AAF"/>
    <w:rsid w:val="004A2A99"/>
    <w:rsid w:val="004C0035"/>
    <w:rsid w:val="004C49A3"/>
    <w:rsid w:val="004D06E0"/>
    <w:rsid w:val="004F461A"/>
    <w:rsid w:val="00504497"/>
    <w:rsid w:val="005303A6"/>
    <w:rsid w:val="005534A8"/>
    <w:rsid w:val="0055746E"/>
    <w:rsid w:val="005677F5"/>
    <w:rsid w:val="005802A2"/>
    <w:rsid w:val="005821F6"/>
    <w:rsid w:val="00583FBB"/>
    <w:rsid w:val="005B049A"/>
    <w:rsid w:val="005C3B34"/>
    <w:rsid w:val="005C70B2"/>
    <w:rsid w:val="005D5D2F"/>
    <w:rsid w:val="005D606A"/>
    <w:rsid w:val="00603F94"/>
    <w:rsid w:val="00611162"/>
    <w:rsid w:val="0062192A"/>
    <w:rsid w:val="006279DE"/>
    <w:rsid w:val="00634B0F"/>
    <w:rsid w:val="00635963"/>
    <w:rsid w:val="00656C4C"/>
    <w:rsid w:val="006719A2"/>
    <w:rsid w:val="0069059B"/>
    <w:rsid w:val="006B6350"/>
    <w:rsid w:val="006D268A"/>
    <w:rsid w:val="006D3E4D"/>
    <w:rsid w:val="006D7E2B"/>
    <w:rsid w:val="0070705B"/>
    <w:rsid w:val="0071505D"/>
    <w:rsid w:val="007173B0"/>
    <w:rsid w:val="00723EDC"/>
    <w:rsid w:val="007255CE"/>
    <w:rsid w:val="00732C07"/>
    <w:rsid w:val="00750B83"/>
    <w:rsid w:val="007526B5"/>
    <w:rsid w:val="00765DAA"/>
    <w:rsid w:val="00787F28"/>
    <w:rsid w:val="007A0D31"/>
    <w:rsid w:val="007B6730"/>
    <w:rsid w:val="007D5193"/>
    <w:rsid w:val="007F146E"/>
    <w:rsid w:val="007F4905"/>
    <w:rsid w:val="007F611D"/>
    <w:rsid w:val="00811A02"/>
    <w:rsid w:val="008327AC"/>
    <w:rsid w:val="008339A0"/>
    <w:rsid w:val="00834931"/>
    <w:rsid w:val="008352B5"/>
    <w:rsid w:val="0085595D"/>
    <w:rsid w:val="008560DA"/>
    <w:rsid w:val="008617F4"/>
    <w:rsid w:val="008678FF"/>
    <w:rsid w:val="00885E41"/>
    <w:rsid w:val="008C2113"/>
    <w:rsid w:val="008D2258"/>
    <w:rsid w:val="008D5A74"/>
    <w:rsid w:val="00901470"/>
    <w:rsid w:val="00923FE8"/>
    <w:rsid w:val="00981856"/>
    <w:rsid w:val="0099488B"/>
    <w:rsid w:val="009976A4"/>
    <w:rsid w:val="009B6548"/>
    <w:rsid w:val="009B719E"/>
    <w:rsid w:val="009C7DD1"/>
    <w:rsid w:val="009D147C"/>
    <w:rsid w:val="009D684A"/>
    <w:rsid w:val="009F6935"/>
    <w:rsid w:val="00A073B4"/>
    <w:rsid w:val="00A24DD7"/>
    <w:rsid w:val="00A25CB8"/>
    <w:rsid w:val="00A41D5C"/>
    <w:rsid w:val="00A42131"/>
    <w:rsid w:val="00A603E2"/>
    <w:rsid w:val="00A7106B"/>
    <w:rsid w:val="00A91C47"/>
    <w:rsid w:val="00AA6099"/>
    <w:rsid w:val="00AA7A4E"/>
    <w:rsid w:val="00AB6E1E"/>
    <w:rsid w:val="00AF18E7"/>
    <w:rsid w:val="00AF331A"/>
    <w:rsid w:val="00B00251"/>
    <w:rsid w:val="00B07651"/>
    <w:rsid w:val="00B145B5"/>
    <w:rsid w:val="00B15B41"/>
    <w:rsid w:val="00B2117D"/>
    <w:rsid w:val="00B21CE5"/>
    <w:rsid w:val="00B2309E"/>
    <w:rsid w:val="00B45D18"/>
    <w:rsid w:val="00B46BC5"/>
    <w:rsid w:val="00B63F3C"/>
    <w:rsid w:val="00B95EBD"/>
    <w:rsid w:val="00B96F32"/>
    <w:rsid w:val="00BA787B"/>
    <w:rsid w:val="00C015F0"/>
    <w:rsid w:val="00C21A54"/>
    <w:rsid w:val="00C23149"/>
    <w:rsid w:val="00C41527"/>
    <w:rsid w:val="00C53FE9"/>
    <w:rsid w:val="00C5652E"/>
    <w:rsid w:val="00C6457F"/>
    <w:rsid w:val="00C6548D"/>
    <w:rsid w:val="00C71998"/>
    <w:rsid w:val="00CA7C50"/>
    <w:rsid w:val="00CB1BBE"/>
    <w:rsid w:val="00CB2D0A"/>
    <w:rsid w:val="00CB43BC"/>
    <w:rsid w:val="00CC4234"/>
    <w:rsid w:val="00CD4877"/>
    <w:rsid w:val="00CE54CC"/>
    <w:rsid w:val="00CE7161"/>
    <w:rsid w:val="00D13347"/>
    <w:rsid w:val="00D31C60"/>
    <w:rsid w:val="00D4193E"/>
    <w:rsid w:val="00D505EA"/>
    <w:rsid w:val="00D57C1C"/>
    <w:rsid w:val="00D60FC8"/>
    <w:rsid w:val="00D83BE8"/>
    <w:rsid w:val="00D86623"/>
    <w:rsid w:val="00D9394F"/>
    <w:rsid w:val="00DA49F7"/>
    <w:rsid w:val="00DB4521"/>
    <w:rsid w:val="00DE3201"/>
    <w:rsid w:val="00DE66BA"/>
    <w:rsid w:val="00E02EBE"/>
    <w:rsid w:val="00E0307E"/>
    <w:rsid w:val="00E046E2"/>
    <w:rsid w:val="00E10CA4"/>
    <w:rsid w:val="00E30B29"/>
    <w:rsid w:val="00E30ED2"/>
    <w:rsid w:val="00E37D3D"/>
    <w:rsid w:val="00E66727"/>
    <w:rsid w:val="00E767D9"/>
    <w:rsid w:val="00E8102B"/>
    <w:rsid w:val="00E81E60"/>
    <w:rsid w:val="00E917B7"/>
    <w:rsid w:val="00E96238"/>
    <w:rsid w:val="00EA4CE5"/>
    <w:rsid w:val="00EB2C23"/>
    <w:rsid w:val="00EB5CFF"/>
    <w:rsid w:val="00EC461A"/>
    <w:rsid w:val="00EC4ECC"/>
    <w:rsid w:val="00ED769F"/>
    <w:rsid w:val="00EE54BB"/>
    <w:rsid w:val="00F0679C"/>
    <w:rsid w:val="00F12DE9"/>
    <w:rsid w:val="00F53D76"/>
    <w:rsid w:val="00F55CB2"/>
    <w:rsid w:val="00F96DA8"/>
    <w:rsid w:val="00FB427B"/>
    <w:rsid w:val="00FC278E"/>
    <w:rsid w:val="00FD0355"/>
    <w:rsid w:val="00FF4BF4"/>
    <w:rsid w:val="00FF6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1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88B"/>
    <w:pPr>
      <w:widowControl w:val="0"/>
    </w:pPr>
  </w:style>
  <w:style w:type="paragraph" w:styleId="Nadpis1">
    <w:name w:val="heading 1"/>
    <w:basedOn w:val="Normln"/>
    <w:next w:val="Normln"/>
    <w:link w:val="Nadpis1Char"/>
    <w:qFormat/>
    <w:rsid w:val="00380795"/>
    <w:pPr>
      <w:numPr>
        <w:numId w:val="4"/>
      </w:numPr>
      <w:spacing w:before="240" w:after="120"/>
      <w:jc w:val="both"/>
      <w:outlineLvl w:val="0"/>
    </w:pPr>
    <w:rPr>
      <w:rFonts w:ascii="Arial" w:hAnsi="Arial"/>
      <w:b/>
      <w:color w:val="000000"/>
      <w:kern w:val="28"/>
      <w:sz w:val="32"/>
    </w:rPr>
  </w:style>
  <w:style w:type="paragraph" w:styleId="Nadpis2">
    <w:name w:val="heading 2"/>
    <w:basedOn w:val="Nadpis1"/>
    <w:next w:val="Normln"/>
    <w:link w:val="Nadpis2Char"/>
    <w:qFormat/>
    <w:rsid w:val="00A603E2"/>
    <w:pPr>
      <w:numPr>
        <w:ilvl w:val="1"/>
      </w:numPr>
      <w:spacing w:line="276" w:lineRule="auto"/>
      <w:outlineLvl w:val="1"/>
    </w:pPr>
    <w:rPr>
      <w:b w:val="0"/>
      <w:sz w:val="22"/>
    </w:rPr>
  </w:style>
  <w:style w:type="paragraph" w:styleId="Nadpis3">
    <w:name w:val="heading 3"/>
    <w:basedOn w:val="Normln"/>
    <w:next w:val="Normln"/>
    <w:qFormat/>
    <w:rsid w:val="00A603E2"/>
    <w:pPr>
      <w:keepNext/>
      <w:numPr>
        <w:ilvl w:val="2"/>
        <w:numId w:val="4"/>
      </w:numPr>
      <w:spacing w:before="120" w:after="120" w:line="276" w:lineRule="auto"/>
      <w:outlineLvl w:val="2"/>
    </w:pPr>
    <w:rPr>
      <w:rFonts w:ascii="Arial" w:hAnsi="Arial" w:cs="Arial"/>
      <w:bCs/>
      <w:sz w:val="22"/>
      <w:szCs w:val="26"/>
    </w:rPr>
  </w:style>
  <w:style w:type="paragraph" w:styleId="Nadpis4">
    <w:name w:val="heading 4"/>
    <w:basedOn w:val="Normln"/>
    <w:next w:val="Normln"/>
    <w:qFormat/>
    <w:rsid w:val="00440AEC"/>
    <w:pPr>
      <w:keepNext/>
      <w:numPr>
        <w:ilvl w:val="3"/>
        <w:numId w:val="4"/>
      </w:numPr>
      <w:spacing w:before="240" w:after="60"/>
      <w:outlineLvl w:val="3"/>
    </w:pPr>
    <w:rPr>
      <w:b/>
      <w:bCs/>
      <w:sz w:val="28"/>
      <w:szCs w:val="28"/>
    </w:rPr>
  </w:style>
  <w:style w:type="paragraph" w:styleId="Nadpis8">
    <w:name w:val="heading 8"/>
    <w:basedOn w:val="Normln"/>
    <w:next w:val="Normln"/>
    <w:qFormat/>
    <w:rsid w:val="00440AEC"/>
    <w:pPr>
      <w:numPr>
        <w:ilvl w:val="7"/>
        <w:numId w:val="4"/>
      </w:num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9488B"/>
    <w:pPr>
      <w:tabs>
        <w:tab w:val="center" w:pos="4536"/>
        <w:tab w:val="right" w:pos="9072"/>
      </w:tabs>
    </w:pPr>
  </w:style>
  <w:style w:type="paragraph" w:styleId="Zpat">
    <w:name w:val="footer"/>
    <w:basedOn w:val="Normln"/>
    <w:rsid w:val="0099488B"/>
    <w:pPr>
      <w:tabs>
        <w:tab w:val="center" w:pos="4536"/>
        <w:tab w:val="right" w:pos="9072"/>
      </w:tabs>
    </w:pPr>
  </w:style>
  <w:style w:type="character" w:styleId="Hypertextovodkaz">
    <w:name w:val="Hyperlink"/>
    <w:rsid w:val="0099488B"/>
    <w:rPr>
      <w:color w:val="0000FF"/>
      <w:u w:val="single"/>
    </w:rPr>
  </w:style>
  <w:style w:type="paragraph" w:styleId="Zkladntextodsazen">
    <w:name w:val="Body Text Indent"/>
    <w:basedOn w:val="Normln"/>
    <w:rsid w:val="0099488B"/>
    <w:pPr>
      <w:ind w:left="709"/>
    </w:pPr>
  </w:style>
  <w:style w:type="paragraph" w:styleId="Zkladntextodsazen2">
    <w:name w:val="Body Text Indent 2"/>
    <w:basedOn w:val="Normln"/>
    <w:link w:val="Zkladntextodsazen2Char"/>
    <w:rsid w:val="0099488B"/>
    <w:pPr>
      <w:ind w:left="707"/>
      <w:jc w:val="both"/>
    </w:pPr>
  </w:style>
  <w:style w:type="paragraph" w:customStyle="1" w:styleId="Specifikace">
    <w:name w:val="Specifikace"/>
    <w:basedOn w:val="Normln"/>
    <w:rsid w:val="0099488B"/>
    <w:pPr>
      <w:widowControl/>
      <w:tabs>
        <w:tab w:val="left" w:pos="2268"/>
        <w:tab w:val="left" w:pos="4536"/>
      </w:tabs>
      <w:spacing w:before="120"/>
      <w:jc w:val="center"/>
    </w:pPr>
    <w:rPr>
      <w:b/>
    </w:rPr>
  </w:style>
  <w:style w:type="character" w:styleId="slostrnky">
    <w:name w:val="page number"/>
    <w:basedOn w:val="Standardnpsmoodstavce"/>
    <w:rsid w:val="00DE66BA"/>
  </w:style>
  <w:style w:type="table" w:styleId="Mkatabulky">
    <w:name w:val="Table Grid"/>
    <w:basedOn w:val="Normlntabulka"/>
    <w:rsid w:val="00B0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B427B"/>
    <w:rPr>
      <w:rFonts w:ascii="Tahoma" w:hAnsi="Tahoma" w:cs="Tahoma"/>
      <w:sz w:val="16"/>
      <w:szCs w:val="16"/>
    </w:rPr>
  </w:style>
  <w:style w:type="character" w:customStyle="1" w:styleId="TextbublinyChar">
    <w:name w:val="Text bubliny Char"/>
    <w:basedOn w:val="Standardnpsmoodstavce"/>
    <w:link w:val="Textbubliny"/>
    <w:uiPriority w:val="99"/>
    <w:semiHidden/>
    <w:rsid w:val="00FB427B"/>
    <w:rPr>
      <w:rFonts w:ascii="Tahoma" w:hAnsi="Tahoma" w:cs="Tahoma"/>
      <w:sz w:val="16"/>
      <w:szCs w:val="16"/>
    </w:rPr>
  </w:style>
  <w:style w:type="paragraph" w:styleId="Odstavecseseznamem">
    <w:name w:val="List Paragraph"/>
    <w:basedOn w:val="Normln"/>
    <w:uiPriority w:val="34"/>
    <w:qFormat/>
    <w:rsid w:val="008D2258"/>
    <w:pPr>
      <w:ind w:left="720"/>
      <w:contextualSpacing/>
    </w:pPr>
  </w:style>
  <w:style w:type="paragraph" w:styleId="Bezmezer">
    <w:name w:val="No Spacing"/>
    <w:aliases w:val="normální,odrážka písmeno"/>
    <w:basedOn w:val="Normln"/>
    <w:uiPriority w:val="1"/>
    <w:qFormat/>
    <w:rsid w:val="00B45D18"/>
    <w:pPr>
      <w:autoSpaceDE w:val="0"/>
      <w:autoSpaceDN w:val="0"/>
      <w:spacing w:before="240" w:after="240"/>
      <w:jc w:val="both"/>
    </w:pPr>
    <w:rPr>
      <w:rFonts w:ascii="Arial" w:hAnsi="Arial" w:cs="Arial"/>
      <w:szCs w:val="22"/>
    </w:rPr>
  </w:style>
  <w:style w:type="paragraph" w:styleId="Textpoznpodarou">
    <w:name w:val="footnote text"/>
    <w:basedOn w:val="Normln"/>
    <w:link w:val="TextpoznpodarouChar"/>
    <w:uiPriority w:val="99"/>
    <w:semiHidden/>
    <w:unhideWhenUsed/>
    <w:rsid w:val="00B45D18"/>
    <w:pPr>
      <w:autoSpaceDE w:val="0"/>
      <w:autoSpaceDN w:val="0"/>
    </w:pPr>
    <w:rPr>
      <w:rFonts w:ascii="Arial" w:hAnsi="Arial" w:cs="Arial"/>
    </w:rPr>
  </w:style>
  <w:style w:type="character" w:customStyle="1" w:styleId="TextpoznpodarouChar">
    <w:name w:val="Text pozn. pod čarou Char"/>
    <w:basedOn w:val="Standardnpsmoodstavce"/>
    <w:link w:val="Textpoznpodarou"/>
    <w:uiPriority w:val="99"/>
    <w:semiHidden/>
    <w:rsid w:val="00B45D18"/>
    <w:rPr>
      <w:rFonts w:ascii="Arial" w:hAnsi="Arial" w:cs="Arial"/>
    </w:rPr>
  </w:style>
  <w:style w:type="character" w:styleId="Znakapoznpodarou">
    <w:name w:val="footnote reference"/>
    <w:basedOn w:val="Standardnpsmoodstavce"/>
    <w:uiPriority w:val="99"/>
    <w:semiHidden/>
    <w:unhideWhenUsed/>
    <w:rsid w:val="00B45D18"/>
    <w:rPr>
      <w:rFonts w:cs="Times New Roman"/>
      <w:vertAlign w:val="superscript"/>
    </w:rPr>
  </w:style>
  <w:style w:type="paragraph" w:customStyle="1" w:styleId="lenn2">
    <w:name w:val="Členění2"/>
    <w:basedOn w:val="Normln"/>
    <w:link w:val="lenn2Char"/>
    <w:qFormat/>
    <w:rsid w:val="00B45D18"/>
    <w:pPr>
      <w:widowControl/>
      <w:numPr>
        <w:numId w:val="11"/>
      </w:numPr>
      <w:spacing w:after="240"/>
      <w:ind w:right="113"/>
      <w:contextualSpacing/>
    </w:pPr>
    <w:rPr>
      <w:rFonts w:ascii="Arial" w:hAnsi="Arial"/>
      <w:sz w:val="22"/>
    </w:rPr>
  </w:style>
  <w:style w:type="character" w:customStyle="1" w:styleId="lenn2Char">
    <w:name w:val="Členění2 Char"/>
    <w:basedOn w:val="Standardnpsmoodstavce"/>
    <w:link w:val="lenn2"/>
    <w:locked/>
    <w:rsid w:val="00B45D18"/>
    <w:rPr>
      <w:rFonts w:ascii="Arial" w:hAnsi="Arial"/>
      <w:sz w:val="22"/>
    </w:rPr>
  </w:style>
  <w:style w:type="paragraph" w:customStyle="1" w:styleId="Normlnsodsazenm">
    <w:name w:val="Normální s odsazením"/>
    <w:basedOn w:val="Normln"/>
    <w:next w:val="Normln"/>
    <w:link w:val="NormlnsodsazenmChar"/>
    <w:qFormat/>
    <w:rsid w:val="00D13347"/>
    <w:pPr>
      <w:widowControl/>
      <w:numPr>
        <w:numId w:val="13"/>
      </w:numPr>
      <w:spacing w:before="120" w:after="120"/>
      <w:jc w:val="both"/>
    </w:pPr>
    <w:rPr>
      <w:rFonts w:ascii="Arial" w:hAnsi="Arial"/>
      <w:sz w:val="22"/>
      <w:szCs w:val="24"/>
    </w:rPr>
  </w:style>
  <w:style w:type="character" w:customStyle="1" w:styleId="NormlnsodsazenmChar">
    <w:name w:val="Normální s odsazením Char"/>
    <w:basedOn w:val="Standardnpsmoodstavce"/>
    <w:link w:val="Normlnsodsazenm"/>
    <w:locked/>
    <w:rsid w:val="00D13347"/>
    <w:rPr>
      <w:rFonts w:ascii="Arial" w:hAnsi="Arial"/>
      <w:sz w:val="22"/>
      <w:szCs w:val="24"/>
    </w:rPr>
  </w:style>
  <w:style w:type="character" w:styleId="Odkaznakoment">
    <w:name w:val="annotation reference"/>
    <w:basedOn w:val="Standardnpsmoodstavce"/>
    <w:uiPriority w:val="99"/>
    <w:semiHidden/>
    <w:unhideWhenUsed/>
    <w:rsid w:val="00A073B4"/>
    <w:rPr>
      <w:sz w:val="16"/>
      <w:szCs w:val="16"/>
    </w:rPr>
  </w:style>
  <w:style w:type="paragraph" w:styleId="Textkomente">
    <w:name w:val="annotation text"/>
    <w:basedOn w:val="Normln"/>
    <w:link w:val="TextkomenteChar"/>
    <w:uiPriority w:val="99"/>
    <w:semiHidden/>
    <w:unhideWhenUsed/>
    <w:rsid w:val="00A073B4"/>
  </w:style>
  <w:style w:type="character" w:customStyle="1" w:styleId="TextkomenteChar">
    <w:name w:val="Text komentáře Char"/>
    <w:basedOn w:val="Standardnpsmoodstavce"/>
    <w:link w:val="Textkomente"/>
    <w:uiPriority w:val="99"/>
    <w:semiHidden/>
    <w:rsid w:val="00A073B4"/>
  </w:style>
  <w:style w:type="paragraph" w:styleId="Pedmtkomente">
    <w:name w:val="annotation subject"/>
    <w:basedOn w:val="Textkomente"/>
    <w:next w:val="Textkomente"/>
    <w:link w:val="PedmtkomenteChar"/>
    <w:uiPriority w:val="99"/>
    <w:semiHidden/>
    <w:unhideWhenUsed/>
    <w:rsid w:val="00A073B4"/>
    <w:rPr>
      <w:b/>
      <w:bCs/>
    </w:rPr>
  </w:style>
  <w:style w:type="character" w:customStyle="1" w:styleId="PedmtkomenteChar">
    <w:name w:val="Předmět komentáře Char"/>
    <w:basedOn w:val="TextkomenteChar"/>
    <w:link w:val="Pedmtkomente"/>
    <w:uiPriority w:val="99"/>
    <w:semiHidden/>
    <w:rsid w:val="00A073B4"/>
    <w:rPr>
      <w:b/>
      <w:bCs/>
    </w:rPr>
  </w:style>
  <w:style w:type="paragraph" w:styleId="Revize">
    <w:name w:val="Revision"/>
    <w:hidden/>
    <w:uiPriority w:val="99"/>
    <w:semiHidden/>
    <w:rsid w:val="00E96238"/>
  </w:style>
  <w:style w:type="character" w:customStyle="1" w:styleId="Nadpis1Char">
    <w:name w:val="Nadpis 1 Char"/>
    <w:basedOn w:val="Standardnpsmoodstavce"/>
    <w:link w:val="Nadpis1"/>
    <w:rsid w:val="00380795"/>
    <w:rPr>
      <w:rFonts w:ascii="Arial" w:hAnsi="Arial"/>
      <w:b/>
      <w:color w:val="000000"/>
      <w:kern w:val="28"/>
      <w:sz w:val="32"/>
    </w:rPr>
  </w:style>
  <w:style w:type="character" w:customStyle="1" w:styleId="Nadpis2Char">
    <w:name w:val="Nadpis 2 Char"/>
    <w:basedOn w:val="Standardnpsmoodstavce"/>
    <w:link w:val="Nadpis2"/>
    <w:rsid w:val="00A603E2"/>
    <w:rPr>
      <w:rFonts w:ascii="Arial" w:hAnsi="Arial"/>
      <w:color w:val="000000"/>
      <w:kern w:val="28"/>
      <w:sz w:val="22"/>
    </w:rPr>
  </w:style>
  <w:style w:type="character" w:customStyle="1" w:styleId="Zkladntextodsazen2Char">
    <w:name w:val="Základní text odsazený 2 Char"/>
    <w:basedOn w:val="Standardnpsmoodstavce"/>
    <w:link w:val="Zkladntextodsazen2"/>
    <w:rsid w:val="00AB6E1E"/>
  </w:style>
  <w:style w:type="paragraph" w:customStyle="1" w:styleId="nadpislnku">
    <w:name w:val="nadpis článku"/>
    <w:basedOn w:val="Normln"/>
    <w:next w:val="paragraf1"/>
    <w:rsid w:val="00CB43BC"/>
    <w:pPr>
      <w:widowControl/>
      <w:spacing w:before="60" w:after="120"/>
      <w:jc w:val="center"/>
    </w:pPr>
    <w:rPr>
      <w:rFonts w:ascii="Arial" w:hAnsi="Arial"/>
      <w:b/>
      <w:sz w:val="24"/>
      <w:szCs w:val="24"/>
    </w:rPr>
  </w:style>
  <w:style w:type="paragraph" w:customStyle="1" w:styleId="paragraf1">
    <w:name w:val="paragraf1"/>
    <w:basedOn w:val="Normln"/>
    <w:rsid w:val="00CB43BC"/>
    <w:pPr>
      <w:widowControl/>
      <w:spacing w:before="60" w:after="6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88B"/>
    <w:pPr>
      <w:widowControl w:val="0"/>
    </w:pPr>
  </w:style>
  <w:style w:type="paragraph" w:styleId="Nadpis1">
    <w:name w:val="heading 1"/>
    <w:basedOn w:val="Normln"/>
    <w:next w:val="Normln"/>
    <w:link w:val="Nadpis1Char"/>
    <w:qFormat/>
    <w:rsid w:val="00380795"/>
    <w:pPr>
      <w:numPr>
        <w:numId w:val="4"/>
      </w:numPr>
      <w:spacing w:before="240" w:after="120"/>
      <w:jc w:val="both"/>
      <w:outlineLvl w:val="0"/>
    </w:pPr>
    <w:rPr>
      <w:rFonts w:ascii="Arial" w:hAnsi="Arial"/>
      <w:b/>
      <w:color w:val="000000"/>
      <w:kern w:val="28"/>
      <w:sz w:val="32"/>
    </w:rPr>
  </w:style>
  <w:style w:type="paragraph" w:styleId="Nadpis2">
    <w:name w:val="heading 2"/>
    <w:basedOn w:val="Nadpis1"/>
    <w:next w:val="Normln"/>
    <w:link w:val="Nadpis2Char"/>
    <w:qFormat/>
    <w:rsid w:val="00A603E2"/>
    <w:pPr>
      <w:numPr>
        <w:ilvl w:val="1"/>
      </w:numPr>
      <w:spacing w:line="276" w:lineRule="auto"/>
      <w:outlineLvl w:val="1"/>
    </w:pPr>
    <w:rPr>
      <w:b w:val="0"/>
      <w:sz w:val="22"/>
    </w:rPr>
  </w:style>
  <w:style w:type="paragraph" w:styleId="Nadpis3">
    <w:name w:val="heading 3"/>
    <w:basedOn w:val="Normln"/>
    <w:next w:val="Normln"/>
    <w:qFormat/>
    <w:rsid w:val="00A603E2"/>
    <w:pPr>
      <w:keepNext/>
      <w:numPr>
        <w:ilvl w:val="2"/>
        <w:numId w:val="4"/>
      </w:numPr>
      <w:spacing w:before="120" w:after="120" w:line="276" w:lineRule="auto"/>
      <w:outlineLvl w:val="2"/>
    </w:pPr>
    <w:rPr>
      <w:rFonts w:ascii="Arial" w:hAnsi="Arial" w:cs="Arial"/>
      <w:bCs/>
      <w:sz w:val="22"/>
      <w:szCs w:val="26"/>
    </w:rPr>
  </w:style>
  <w:style w:type="paragraph" w:styleId="Nadpis4">
    <w:name w:val="heading 4"/>
    <w:basedOn w:val="Normln"/>
    <w:next w:val="Normln"/>
    <w:qFormat/>
    <w:rsid w:val="00440AEC"/>
    <w:pPr>
      <w:keepNext/>
      <w:numPr>
        <w:ilvl w:val="3"/>
        <w:numId w:val="4"/>
      </w:numPr>
      <w:spacing w:before="240" w:after="60"/>
      <w:outlineLvl w:val="3"/>
    </w:pPr>
    <w:rPr>
      <w:b/>
      <w:bCs/>
      <w:sz w:val="28"/>
      <w:szCs w:val="28"/>
    </w:rPr>
  </w:style>
  <w:style w:type="paragraph" w:styleId="Nadpis8">
    <w:name w:val="heading 8"/>
    <w:basedOn w:val="Normln"/>
    <w:next w:val="Normln"/>
    <w:qFormat/>
    <w:rsid w:val="00440AEC"/>
    <w:pPr>
      <w:numPr>
        <w:ilvl w:val="7"/>
        <w:numId w:val="4"/>
      </w:num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9488B"/>
    <w:pPr>
      <w:tabs>
        <w:tab w:val="center" w:pos="4536"/>
        <w:tab w:val="right" w:pos="9072"/>
      </w:tabs>
    </w:pPr>
  </w:style>
  <w:style w:type="paragraph" w:styleId="Zpat">
    <w:name w:val="footer"/>
    <w:basedOn w:val="Normln"/>
    <w:rsid w:val="0099488B"/>
    <w:pPr>
      <w:tabs>
        <w:tab w:val="center" w:pos="4536"/>
        <w:tab w:val="right" w:pos="9072"/>
      </w:tabs>
    </w:pPr>
  </w:style>
  <w:style w:type="character" w:styleId="Hypertextovodkaz">
    <w:name w:val="Hyperlink"/>
    <w:rsid w:val="0099488B"/>
    <w:rPr>
      <w:color w:val="0000FF"/>
      <w:u w:val="single"/>
    </w:rPr>
  </w:style>
  <w:style w:type="paragraph" w:styleId="Zkladntextodsazen">
    <w:name w:val="Body Text Indent"/>
    <w:basedOn w:val="Normln"/>
    <w:rsid w:val="0099488B"/>
    <w:pPr>
      <w:ind w:left="709"/>
    </w:pPr>
  </w:style>
  <w:style w:type="paragraph" w:styleId="Zkladntextodsazen2">
    <w:name w:val="Body Text Indent 2"/>
    <w:basedOn w:val="Normln"/>
    <w:link w:val="Zkladntextodsazen2Char"/>
    <w:rsid w:val="0099488B"/>
    <w:pPr>
      <w:ind w:left="707"/>
      <w:jc w:val="both"/>
    </w:pPr>
  </w:style>
  <w:style w:type="paragraph" w:customStyle="1" w:styleId="Specifikace">
    <w:name w:val="Specifikace"/>
    <w:basedOn w:val="Normln"/>
    <w:rsid w:val="0099488B"/>
    <w:pPr>
      <w:widowControl/>
      <w:tabs>
        <w:tab w:val="left" w:pos="2268"/>
        <w:tab w:val="left" w:pos="4536"/>
      </w:tabs>
      <w:spacing w:before="120"/>
      <w:jc w:val="center"/>
    </w:pPr>
    <w:rPr>
      <w:b/>
    </w:rPr>
  </w:style>
  <w:style w:type="character" w:styleId="slostrnky">
    <w:name w:val="page number"/>
    <w:basedOn w:val="Standardnpsmoodstavce"/>
    <w:rsid w:val="00DE66BA"/>
  </w:style>
  <w:style w:type="table" w:styleId="Mkatabulky">
    <w:name w:val="Table Grid"/>
    <w:basedOn w:val="Normlntabulka"/>
    <w:rsid w:val="00B0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B427B"/>
    <w:rPr>
      <w:rFonts w:ascii="Tahoma" w:hAnsi="Tahoma" w:cs="Tahoma"/>
      <w:sz w:val="16"/>
      <w:szCs w:val="16"/>
    </w:rPr>
  </w:style>
  <w:style w:type="character" w:customStyle="1" w:styleId="TextbublinyChar">
    <w:name w:val="Text bubliny Char"/>
    <w:basedOn w:val="Standardnpsmoodstavce"/>
    <w:link w:val="Textbubliny"/>
    <w:uiPriority w:val="99"/>
    <w:semiHidden/>
    <w:rsid w:val="00FB427B"/>
    <w:rPr>
      <w:rFonts w:ascii="Tahoma" w:hAnsi="Tahoma" w:cs="Tahoma"/>
      <w:sz w:val="16"/>
      <w:szCs w:val="16"/>
    </w:rPr>
  </w:style>
  <w:style w:type="paragraph" w:styleId="Odstavecseseznamem">
    <w:name w:val="List Paragraph"/>
    <w:basedOn w:val="Normln"/>
    <w:uiPriority w:val="34"/>
    <w:qFormat/>
    <w:rsid w:val="008D2258"/>
    <w:pPr>
      <w:ind w:left="720"/>
      <w:contextualSpacing/>
    </w:pPr>
  </w:style>
  <w:style w:type="paragraph" w:styleId="Bezmezer">
    <w:name w:val="No Spacing"/>
    <w:aliases w:val="normální,odrážka písmeno"/>
    <w:basedOn w:val="Normln"/>
    <w:uiPriority w:val="1"/>
    <w:qFormat/>
    <w:rsid w:val="00B45D18"/>
    <w:pPr>
      <w:autoSpaceDE w:val="0"/>
      <w:autoSpaceDN w:val="0"/>
      <w:spacing w:before="240" w:after="240"/>
      <w:jc w:val="both"/>
    </w:pPr>
    <w:rPr>
      <w:rFonts w:ascii="Arial" w:hAnsi="Arial" w:cs="Arial"/>
      <w:szCs w:val="22"/>
    </w:rPr>
  </w:style>
  <w:style w:type="paragraph" w:styleId="Textpoznpodarou">
    <w:name w:val="footnote text"/>
    <w:basedOn w:val="Normln"/>
    <w:link w:val="TextpoznpodarouChar"/>
    <w:uiPriority w:val="99"/>
    <w:semiHidden/>
    <w:unhideWhenUsed/>
    <w:rsid w:val="00B45D18"/>
    <w:pPr>
      <w:autoSpaceDE w:val="0"/>
      <w:autoSpaceDN w:val="0"/>
    </w:pPr>
    <w:rPr>
      <w:rFonts w:ascii="Arial" w:hAnsi="Arial" w:cs="Arial"/>
    </w:rPr>
  </w:style>
  <w:style w:type="character" w:customStyle="1" w:styleId="TextpoznpodarouChar">
    <w:name w:val="Text pozn. pod čarou Char"/>
    <w:basedOn w:val="Standardnpsmoodstavce"/>
    <w:link w:val="Textpoznpodarou"/>
    <w:uiPriority w:val="99"/>
    <w:semiHidden/>
    <w:rsid w:val="00B45D18"/>
    <w:rPr>
      <w:rFonts w:ascii="Arial" w:hAnsi="Arial" w:cs="Arial"/>
    </w:rPr>
  </w:style>
  <w:style w:type="character" w:styleId="Znakapoznpodarou">
    <w:name w:val="footnote reference"/>
    <w:basedOn w:val="Standardnpsmoodstavce"/>
    <w:uiPriority w:val="99"/>
    <w:semiHidden/>
    <w:unhideWhenUsed/>
    <w:rsid w:val="00B45D18"/>
    <w:rPr>
      <w:rFonts w:cs="Times New Roman"/>
      <w:vertAlign w:val="superscript"/>
    </w:rPr>
  </w:style>
  <w:style w:type="paragraph" w:customStyle="1" w:styleId="lenn2">
    <w:name w:val="Členění2"/>
    <w:basedOn w:val="Normln"/>
    <w:link w:val="lenn2Char"/>
    <w:qFormat/>
    <w:rsid w:val="00B45D18"/>
    <w:pPr>
      <w:widowControl/>
      <w:numPr>
        <w:numId w:val="11"/>
      </w:numPr>
      <w:spacing w:after="240"/>
      <w:ind w:right="113"/>
      <w:contextualSpacing/>
    </w:pPr>
    <w:rPr>
      <w:rFonts w:ascii="Arial" w:hAnsi="Arial"/>
      <w:sz w:val="22"/>
    </w:rPr>
  </w:style>
  <w:style w:type="character" w:customStyle="1" w:styleId="lenn2Char">
    <w:name w:val="Členění2 Char"/>
    <w:basedOn w:val="Standardnpsmoodstavce"/>
    <w:link w:val="lenn2"/>
    <w:locked/>
    <w:rsid w:val="00B45D18"/>
    <w:rPr>
      <w:rFonts w:ascii="Arial" w:hAnsi="Arial"/>
      <w:sz w:val="22"/>
    </w:rPr>
  </w:style>
  <w:style w:type="paragraph" w:customStyle="1" w:styleId="Normlnsodsazenm">
    <w:name w:val="Normální s odsazením"/>
    <w:basedOn w:val="Normln"/>
    <w:next w:val="Normln"/>
    <w:link w:val="NormlnsodsazenmChar"/>
    <w:qFormat/>
    <w:rsid w:val="00D13347"/>
    <w:pPr>
      <w:widowControl/>
      <w:numPr>
        <w:numId w:val="13"/>
      </w:numPr>
      <w:spacing w:before="120" w:after="120"/>
      <w:jc w:val="both"/>
    </w:pPr>
    <w:rPr>
      <w:rFonts w:ascii="Arial" w:hAnsi="Arial"/>
      <w:sz w:val="22"/>
      <w:szCs w:val="24"/>
    </w:rPr>
  </w:style>
  <w:style w:type="character" w:customStyle="1" w:styleId="NormlnsodsazenmChar">
    <w:name w:val="Normální s odsazením Char"/>
    <w:basedOn w:val="Standardnpsmoodstavce"/>
    <w:link w:val="Normlnsodsazenm"/>
    <w:locked/>
    <w:rsid w:val="00D13347"/>
    <w:rPr>
      <w:rFonts w:ascii="Arial" w:hAnsi="Arial"/>
      <w:sz w:val="22"/>
      <w:szCs w:val="24"/>
    </w:rPr>
  </w:style>
  <w:style w:type="character" w:styleId="Odkaznakoment">
    <w:name w:val="annotation reference"/>
    <w:basedOn w:val="Standardnpsmoodstavce"/>
    <w:uiPriority w:val="99"/>
    <w:semiHidden/>
    <w:unhideWhenUsed/>
    <w:rsid w:val="00A073B4"/>
    <w:rPr>
      <w:sz w:val="16"/>
      <w:szCs w:val="16"/>
    </w:rPr>
  </w:style>
  <w:style w:type="paragraph" w:styleId="Textkomente">
    <w:name w:val="annotation text"/>
    <w:basedOn w:val="Normln"/>
    <w:link w:val="TextkomenteChar"/>
    <w:uiPriority w:val="99"/>
    <w:semiHidden/>
    <w:unhideWhenUsed/>
    <w:rsid w:val="00A073B4"/>
  </w:style>
  <w:style w:type="character" w:customStyle="1" w:styleId="TextkomenteChar">
    <w:name w:val="Text komentáře Char"/>
    <w:basedOn w:val="Standardnpsmoodstavce"/>
    <w:link w:val="Textkomente"/>
    <w:uiPriority w:val="99"/>
    <w:semiHidden/>
    <w:rsid w:val="00A073B4"/>
  </w:style>
  <w:style w:type="paragraph" w:styleId="Pedmtkomente">
    <w:name w:val="annotation subject"/>
    <w:basedOn w:val="Textkomente"/>
    <w:next w:val="Textkomente"/>
    <w:link w:val="PedmtkomenteChar"/>
    <w:uiPriority w:val="99"/>
    <w:semiHidden/>
    <w:unhideWhenUsed/>
    <w:rsid w:val="00A073B4"/>
    <w:rPr>
      <w:b/>
      <w:bCs/>
    </w:rPr>
  </w:style>
  <w:style w:type="character" w:customStyle="1" w:styleId="PedmtkomenteChar">
    <w:name w:val="Předmět komentáře Char"/>
    <w:basedOn w:val="TextkomenteChar"/>
    <w:link w:val="Pedmtkomente"/>
    <w:uiPriority w:val="99"/>
    <w:semiHidden/>
    <w:rsid w:val="00A073B4"/>
    <w:rPr>
      <w:b/>
      <w:bCs/>
    </w:rPr>
  </w:style>
  <w:style w:type="paragraph" w:styleId="Revize">
    <w:name w:val="Revision"/>
    <w:hidden/>
    <w:uiPriority w:val="99"/>
    <w:semiHidden/>
    <w:rsid w:val="00E96238"/>
  </w:style>
  <w:style w:type="character" w:customStyle="1" w:styleId="Nadpis1Char">
    <w:name w:val="Nadpis 1 Char"/>
    <w:basedOn w:val="Standardnpsmoodstavce"/>
    <w:link w:val="Nadpis1"/>
    <w:rsid w:val="00380795"/>
    <w:rPr>
      <w:rFonts w:ascii="Arial" w:hAnsi="Arial"/>
      <w:b/>
      <w:color w:val="000000"/>
      <w:kern w:val="28"/>
      <w:sz w:val="32"/>
    </w:rPr>
  </w:style>
  <w:style w:type="character" w:customStyle="1" w:styleId="Nadpis2Char">
    <w:name w:val="Nadpis 2 Char"/>
    <w:basedOn w:val="Standardnpsmoodstavce"/>
    <w:link w:val="Nadpis2"/>
    <w:rsid w:val="00A603E2"/>
    <w:rPr>
      <w:rFonts w:ascii="Arial" w:hAnsi="Arial"/>
      <w:color w:val="000000"/>
      <w:kern w:val="28"/>
      <w:sz w:val="22"/>
    </w:rPr>
  </w:style>
  <w:style w:type="character" w:customStyle="1" w:styleId="Zkladntextodsazen2Char">
    <w:name w:val="Základní text odsazený 2 Char"/>
    <w:basedOn w:val="Standardnpsmoodstavce"/>
    <w:link w:val="Zkladntextodsazen2"/>
    <w:rsid w:val="00AB6E1E"/>
  </w:style>
  <w:style w:type="paragraph" w:customStyle="1" w:styleId="nadpislnku">
    <w:name w:val="nadpis článku"/>
    <w:basedOn w:val="Normln"/>
    <w:next w:val="paragraf1"/>
    <w:rsid w:val="00CB43BC"/>
    <w:pPr>
      <w:widowControl/>
      <w:spacing w:before="60" w:after="120"/>
      <w:jc w:val="center"/>
    </w:pPr>
    <w:rPr>
      <w:rFonts w:ascii="Arial" w:hAnsi="Arial"/>
      <w:b/>
      <w:sz w:val="24"/>
      <w:szCs w:val="24"/>
    </w:rPr>
  </w:style>
  <w:style w:type="paragraph" w:customStyle="1" w:styleId="paragraf1">
    <w:name w:val="paragraf1"/>
    <w:basedOn w:val="Normln"/>
    <w:rsid w:val="00CB43BC"/>
    <w:pPr>
      <w:widowControl/>
      <w:spacing w:before="60" w:after="6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23217">
      <w:bodyDiv w:val="1"/>
      <w:marLeft w:val="0"/>
      <w:marRight w:val="0"/>
      <w:marTop w:val="0"/>
      <w:marBottom w:val="0"/>
      <w:divBdr>
        <w:top w:val="none" w:sz="0" w:space="0" w:color="auto"/>
        <w:left w:val="none" w:sz="0" w:space="0" w:color="auto"/>
        <w:bottom w:val="none" w:sz="0" w:space="0" w:color="auto"/>
        <w:right w:val="none" w:sz="0" w:space="0" w:color="auto"/>
      </w:divBdr>
    </w:div>
    <w:div w:id="9926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9207-B978-489B-A6A2-646B6E3D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86E890E3.dotm</Template>
  <TotalTime>4</TotalTime>
  <Pages>9</Pages>
  <Words>3009</Words>
  <Characters>17783</Characters>
  <Application>Microsoft Office Word</Application>
  <DocSecurity>0</DocSecurity>
  <Lines>425</Lines>
  <Paragraphs>190</Paragraphs>
  <ScaleCrop>false</ScaleCrop>
  <HeadingPairs>
    <vt:vector size="2" baseType="variant">
      <vt:variant>
        <vt:lpstr>Název</vt:lpstr>
      </vt:variant>
      <vt:variant>
        <vt:i4>1</vt:i4>
      </vt:variant>
    </vt:vector>
  </HeadingPairs>
  <TitlesOfParts>
    <vt:vector size="1" baseType="lpstr">
      <vt:lpstr>-</vt:lpstr>
    </vt:vector>
  </TitlesOfParts>
  <Company>COMPEKON s.r.o.</Company>
  <LinksUpToDate>false</LinksUpToDate>
  <CharactersWithSpaces>20744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817504 v1</dc:subject>
  <dc:creator>-</dc:creator>
  <cp:keywords/>
  <cp:lastModifiedBy>Tresohlavy Josef</cp:lastModifiedBy>
  <cp:revision>3</cp:revision>
  <cp:lastPrinted>2019-11-22T14:10:00Z</cp:lastPrinted>
  <dcterms:created xsi:type="dcterms:W3CDTF">2019-11-29T11:33:00Z</dcterms:created>
  <dcterms:modified xsi:type="dcterms:W3CDTF">2019-11-29T11:33:00Z</dcterms:modified>
</cp:coreProperties>
</file>