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85" w:rsidRDefault="00630285" w:rsidP="00630285">
      <w:pPr>
        <w:rPr>
          <w:rFonts w:ascii="Arial" w:hAnsi="Arial"/>
          <w:b/>
          <w:sz w:val="24"/>
        </w:rPr>
      </w:pPr>
    </w:p>
    <w:p w:rsidR="00630285" w:rsidRDefault="00630285" w:rsidP="00630285">
      <w:pPr>
        <w:pStyle w:val="Nadpis2"/>
      </w:pPr>
      <w:r>
        <w:t xml:space="preserve"> Smlouva o dílo</w:t>
      </w:r>
    </w:p>
    <w:p w:rsidR="00630285" w:rsidRDefault="00630285" w:rsidP="00630285">
      <w:pPr>
        <w:ind w:left="709"/>
        <w:rPr>
          <w:rFonts w:ascii="Arial" w:hAnsi="Arial"/>
          <w:sz w:val="24"/>
        </w:rPr>
      </w:pPr>
    </w:p>
    <w:p w:rsidR="00630285" w:rsidRDefault="00630285" w:rsidP="00630285">
      <w:pPr>
        <w:pBdr>
          <w:bottom w:val="single" w:sz="12" w:space="1" w:color="auto"/>
        </w:pBdr>
        <w:ind w:left="70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Dle  &amp;   </w:t>
      </w:r>
      <w:smartTag w:uri="urn:schemas-microsoft-com:office:smarttags" w:element="metricconverter">
        <w:smartTagPr>
          <w:attr w:name="ProductID" w:val="536 a"/>
        </w:smartTagPr>
        <w:r>
          <w:rPr>
            <w:rFonts w:ascii="Arial" w:hAnsi="Arial"/>
            <w:sz w:val="24"/>
          </w:rPr>
          <w:t>536 a</w:t>
        </w:r>
      </w:smartTag>
      <w:r>
        <w:rPr>
          <w:rFonts w:ascii="Arial" w:hAnsi="Arial"/>
          <w:sz w:val="24"/>
        </w:rPr>
        <w:t xml:space="preserve"> následujících zák. č. 513</w:t>
      </w:r>
      <w:r w:rsidRPr="00362B1A">
        <w:rPr>
          <w:rFonts w:ascii="Arial" w:hAnsi="Arial"/>
          <w:sz w:val="24"/>
        </w:rPr>
        <w:t xml:space="preserve"> / </w:t>
      </w:r>
      <w:r>
        <w:rPr>
          <w:rFonts w:ascii="Arial" w:hAnsi="Arial"/>
          <w:sz w:val="24"/>
        </w:rPr>
        <w:t xml:space="preserve">91 </w:t>
      </w:r>
      <w:proofErr w:type="gramStart"/>
      <w:r>
        <w:rPr>
          <w:rFonts w:ascii="Arial" w:hAnsi="Arial"/>
          <w:sz w:val="24"/>
        </w:rPr>
        <w:t>Sb. , uzavřená</w:t>
      </w:r>
      <w:proofErr w:type="gramEnd"/>
      <w:r>
        <w:rPr>
          <w:rFonts w:ascii="Arial" w:hAnsi="Arial"/>
          <w:sz w:val="24"/>
        </w:rPr>
        <w:t xml:space="preserve"> mezi těmito smluvními stranami :</w:t>
      </w:r>
    </w:p>
    <w:p w:rsidR="00630285" w:rsidRDefault="00630285" w:rsidP="00630285">
      <w:pPr>
        <w:ind w:left="709"/>
        <w:rPr>
          <w:rFonts w:ascii="Arial" w:hAnsi="Arial"/>
          <w:sz w:val="24"/>
        </w:rPr>
      </w:pPr>
    </w:p>
    <w:p w:rsidR="00630285" w:rsidRDefault="00630285" w:rsidP="00630285">
      <w:pPr>
        <w:ind w:left="709"/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  <w:r>
        <w:t xml:space="preserve">             </w:t>
      </w:r>
      <w:r w:rsidR="005240A9">
        <w:tab/>
      </w:r>
      <w:r w:rsidR="005240A9">
        <w:rPr>
          <w:rFonts w:ascii="Arial" w:hAnsi="Arial"/>
          <w:sz w:val="24"/>
        </w:rPr>
        <w:t>Objednatel</w:t>
      </w:r>
      <w:r>
        <w:rPr>
          <w:rFonts w:ascii="Arial" w:hAnsi="Arial"/>
          <w:sz w:val="24"/>
        </w:rPr>
        <w:t>:</w:t>
      </w:r>
      <w:r w:rsidR="005240A9">
        <w:rPr>
          <w:rFonts w:ascii="Arial" w:hAnsi="Arial"/>
          <w:sz w:val="24"/>
        </w:rPr>
        <w:t xml:space="preserve"> Základní škola a mateřská škola Český Těšín </w:t>
      </w:r>
      <w:proofErr w:type="spellStart"/>
      <w:r w:rsidR="005240A9">
        <w:rPr>
          <w:rFonts w:ascii="Arial" w:hAnsi="Arial"/>
          <w:sz w:val="24"/>
        </w:rPr>
        <w:t>Kontešinec</w:t>
      </w:r>
      <w:proofErr w:type="spellEnd"/>
      <w:r w:rsidR="005240A9">
        <w:rPr>
          <w:rFonts w:ascii="Arial" w:hAnsi="Arial"/>
          <w:sz w:val="24"/>
        </w:rPr>
        <w:t>, p. o.</w:t>
      </w:r>
      <w:r>
        <w:rPr>
          <w:rFonts w:ascii="Arial" w:hAnsi="Arial"/>
          <w:sz w:val="24"/>
        </w:rPr>
        <w:t xml:space="preserve">    </w:t>
      </w:r>
    </w:p>
    <w:p w:rsidR="00630285" w:rsidRDefault="005240A9" w:rsidP="006302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ab/>
        <w:t>Zastoupena</w:t>
      </w:r>
      <w:r w:rsidR="00630285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Mgr. Věra </w:t>
      </w:r>
      <w:proofErr w:type="spellStart"/>
      <w:r>
        <w:rPr>
          <w:rFonts w:ascii="Arial" w:hAnsi="Arial"/>
          <w:sz w:val="24"/>
        </w:rPr>
        <w:t>Gorgolová</w:t>
      </w:r>
      <w:proofErr w:type="spellEnd"/>
      <w:r w:rsidR="00630285">
        <w:rPr>
          <w:rFonts w:ascii="Arial" w:hAnsi="Arial"/>
          <w:sz w:val="24"/>
        </w:rPr>
        <w:t xml:space="preserve">   </w:t>
      </w:r>
    </w:p>
    <w:p w:rsidR="00630285" w:rsidRDefault="005240A9" w:rsidP="00630285">
      <w:pPr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Adresa: Masarykovy sady 104/21, 737 01 Český Těšín</w:t>
      </w:r>
      <w:bookmarkStart w:id="0" w:name="_GoBack"/>
      <w:bookmarkEnd w:id="0"/>
    </w:p>
    <w:p w:rsidR="00630285" w:rsidRDefault="00630285" w:rsidP="00630285">
      <w:pPr>
        <w:ind w:left="709"/>
        <w:rPr>
          <w:rFonts w:ascii="Arial" w:hAnsi="Arial"/>
          <w:sz w:val="24"/>
        </w:rPr>
      </w:pPr>
    </w:p>
    <w:p w:rsidR="00630285" w:rsidRDefault="005240A9" w:rsidP="00630285">
      <w:pPr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IČO</w:t>
      </w:r>
      <w:r w:rsidR="00630285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72 545 917</w:t>
      </w:r>
      <w:r w:rsidR="00630285">
        <w:rPr>
          <w:rFonts w:ascii="Arial" w:hAnsi="Arial"/>
          <w:sz w:val="24"/>
        </w:rPr>
        <w:t xml:space="preserve">            </w:t>
      </w:r>
    </w:p>
    <w:p w:rsidR="00630285" w:rsidRDefault="005240A9" w:rsidP="006302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  <w:r>
        <w:rPr>
          <w:rFonts w:ascii="Arial" w:hAnsi="Arial"/>
          <w:sz w:val="24"/>
        </w:rPr>
        <w:tab/>
        <w:t>DIČ</w:t>
      </w:r>
      <w:r w:rsidR="00630285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CZ72545917</w:t>
      </w:r>
    </w:p>
    <w:p w:rsidR="00630285" w:rsidRDefault="00630285" w:rsidP="00630285">
      <w:pPr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</w:t>
      </w:r>
    </w:p>
    <w:p w:rsidR="00630285" w:rsidRDefault="005240A9" w:rsidP="00630285">
      <w:pPr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Určený stavební dozor</w:t>
      </w:r>
      <w:r w:rsidR="00630285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Marcel Žebrok</w:t>
      </w:r>
      <w:r w:rsidR="00630285">
        <w:rPr>
          <w:rFonts w:ascii="Arial" w:hAnsi="Arial"/>
          <w:sz w:val="24"/>
        </w:rPr>
        <w:t xml:space="preserve">  </w:t>
      </w: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5240A9" w:rsidP="00630285">
      <w:pPr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Zhotovitel</w:t>
      </w:r>
      <w:r w:rsidR="00630285">
        <w:rPr>
          <w:rFonts w:ascii="Arial" w:hAnsi="Arial"/>
          <w:sz w:val="24"/>
        </w:rPr>
        <w:t>:</w:t>
      </w:r>
      <w:r w:rsidR="00630285">
        <w:rPr>
          <w:rFonts w:ascii="Arial" w:hAnsi="Arial"/>
          <w:sz w:val="24"/>
        </w:rPr>
        <w:tab/>
        <w:t xml:space="preserve"> Martin </w:t>
      </w:r>
      <w:proofErr w:type="spellStart"/>
      <w:r w:rsidR="00630285">
        <w:rPr>
          <w:rFonts w:ascii="Arial" w:hAnsi="Arial"/>
          <w:sz w:val="24"/>
        </w:rPr>
        <w:t>Bocek</w:t>
      </w:r>
      <w:proofErr w:type="spellEnd"/>
      <w:r w:rsidR="00630285">
        <w:rPr>
          <w:rFonts w:ascii="Arial" w:hAnsi="Arial"/>
          <w:sz w:val="24"/>
        </w:rPr>
        <w:t xml:space="preserve"> </w:t>
      </w:r>
    </w:p>
    <w:p w:rsidR="00630285" w:rsidRDefault="005240A9" w:rsidP="006302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Adresa</w:t>
      </w:r>
      <w:r w:rsidR="00630285">
        <w:rPr>
          <w:rFonts w:ascii="Arial" w:hAnsi="Arial"/>
          <w:sz w:val="24"/>
        </w:rPr>
        <w:t xml:space="preserve">: </w:t>
      </w:r>
      <w:r w:rsidR="00630285">
        <w:rPr>
          <w:rFonts w:ascii="Arial" w:hAnsi="Arial"/>
          <w:sz w:val="24"/>
        </w:rPr>
        <w:tab/>
        <w:t xml:space="preserve"> Vendryně 1094 </w:t>
      </w:r>
    </w:p>
    <w:p w:rsidR="00630285" w:rsidRDefault="005240A9" w:rsidP="00630285">
      <w:pPr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IČO</w:t>
      </w:r>
      <w:r w:rsidR="00630285">
        <w:rPr>
          <w:rFonts w:ascii="Arial" w:hAnsi="Arial"/>
          <w:sz w:val="24"/>
        </w:rPr>
        <w:t xml:space="preserve">: </w:t>
      </w:r>
      <w:r w:rsidR="00630285">
        <w:rPr>
          <w:rFonts w:ascii="Arial" w:hAnsi="Arial"/>
          <w:sz w:val="24"/>
        </w:rPr>
        <w:tab/>
      </w:r>
      <w:r w:rsidR="00630285">
        <w:rPr>
          <w:rFonts w:ascii="Arial" w:hAnsi="Arial"/>
          <w:sz w:val="24"/>
        </w:rPr>
        <w:tab/>
        <w:t xml:space="preserve"> 47197374</w:t>
      </w:r>
    </w:p>
    <w:p w:rsidR="00630285" w:rsidRDefault="005240A9" w:rsidP="00630285">
      <w:pPr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DIČ: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CZ</w:t>
      </w:r>
      <w:r w:rsidR="00630285">
        <w:rPr>
          <w:rFonts w:ascii="Arial" w:hAnsi="Arial"/>
          <w:sz w:val="24"/>
        </w:rPr>
        <w:t>7206254979</w:t>
      </w:r>
    </w:p>
    <w:p w:rsidR="00630285" w:rsidRDefault="005240A9" w:rsidP="00630285">
      <w:pPr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Zmocněný zástupce</w:t>
      </w:r>
      <w:r w:rsidR="00630285">
        <w:rPr>
          <w:rFonts w:ascii="Arial" w:hAnsi="Arial"/>
          <w:sz w:val="24"/>
        </w:rPr>
        <w:t xml:space="preserve">: Martin </w:t>
      </w:r>
      <w:proofErr w:type="spellStart"/>
      <w:r w:rsidR="00630285">
        <w:rPr>
          <w:rFonts w:ascii="Arial" w:hAnsi="Arial"/>
          <w:sz w:val="24"/>
        </w:rPr>
        <w:t>Bocek</w:t>
      </w:r>
      <w:proofErr w:type="spellEnd"/>
      <w:r w:rsidR="00630285">
        <w:rPr>
          <w:rFonts w:ascii="Arial" w:hAnsi="Arial"/>
          <w:sz w:val="24"/>
        </w:rPr>
        <w:t xml:space="preserve"> - restaurátor</w:t>
      </w:r>
    </w:p>
    <w:p w:rsidR="00630285" w:rsidRDefault="00630285" w:rsidP="00630285">
      <w:pPr>
        <w:ind w:left="709"/>
        <w:rPr>
          <w:rFonts w:ascii="Arial" w:hAnsi="Arial"/>
          <w:sz w:val="24"/>
        </w:rPr>
      </w:pPr>
    </w:p>
    <w:p w:rsidR="00630285" w:rsidRDefault="00630285" w:rsidP="00630285">
      <w:pPr>
        <w:ind w:left="709"/>
        <w:rPr>
          <w:rFonts w:ascii="Arial" w:hAnsi="Arial"/>
          <w:sz w:val="24"/>
        </w:rPr>
      </w:pPr>
    </w:p>
    <w:p w:rsidR="00630285" w:rsidRDefault="00630285" w:rsidP="00630285">
      <w:pPr>
        <w:numPr>
          <w:ilvl w:val="0"/>
          <w:numId w:val="1"/>
        </w:num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</w:t>
      </w: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pStyle w:val="Nadpis3"/>
      </w:pPr>
      <w:r>
        <w:t xml:space="preserve">Předmět a rozsah díla       </w:t>
      </w:r>
    </w:p>
    <w:p w:rsidR="00630285" w:rsidRDefault="00630285" w:rsidP="006302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</w:t>
      </w:r>
    </w:p>
    <w:p w:rsidR="00630285" w:rsidRDefault="005240A9" w:rsidP="00630285">
      <w:pPr>
        <w:pStyle w:val="Normlnweb"/>
        <w:rPr>
          <w:rFonts w:ascii="Arial" w:hAnsi="Arial" w:cs="Arial"/>
          <w:b/>
          <w:bCs/>
        </w:rPr>
      </w:pPr>
      <w:r>
        <w:t>Název</w:t>
      </w:r>
      <w:r w:rsidR="00630285" w:rsidRPr="00AD3FC2">
        <w:t xml:space="preserve">:   </w:t>
      </w:r>
      <w:r w:rsidR="00630285" w:rsidRPr="00AD3FC2">
        <w:rPr>
          <w:rFonts w:ascii="Arial" w:hAnsi="Arial" w:cs="Arial"/>
          <w:b/>
          <w:bCs/>
        </w:rPr>
        <w:t>„Restaurování</w:t>
      </w:r>
      <w:r w:rsidR="0063028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kamenných prvků vjezdové brány </w:t>
      </w:r>
      <w:proofErr w:type="spellStart"/>
      <w:r>
        <w:rPr>
          <w:rFonts w:ascii="Arial" w:hAnsi="Arial" w:cs="Arial"/>
          <w:b/>
          <w:bCs/>
        </w:rPr>
        <w:t>F</w:t>
      </w:r>
      <w:r w:rsidR="00630285">
        <w:rPr>
          <w:rFonts w:ascii="Arial" w:hAnsi="Arial" w:cs="Arial"/>
          <w:b/>
          <w:bCs/>
        </w:rPr>
        <w:t>uldovy</w:t>
      </w:r>
      <w:proofErr w:type="spellEnd"/>
      <w:r w:rsidR="00630285">
        <w:rPr>
          <w:rFonts w:ascii="Arial" w:hAnsi="Arial" w:cs="Arial"/>
          <w:b/>
          <w:bCs/>
        </w:rPr>
        <w:t xml:space="preserve"> vily v Českém Těšíně</w:t>
      </w:r>
    </w:p>
    <w:p w:rsidR="00630285" w:rsidRPr="00AD3FC2" w:rsidRDefault="00630285" w:rsidP="00630285">
      <w:pPr>
        <w:pStyle w:val="Normlnweb"/>
        <w:rPr>
          <w:sz w:val="21"/>
          <w:szCs w:val="21"/>
        </w:rPr>
      </w:pPr>
      <w:r>
        <w:rPr>
          <w:rFonts w:ascii="Arial" w:hAnsi="Arial"/>
        </w:rPr>
        <w:t xml:space="preserve">Umístění:  </w:t>
      </w:r>
      <w:r w:rsidR="005240A9">
        <w:rPr>
          <w:rFonts w:ascii="Arial" w:hAnsi="Arial"/>
        </w:rPr>
        <w:t xml:space="preserve">Masarykovy sady 77/16, 737 01 </w:t>
      </w:r>
      <w:r>
        <w:rPr>
          <w:rFonts w:ascii="Arial" w:hAnsi="Arial"/>
        </w:rPr>
        <w:t>Český Těšín</w:t>
      </w:r>
    </w:p>
    <w:p w:rsidR="00630285" w:rsidRDefault="00630285" w:rsidP="006302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Postup: v rozsahu prací uvedených v restaurátorském záměru </w:t>
      </w: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numPr>
          <w:ilvl w:val="0"/>
          <w:numId w:val="1"/>
        </w:num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</w:t>
      </w:r>
    </w:p>
    <w:p w:rsidR="00630285" w:rsidRDefault="00630285" w:rsidP="00630285">
      <w:pPr>
        <w:pStyle w:val="Nadpis3"/>
      </w:pPr>
      <w:r>
        <w:t xml:space="preserve">Termín zhotovení díla </w:t>
      </w:r>
    </w:p>
    <w:p w:rsidR="00630285" w:rsidRDefault="00630285" w:rsidP="00630285">
      <w:pPr>
        <w:pStyle w:val="Nadpis3"/>
      </w:pPr>
    </w:p>
    <w:p w:rsidR="00630285" w:rsidRDefault="00630285" w:rsidP="006302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Zahájení prací:  </w:t>
      </w:r>
      <w:proofErr w:type="gramStart"/>
      <w:r>
        <w:rPr>
          <w:rFonts w:ascii="Arial" w:hAnsi="Arial"/>
          <w:sz w:val="24"/>
        </w:rPr>
        <w:t>28.11.2019</w:t>
      </w:r>
      <w:proofErr w:type="gramEnd"/>
      <w:r>
        <w:rPr>
          <w:rFonts w:ascii="Arial" w:hAnsi="Arial"/>
          <w:sz w:val="24"/>
        </w:rPr>
        <w:t xml:space="preserve"> </w:t>
      </w:r>
    </w:p>
    <w:p w:rsidR="00630285" w:rsidRDefault="00630285" w:rsidP="006302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Ukončení prací: </w:t>
      </w:r>
      <w:proofErr w:type="gramStart"/>
      <w:r>
        <w:rPr>
          <w:rFonts w:ascii="Arial" w:hAnsi="Arial"/>
          <w:sz w:val="24"/>
        </w:rPr>
        <w:t>20.12.2019</w:t>
      </w:r>
      <w:proofErr w:type="gramEnd"/>
    </w:p>
    <w:p w:rsidR="00630285" w:rsidRDefault="00630285" w:rsidP="006302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Změny předmětu díla i případné smluvní důsledky  přijatých změn budou řešeny mezi smluvními stranami samostatným písemným dodatkem.</w:t>
      </w: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numPr>
          <w:ilvl w:val="0"/>
          <w:numId w:val="1"/>
        </w:num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  </w:t>
      </w:r>
    </w:p>
    <w:p w:rsidR="00630285" w:rsidRDefault="00630285" w:rsidP="00630285">
      <w:pPr>
        <w:pStyle w:val="Nadpis3"/>
      </w:pPr>
      <w:r>
        <w:t xml:space="preserve">Cena a platební podmínky     </w:t>
      </w:r>
    </w:p>
    <w:p w:rsidR="00630285" w:rsidRDefault="00630285" w:rsidP="00630285">
      <w:pPr>
        <w:rPr>
          <w:rFonts w:ascii="Arial" w:hAnsi="Arial"/>
          <w:b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Objednatel se zavazuje zaplatit zhotoviteli za řádně provedené dílo </w:t>
      </w:r>
      <w:r w:rsidRPr="00362B1A">
        <w:rPr>
          <w:rFonts w:ascii="Arial" w:hAnsi="Arial"/>
          <w:sz w:val="24"/>
        </w:rPr>
        <w:t>/po spl</w:t>
      </w:r>
      <w:r>
        <w:rPr>
          <w:rFonts w:ascii="Arial" w:hAnsi="Arial"/>
          <w:sz w:val="24"/>
        </w:rPr>
        <w:t>nění všech povinností vyplývajících zhotoviteli z této smlouvy</w:t>
      </w:r>
      <w:r w:rsidRPr="00362B1A">
        <w:rPr>
          <w:rFonts w:ascii="Arial" w:hAnsi="Arial"/>
          <w:sz w:val="24"/>
        </w:rPr>
        <w:t>/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pevnou smluvní cenu </w:t>
      </w:r>
      <w:r w:rsidR="005240A9">
        <w:rPr>
          <w:rFonts w:ascii="Arial" w:hAnsi="Arial"/>
          <w:sz w:val="24"/>
        </w:rPr>
        <w:t xml:space="preserve">stanovenou dohodou ve </w:t>
      </w:r>
      <w:proofErr w:type="gramStart"/>
      <w:r w:rsidR="005240A9">
        <w:rPr>
          <w:rFonts w:ascii="Arial" w:hAnsi="Arial"/>
          <w:sz w:val="24"/>
        </w:rPr>
        <w:t>výši : 182 608,70</w:t>
      </w:r>
      <w:r>
        <w:rPr>
          <w:rFonts w:ascii="Arial" w:hAnsi="Arial"/>
          <w:sz w:val="24"/>
        </w:rPr>
        <w:t>,</w:t>
      </w:r>
      <w:proofErr w:type="gramEnd"/>
      <w:r>
        <w:rPr>
          <w:rFonts w:ascii="Arial" w:hAnsi="Arial"/>
          <w:sz w:val="24"/>
        </w:rPr>
        <w:t>-Kč bez DPH</w:t>
      </w: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Celková ce</w:t>
      </w:r>
      <w:r w:rsidR="005240A9">
        <w:rPr>
          <w:rFonts w:ascii="Arial" w:hAnsi="Arial"/>
          <w:sz w:val="24"/>
        </w:rPr>
        <w:t xml:space="preserve">na díla včetně DPH </w:t>
      </w:r>
      <w:proofErr w:type="gramStart"/>
      <w:r w:rsidR="005240A9">
        <w:rPr>
          <w:rFonts w:ascii="Arial" w:hAnsi="Arial"/>
          <w:sz w:val="24"/>
        </w:rPr>
        <w:t>15% : 210 000</w:t>
      </w:r>
      <w:r>
        <w:rPr>
          <w:rFonts w:ascii="Arial" w:hAnsi="Arial"/>
          <w:sz w:val="24"/>
        </w:rPr>
        <w:t>,</w:t>
      </w:r>
      <w:proofErr w:type="gramEnd"/>
      <w:r>
        <w:rPr>
          <w:rFonts w:ascii="Arial" w:hAnsi="Arial"/>
          <w:sz w:val="24"/>
        </w:rPr>
        <w:t xml:space="preserve">-Kč    </w:t>
      </w: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Cena dle této smlouvy je cenou obvyklou dle </w:t>
      </w:r>
      <w:r w:rsidRPr="00362B1A">
        <w:rPr>
          <w:rFonts w:ascii="Arial" w:hAnsi="Arial"/>
          <w:sz w:val="24"/>
        </w:rPr>
        <w:t xml:space="preserve">&amp; </w:t>
      </w:r>
      <w:r>
        <w:rPr>
          <w:rFonts w:ascii="Arial" w:hAnsi="Arial"/>
          <w:sz w:val="24"/>
        </w:rPr>
        <w:t xml:space="preserve">49b., </w:t>
      </w:r>
      <w:proofErr w:type="spellStart"/>
      <w:proofErr w:type="gramStart"/>
      <w:r>
        <w:rPr>
          <w:rFonts w:ascii="Arial" w:hAnsi="Arial"/>
          <w:sz w:val="24"/>
        </w:rPr>
        <w:t>zák</w:t>
      </w:r>
      <w:proofErr w:type="spellEnd"/>
      <w:r>
        <w:rPr>
          <w:rFonts w:ascii="Arial" w:hAnsi="Arial"/>
          <w:sz w:val="24"/>
        </w:rPr>
        <w:t xml:space="preserve"> .199</w:t>
      </w:r>
      <w:proofErr w:type="gramEnd"/>
      <w:r>
        <w:rPr>
          <w:rFonts w:ascii="Arial" w:hAnsi="Arial"/>
          <w:sz w:val="24"/>
        </w:rPr>
        <w:t xml:space="preserve"> </w:t>
      </w:r>
      <w:r w:rsidRPr="00362B1A">
        <w:rPr>
          <w:rFonts w:ascii="Arial" w:hAnsi="Arial"/>
          <w:sz w:val="24"/>
        </w:rPr>
        <w:t xml:space="preserve">/ </w:t>
      </w:r>
      <w:r>
        <w:rPr>
          <w:rFonts w:ascii="Arial" w:hAnsi="Arial"/>
          <w:sz w:val="24"/>
        </w:rPr>
        <w:t>94 Sb.</w:t>
      </w: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 provedení díla a protokolárním předání díla uhradí objednatel na základě konečné faktury zhotovitele dohodnutou cenu bezhotovostním převodem na účet zhotovitele.  Splatnost vys</w:t>
      </w:r>
      <w:r w:rsidR="005240A9">
        <w:rPr>
          <w:rFonts w:ascii="Arial" w:hAnsi="Arial"/>
          <w:sz w:val="24"/>
        </w:rPr>
        <w:t>tavené faktury je dohodnuta na 1</w:t>
      </w:r>
      <w:r w:rsidR="004B320A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0 dnů od data jejího vystavení.</w:t>
      </w:r>
    </w:p>
    <w:p w:rsidR="00630285" w:rsidRDefault="00630285" w:rsidP="006302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Konečná faktura musí mít veškeré náležitosti daňového dokladu.</w:t>
      </w: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jc w:val="center"/>
        <w:rPr>
          <w:rFonts w:ascii="Arial" w:hAnsi="Arial"/>
          <w:sz w:val="24"/>
        </w:rPr>
      </w:pPr>
    </w:p>
    <w:p w:rsidR="00630285" w:rsidRDefault="00630285" w:rsidP="00630285">
      <w:pPr>
        <w:numPr>
          <w:ilvl w:val="0"/>
          <w:numId w:val="1"/>
        </w:num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</w:t>
      </w:r>
    </w:p>
    <w:p w:rsidR="00630285" w:rsidRDefault="00630285" w:rsidP="00630285">
      <w:pPr>
        <w:pStyle w:val="Nadpis3"/>
      </w:pPr>
      <w:r>
        <w:t xml:space="preserve">Závazky smluvních stran     </w:t>
      </w: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b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Zhotovitel se </w:t>
      </w:r>
      <w:proofErr w:type="gramStart"/>
      <w:r>
        <w:rPr>
          <w:rFonts w:ascii="Arial" w:hAnsi="Arial"/>
          <w:sz w:val="24"/>
        </w:rPr>
        <w:t>zavazuje :</w:t>
      </w:r>
      <w:proofErr w:type="gramEnd"/>
      <w:r>
        <w:rPr>
          <w:rFonts w:ascii="Arial" w:hAnsi="Arial"/>
          <w:sz w:val="24"/>
        </w:rPr>
        <w:t xml:space="preserve">              </w:t>
      </w: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Umožnit objednateli provádět  technický dozor v průběhu rozpracovanosti.</w:t>
      </w:r>
    </w:p>
    <w:p w:rsidR="00630285" w:rsidRDefault="00630285" w:rsidP="00630285">
      <w:pPr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Provádět práce za podmínek uvedených v této smlouvě. </w:t>
      </w:r>
    </w:p>
    <w:p w:rsidR="005240A9" w:rsidRDefault="005240A9" w:rsidP="00630285">
      <w:pPr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Konzultovat prováděné práce se zástupcem NPÚ Ostrava. </w:t>
      </w: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numPr>
          <w:ilvl w:val="0"/>
          <w:numId w:val="1"/>
        </w:num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</w:t>
      </w:r>
    </w:p>
    <w:p w:rsidR="00630285" w:rsidRDefault="00630285" w:rsidP="00630285">
      <w:pPr>
        <w:pStyle w:val="Nadpis3"/>
      </w:pPr>
      <w:r>
        <w:t xml:space="preserve">Smluvní sankce   </w:t>
      </w:r>
    </w:p>
    <w:p w:rsidR="00630285" w:rsidRPr="00630285" w:rsidRDefault="00630285" w:rsidP="00630285"/>
    <w:p w:rsidR="00630285" w:rsidRDefault="00630285" w:rsidP="00630285">
      <w:pPr>
        <w:pStyle w:val="Zkladntext"/>
        <w:numPr>
          <w:ilvl w:val="0"/>
          <w:numId w:val="3"/>
        </w:numPr>
      </w:pPr>
      <w:r>
        <w:t>Pro nedodržení termínu dokončení restaurátorských prací se stanoví smluvní pokuta</w:t>
      </w:r>
      <w:r w:rsidR="005240A9">
        <w:t xml:space="preserve"> ve výši 0,1 % ze sjednané </w:t>
      </w:r>
      <w:proofErr w:type="spellStart"/>
      <w:proofErr w:type="gramStart"/>
      <w:r w:rsidR="005240A9">
        <w:t>ceny</w:t>
      </w:r>
      <w:r>
        <w:t>,a</w:t>
      </w:r>
      <w:proofErr w:type="spellEnd"/>
      <w:r>
        <w:t xml:space="preserve"> to</w:t>
      </w:r>
      <w:proofErr w:type="gramEnd"/>
      <w:r>
        <w:t xml:space="preserve"> za každý započatý den prodlení. Bude </w:t>
      </w:r>
      <w:proofErr w:type="spellStart"/>
      <w:r>
        <w:t>li</w:t>
      </w:r>
      <w:proofErr w:type="spellEnd"/>
      <w:r>
        <w:t xml:space="preserve"> prodlení zaviněno objednatelem, nebude smluvní pokuta za dobu prodlení účtována. Pokutu je zhotovitel povinen uhradit do 10 dnů od doručení jejího vyúčtování  </w:t>
      </w:r>
    </w:p>
    <w:p w:rsidR="00630285" w:rsidRDefault="00630285" w:rsidP="00630285">
      <w:pPr>
        <w:numPr>
          <w:ilvl w:val="0"/>
          <w:numId w:val="3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 prodlení s úhradou předložených faktur se stanoví úrok z prodlení ve výši 0,1% z fakturované částky za každý den prodlení.    </w:t>
      </w:r>
    </w:p>
    <w:p w:rsidR="00630285" w:rsidRDefault="00630285" w:rsidP="00630285">
      <w:pPr>
        <w:numPr>
          <w:ilvl w:val="0"/>
          <w:numId w:val="3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 případě poškození či zničení díla je zhotovitel povinen uhradit škodu v plné výši stanovené odhadcem na kulturní památky. Pokud je možné škody odstranit, je zhotovitel povinen napravit škodu neprodleně po zjištění skutečnosti bez nároků na finanční vyrovnání.      </w:t>
      </w: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numPr>
          <w:ilvl w:val="0"/>
          <w:numId w:val="1"/>
        </w:numPr>
        <w:jc w:val="center"/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pStyle w:val="Nadpis3"/>
      </w:pPr>
      <w:r>
        <w:t xml:space="preserve">Záruka zhotovitele    </w:t>
      </w:r>
    </w:p>
    <w:p w:rsidR="00630285" w:rsidRDefault="00630285" w:rsidP="00630285">
      <w:pPr>
        <w:rPr>
          <w:rFonts w:ascii="Arial" w:hAnsi="Arial"/>
          <w:b/>
          <w:sz w:val="24"/>
        </w:rPr>
      </w:pPr>
    </w:p>
    <w:p w:rsidR="00630285" w:rsidRDefault="00630285" w:rsidP="00630285">
      <w:pPr>
        <w:numPr>
          <w:ilvl w:val="0"/>
          <w:numId w:val="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Za případné vady díla odpovídá zhotovitel v rozsahu záruky.</w:t>
      </w:r>
    </w:p>
    <w:p w:rsidR="00630285" w:rsidRDefault="00630285" w:rsidP="00630285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Záruka na restaurování díla se sjednává v délce trvání 5 roků, přičemž doba začíná běžet ode dne převzetí díla objednatelem.   </w:t>
      </w:r>
    </w:p>
    <w:p w:rsidR="00630285" w:rsidRDefault="00630285" w:rsidP="006302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 O převzetí díla bude sepsán „zápis o předání a převzetí díla“, jež bude potvrzen podpisy smluvních stran.    </w:t>
      </w: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numPr>
          <w:ilvl w:val="0"/>
          <w:numId w:val="1"/>
        </w:num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</w:t>
      </w:r>
    </w:p>
    <w:p w:rsidR="00630285" w:rsidRDefault="00630285" w:rsidP="00630285">
      <w:pPr>
        <w:pStyle w:val="Nadpis3"/>
      </w:pPr>
      <w:r>
        <w:t xml:space="preserve">Závěrečná ustanovení       </w:t>
      </w:r>
    </w:p>
    <w:p w:rsidR="00630285" w:rsidRDefault="00630285" w:rsidP="00630285">
      <w:pPr>
        <w:pStyle w:val="Zkladntext"/>
      </w:pPr>
    </w:p>
    <w:p w:rsidR="00630285" w:rsidRDefault="00630285" w:rsidP="00630285">
      <w:pPr>
        <w:pStyle w:val="Zkladntext"/>
      </w:pPr>
      <w:r>
        <w:t>Tuto smlouvu lze doplnit, změnit nebo zrušit pouze písemným oboustranným ujednáním smluvních stran, podepsaným oprávněnými zást</w:t>
      </w:r>
      <w:r w:rsidR="005240A9">
        <w:t>upci. Smluvní strany prohlašují</w:t>
      </w:r>
      <w:r>
        <w:t>, že se seznámily s obsahem této smlouvy, že tato smlouva byla jimi přečtena, schválena a oprávněnými zástupci podepsána.</w:t>
      </w: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Tato smlouva je vyhotovena ve </w:t>
      </w:r>
      <w:r w:rsidR="005240A9">
        <w:rPr>
          <w:rFonts w:ascii="Arial" w:hAnsi="Arial"/>
          <w:sz w:val="24"/>
        </w:rPr>
        <w:t>dvou stejnopisech</w:t>
      </w:r>
      <w:r>
        <w:rPr>
          <w:rFonts w:ascii="Arial" w:hAnsi="Arial"/>
          <w:sz w:val="24"/>
        </w:rPr>
        <w:t>.</w:t>
      </w: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Ve Vendryni  dne 26.11.2019</w:t>
      </w: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</w:p>
    <w:p w:rsidR="00630285" w:rsidRDefault="00630285" w:rsidP="006302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 objednatele___________________             Za zhotovitele___________________</w:t>
      </w:r>
    </w:p>
    <w:p w:rsidR="00451A26" w:rsidRDefault="00451A26"/>
    <w:sectPr w:rsidR="00451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2A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16421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1979FA"/>
    <w:multiLevelType w:val="hybridMultilevel"/>
    <w:tmpl w:val="BE9C1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001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63AE448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53"/>
    <w:rsid w:val="0002272F"/>
    <w:rsid w:val="00451A26"/>
    <w:rsid w:val="004B320A"/>
    <w:rsid w:val="005240A9"/>
    <w:rsid w:val="00630285"/>
    <w:rsid w:val="00F9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238662"/>
  <w15:docId w15:val="{E085CB34-53EC-4046-AC40-E8480897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30285"/>
    <w:pPr>
      <w:keepNext/>
      <w:ind w:left="709"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630285"/>
    <w:pPr>
      <w:keepNext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30285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30285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30285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630285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028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3028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0A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Marcel Žebrok</cp:lastModifiedBy>
  <cp:revision>2</cp:revision>
  <cp:lastPrinted>2019-11-26T13:10:00Z</cp:lastPrinted>
  <dcterms:created xsi:type="dcterms:W3CDTF">2019-11-29T13:21:00Z</dcterms:created>
  <dcterms:modified xsi:type="dcterms:W3CDTF">2019-11-29T13:21:00Z</dcterms:modified>
</cp:coreProperties>
</file>