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02" w:rsidRDefault="00586A02" w:rsidP="00586A02">
      <w:pPr>
        <w:keepLines/>
        <w:spacing w:after="0" w:line="320" w:lineRule="exact"/>
        <w:jc w:val="center"/>
        <w:rPr>
          <w:rFonts w:ascii="Times New Roman" w:hAnsi="Times New Roman" w:cs="Times New Roman"/>
          <w:b/>
          <w:iCs/>
          <w:sz w:val="28"/>
          <w:szCs w:val="28"/>
        </w:rPr>
      </w:pPr>
      <w:r>
        <w:rPr>
          <w:rFonts w:ascii="Times New Roman" w:hAnsi="Times New Roman" w:cs="Times New Roman"/>
          <w:b/>
          <w:iCs/>
          <w:sz w:val="28"/>
          <w:szCs w:val="28"/>
        </w:rPr>
        <w:t>Kupní smlouva</w:t>
      </w:r>
    </w:p>
    <w:p w:rsidR="003675C5" w:rsidRDefault="003675C5" w:rsidP="00586A02">
      <w:pPr>
        <w:keepLines/>
        <w:spacing w:after="0" w:line="320" w:lineRule="exact"/>
        <w:jc w:val="center"/>
        <w:rPr>
          <w:rFonts w:ascii="Times New Roman" w:hAnsi="Times New Roman" w:cs="Times New Roman"/>
          <w:b/>
          <w:iCs/>
          <w:sz w:val="28"/>
          <w:szCs w:val="28"/>
        </w:rPr>
      </w:pPr>
    </w:p>
    <w:p w:rsidR="00586A02" w:rsidRDefault="00586A02" w:rsidP="00586A02">
      <w:pPr>
        <w:keepLines/>
        <w:spacing w:after="0" w:line="320" w:lineRule="exact"/>
        <w:jc w:val="both"/>
        <w:rPr>
          <w:rFonts w:ascii="Times New Roman" w:hAnsi="Times New Roman" w:cs="Times New Roman"/>
          <w:iCs/>
          <w:sz w:val="22"/>
          <w:szCs w:val="22"/>
        </w:rPr>
      </w:pPr>
      <w:r>
        <w:rPr>
          <w:rFonts w:ascii="Times New Roman" w:hAnsi="Times New Roman" w:cs="Times New Roman"/>
          <w:iCs/>
          <w:sz w:val="22"/>
          <w:szCs w:val="22"/>
        </w:rPr>
        <w:t>uzavřená dle ustanovení § 2079 a násl. zákona č. 89/2012 Sb., občanský zákoník ve znění pozdějších předpisů (dále jen „občanský zákoník“), mezi smluvními stranami, kterými jsou:</w:t>
      </w:r>
    </w:p>
    <w:p w:rsidR="001A05A2" w:rsidRDefault="001A05A2" w:rsidP="00586A02">
      <w:pPr>
        <w:tabs>
          <w:tab w:val="left" w:pos="360"/>
        </w:tabs>
        <w:spacing w:after="0" w:line="320" w:lineRule="exact"/>
        <w:jc w:val="both"/>
        <w:rPr>
          <w:rFonts w:ascii="Times New Roman" w:hAnsi="Times New Roman" w:cs="Times New Roman"/>
          <w:b/>
          <w:sz w:val="22"/>
          <w:szCs w:val="22"/>
        </w:rPr>
      </w:pPr>
    </w:p>
    <w:p w:rsidR="00586A02" w:rsidRDefault="00251056" w:rsidP="00586A02">
      <w:pPr>
        <w:tabs>
          <w:tab w:val="left" w:pos="360"/>
        </w:tabs>
        <w:spacing w:after="0" w:line="320" w:lineRule="exact"/>
        <w:jc w:val="both"/>
        <w:rPr>
          <w:rFonts w:ascii="Times New Roman" w:hAnsi="Times New Roman" w:cs="Times New Roman"/>
          <w:b/>
          <w:sz w:val="22"/>
          <w:szCs w:val="22"/>
        </w:rPr>
      </w:pPr>
      <w:r w:rsidRPr="00251056">
        <w:rPr>
          <w:rFonts w:ascii="Times New Roman" w:hAnsi="Times New Roman" w:cs="Times New Roman"/>
          <w:b/>
          <w:sz w:val="22"/>
          <w:szCs w:val="22"/>
        </w:rPr>
        <w:t>Masarykova obchodní akademie</w:t>
      </w:r>
      <w:r w:rsidR="00BF29B5">
        <w:rPr>
          <w:rFonts w:ascii="Times New Roman" w:hAnsi="Times New Roman" w:cs="Times New Roman"/>
          <w:b/>
          <w:sz w:val="22"/>
          <w:szCs w:val="22"/>
        </w:rPr>
        <w:t>, Jičín, 17. listopadu 220</w:t>
      </w:r>
    </w:p>
    <w:p w:rsidR="00586A02" w:rsidRDefault="00251056" w:rsidP="00586A02">
      <w:pPr>
        <w:tabs>
          <w:tab w:val="left" w:pos="360"/>
        </w:tabs>
        <w:spacing w:after="0" w:line="320" w:lineRule="exact"/>
        <w:jc w:val="both"/>
        <w:rPr>
          <w:rFonts w:ascii="Times New Roman" w:hAnsi="Times New Roman" w:cs="Times New Roman"/>
          <w:sz w:val="22"/>
          <w:szCs w:val="22"/>
        </w:rPr>
      </w:pPr>
      <w:r w:rsidRPr="00251056">
        <w:rPr>
          <w:rFonts w:ascii="Times New Roman" w:hAnsi="Times New Roman" w:cs="Times New Roman"/>
          <w:sz w:val="22"/>
          <w:szCs w:val="22"/>
        </w:rPr>
        <w:t>17. listopadu 220</w:t>
      </w:r>
      <w:r w:rsidR="00586A02">
        <w:rPr>
          <w:rFonts w:ascii="Times New Roman" w:hAnsi="Times New Roman" w:cs="Times New Roman"/>
          <w:sz w:val="22"/>
          <w:szCs w:val="22"/>
        </w:rPr>
        <w:t xml:space="preserve">, </w:t>
      </w:r>
      <w:proofErr w:type="gramStart"/>
      <w:r w:rsidRPr="00251056">
        <w:rPr>
          <w:rFonts w:ascii="Times New Roman" w:hAnsi="Times New Roman" w:cs="Times New Roman"/>
          <w:sz w:val="22"/>
          <w:szCs w:val="22"/>
        </w:rPr>
        <w:t>506 11  Jičín</w:t>
      </w:r>
      <w:proofErr w:type="gramEnd"/>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IČ: </w:t>
      </w:r>
      <w:r w:rsidR="00251056" w:rsidRPr="00251056">
        <w:rPr>
          <w:rFonts w:ascii="Times New Roman" w:hAnsi="Times New Roman" w:cs="Times New Roman"/>
          <w:sz w:val="22"/>
          <w:szCs w:val="22"/>
        </w:rPr>
        <w:t>60116935</w:t>
      </w:r>
      <w:r>
        <w:rPr>
          <w:rFonts w:ascii="Times New Roman" w:hAnsi="Times New Roman" w:cs="Times New Roman"/>
          <w:sz w:val="22"/>
          <w:szCs w:val="22"/>
        </w:rPr>
        <w:tab/>
      </w:r>
    </w:p>
    <w:p w:rsidR="00586A02" w:rsidRDefault="00251056"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DIČ:</w:t>
      </w:r>
      <w:r w:rsidR="00EB14EA">
        <w:rPr>
          <w:rFonts w:ascii="Times New Roman" w:hAnsi="Times New Roman" w:cs="Times New Roman"/>
          <w:sz w:val="22"/>
          <w:szCs w:val="22"/>
        </w:rPr>
        <w:t xml:space="preserve"> </w:t>
      </w:r>
      <w:r w:rsidR="00EB14EA" w:rsidRPr="00EB14EA">
        <w:rPr>
          <w:rFonts w:ascii="Times New Roman" w:hAnsi="Times New Roman" w:cs="Times New Roman"/>
          <w:sz w:val="22"/>
          <w:szCs w:val="22"/>
        </w:rPr>
        <w:t>neplátce DPH</w:t>
      </w:r>
    </w:p>
    <w:p w:rsidR="00586A02" w:rsidRDefault="00586A02" w:rsidP="004225FD">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bankovní spojení: </w:t>
      </w:r>
      <w:r w:rsidR="004225FD">
        <w:rPr>
          <w:rFonts w:ascii="Times New Roman" w:hAnsi="Times New Roman" w:cs="Times New Roman"/>
          <w:sz w:val="22"/>
          <w:szCs w:val="22"/>
        </w:rPr>
        <w:t xml:space="preserve">KB Jičín, číslo účtu: </w:t>
      </w:r>
    </w:p>
    <w:p w:rsidR="00586A02" w:rsidRPr="005F144C" w:rsidRDefault="00251056" w:rsidP="00586A02">
      <w:pPr>
        <w:tabs>
          <w:tab w:val="left" w:pos="360"/>
        </w:tabs>
        <w:spacing w:after="0" w:line="320" w:lineRule="exact"/>
        <w:jc w:val="both"/>
        <w:rPr>
          <w:rFonts w:ascii="Times New Roman" w:hAnsi="Times New Roman" w:cs="Times New Roman"/>
          <w:b/>
          <w:bCs/>
        </w:rPr>
      </w:pPr>
      <w:r>
        <w:rPr>
          <w:rFonts w:ascii="Times New Roman" w:hAnsi="Times New Roman" w:cs="Times New Roman"/>
          <w:sz w:val="22"/>
          <w:szCs w:val="22"/>
        </w:rPr>
        <w:t>ředitel školy:</w:t>
      </w:r>
      <w:r w:rsidRPr="00251056">
        <w:rPr>
          <w:rFonts w:ascii="Times New Roman" w:hAnsi="Times New Roman" w:cs="Times New Roman"/>
          <w:sz w:val="22"/>
          <w:szCs w:val="22"/>
        </w:rPr>
        <w:t xml:space="preserve"> Ing.</w:t>
      </w:r>
      <w:r>
        <w:rPr>
          <w:rFonts w:ascii="Times New Roman" w:hAnsi="Times New Roman" w:cs="Times New Roman"/>
          <w:sz w:val="22"/>
          <w:szCs w:val="22"/>
        </w:rPr>
        <w:t xml:space="preserve"> </w:t>
      </w:r>
      <w:r w:rsidRPr="00251056">
        <w:rPr>
          <w:rFonts w:ascii="Times New Roman" w:hAnsi="Times New Roman" w:cs="Times New Roman"/>
          <w:sz w:val="22"/>
          <w:szCs w:val="22"/>
        </w:rPr>
        <w:t>Tajč J</w:t>
      </w:r>
      <w:r w:rsidR="00BF29B5">
        <w:rPr>
          <w:rFonts w:ascii="Times New Roman" w:hAnsi="Times New Roman" w:cs="Times New Roman"/>
          <w:sz w:val="22"/>
          <w:szCs w:val="22"/>
        </w:rPr>
        <w:t>i</w:t>
      </w:r>
      <w:r w:rsidRPr="00251056">
        <w:rPr>
          <w:rFonts w:ascii="Times New Roman" w:hAnsi="Times New Roman" w:cs="Times New Roman"/>
          <w:sz w:val="22"/>
          <w:szCs w:val="22"/>
        </w:rPr>
        <w:t>ří</w:t>
      </w: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kupující</w:t>
      </w:r>
      <w:r>
        <w:rPr>
          <w:rFonts w:ascii="Times New Roman" w:hAnsi="Times New Roman" w:cs="Times New Roman"/>
          <w:sz w:val="22"/>
          <w:szCs w:val="22"/>
        </w:rPr>
        <w:t>“)</w:t>
      </w:r>
    </w:p>
    <w:p w:rsidR="001A05A2" w:rsidRDefault="001A05A2" w:rsidP="00586A02">
      <w:pPr>
        <w:tabs>
          <w:tab w:val="left" w:pos="360"/>
        </w:tabs>
        <w:spacing w:after="0" w:line="320" w:lineRule="exact"/>
        <w:jc w:val="both"/>
        <w:rPr>
          <w:rFonts w:ascii="Times New Roman" w:hAnsi="Times New Roman" w:cs="Times New Roman"/>
          <w:sz w:val="22"/>
          <w:szCs w:val="22"/>
        </w:rPr>
      </w:pP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a</w:t>
      </w:r>
    </w:p>
    <w:p w:rsidR="001A05A2" w:rsidRDefault="003915A3" w:rsidP="003915A3">
      <w:pPr>
        <w:tabs>
          <w:tab w:val="left" w:pos="360"/>
        </w:tabs>
        <w:spacing w:after="0"/>
        <w:jc w:val="both"/>
        <w:rPr>
          <w:rFonts w:ascii="Times New Roman" w:hAnsi="Times New Roman" w:cs="Times New Roman"/>
          <w:b/>
          <w:sz w:val="22"/>
          <w:szCs w:val="22"/>
        </w:rPr>
      </w:pPr>
      <w:r>
        <w:rPr>
          <w:rFonts w:ascii="Times New Roman" w:hAnsi="Times New Roman" w:cs="Times New Roman"/>
          <w:b/>
          <w:sz w:val="22"/>
          <w:szCs w:val="22"/>
        </w:rPr>
        <w:t>T-E-V Pardubice, s.r.o.</w:t>
      </w:r>
    </w:p>
    <w:p w:rsidR="003915A3" w:rsidRDefault="003915A3" w:rsidP="003915A3">
      <w:pPr>
        <w:tabs>
          <w:tab w:val="left" w:pos="360"/>
        </w:tabs>
        <w:spacing w:after="0"/>
        <w:jc w:val="both"/>
        <w:rPr>
          <w:rFonts w:ascii="Times New Roman" w:hAnsi="Times New Roman" w:cs="Times New Roman"/>
          <w:b/>
          <w:sz w:val="22"/>
          <w:szCs w:val="22"/>
        </w:rPr>
      </w:pPr>
      <w:proofErr w:type="spellStart"/>
      <w:r>
        <w:rPr>
          <w:rFonts w:ascii="Times New Roman" w:hAnsi="Times New Roman" w:cs="Times New Roman"/>
          <w:b/>
          <w:sz w:val="22"/>
          <w:szCs w:val="22"/>
        </w:rPr>
        <w:t>Fáblovka</w:t>
      </w:r>
      <w:proofErr w:type="spellEnd"/>
      <w:r>
        <w:rPr>
          <w:rFonts w:ascii="Times New Roman" w:hAnsi="Times New Roman" w:cs="Times New Roman"/>
          <w:b/>
          <w:sz w:val="22"/>
          <w:szCs w:val="22"/>
        </w:rPr>
        <w:t xml:space="preserve"> 404, </w:t>
      </w:r>
      <w:proofErr w:type="gramStart"/>
      <w:r>
        <w:rPr>
          <w:rFonts w:ascii="Times New Roman" w:hAnsi="Times New Roman" w:cs="Times New Roman"/>
          <w:b/>
          <w:sz w:val="22"/>
          <w:szCs w:val="22"/>
        </w:rPr>
        <w:t>533 52  Pardubice</w:t>
      </w:r>
      <w:proofErr w:type="gramEnd"/>
      <w:r>
        <w:rPr>
          <w:rFonts w:ascii="Times New Roman" w:hAnsi="Times New Roman" w:cs="Times New Roman"/>
          <w:b/>
          <w:sz w:val="22"/>
          <w:szCs w:val="22"/>
        </w:rPr>
        <w:t xml:space="preserve"> </w:t>
      </w:r>
    </w:p>
    <w:p w:rsid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IČ: 28785878</w:t>
      </w:r>
    </w:p>
    <w:p w:rsid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DIČ: CZ2878587</w:t>
      </w:r>
    </w:p>
    <w:p w:rsid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 xml:space="preserve">Bankovní spojení: </w:t>
      </w:r>
    </w:p>
    <w:p w:rsid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 xml:space="preserve">Jednající: </w:t>
      </w:r>
    </w:p>
    <w:p w:rsid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Společnost je zapsána v Obchodním rejstříku Krajského soudu v Hradci Králové, oddíl C, vložka 27297.</w:t>
      </w:r>
    </w:p>
    <w:p w:rsidR="003915A3" w:rsidRPr="003915A3" w:rsidRDefault="003915A3" w:rsidP="003915A3">
      <w:pPr>
        <w:tabs>
          <w:tab w:val="left" w:pos="360"/>
        </w:tabs>
        <w:spacing w:after="0"/>
        <w:jc w:val="both"/>
        <w:rPr>
          <w:rFonts w:ascii="Times New Roman" w:hAnsi="Times New Roman" w:cs="Times New Roman"/>
          <w:sz w:val="22"/>
          <w:szCs w:val="22"/>
        </w:rPr>
      </w:pPr>
      <w:r>
        <w:rPr>
          <w:rFonts w:ascii="Times New Roman" w:hAnsi="Times New Roman" w:cs="Times New Roman"/>
          <w:sz w:val="22"/>
          <w:szCs w:val="22"/>
        </w:rPr>
        <w:t>(dále jen „</w:t>
      </w:r>
      <w:r w:rsidRPr="003915A3">
        <w:rPr>
          <w:rFonts w:ascii="Times New Roman" w:hAnsi="Times New Roman" w:cs="Times New Roman"/>
          <w:b/>
          <w:sz w:val="22"/>
          <w:szCs w:val="22"/>
        </w:rPr>
        <w:t>prodávají</w:t>
      </w:r>
      <w:r>
        <w:rPr>
          <w:rFonts w:ascii="Times New Roman" w:hAnsi="Times New Roman" w:cs="Times New Roman"/>
          <w:b/>
          <w:sz w:val="22"/>
          <w:szCs w:val="22"/>
        </w:rPr>
        <w:t>cí“</w:t>
      </w:r>
      <w:r>
        <w:rPr>
          <w:rFonts w:ascii="Times New Roman" w:hAnsi="Times New Roman" w:cs="Times New Roman"/>
          <w:sz w:val="22"/>
          <w:szCs w:val="22"/>
        </w:rPr>
        <w:t>)</w:t>
      </w:r>
    </w:p>
    <w:p w:rsidR="001A05A2" w:rsidRDefault="001A05A2" w:rsidP="00586A02">
      <w:pPr>
        <w:pStyle w:val="Adresa"/>
        <w:keepLines/>
        <w:tabs>
          <w:tab w:val="left" w:pos="2268"/>
        </w:tabs>
        <w:spacing w:line="320" w:lineRule="exact"/>
        <w:ind w:left="0"/>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 Předmět smlouvy</w:t>
      </w:r>
    </w:p>
    <w:p w:rsidR="00586A02" w:rsidRDefault="00586A02" w:rsidP="00586A02">
      <w:pPr>
        <w:keepLines/>
        <w:numPr>
          <w:ilvl w:val="0"/>
          <w:numId w:val="1"/>
        </w:numPr>
        <w:tabs>
          <w:tab w:val="clear" w:pos="0"/>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Předmětem této smlouvy je závazek prodávajícího odevzdat kupujícímu zboží, které je předmětem koupě a umožnit kupujícímu nabytí vlastnického práva k tomuto zboží, jakož i</w:t>
      </w:r>
      <w:r w:rsidR="00213523">
        <w:rPr>
          <w:rFonts w:ascii="Times New Roman" w:hAnsi="Times New Roman" w:cs="Times New Roman"/>
          <w:sz w:val="22"/>
          <w:szCs w:val="22"/>
        </w:rPr>
        <w:t> </w:t>
      </w:r>
      <w:r>
        <w:rPr>
          <w:rFonts w:ascii="Times New Roman" w:hAnsi="Times New Roman" w:cs="Times New Roman"/>
          <w:sz w:val="22"/>
          <w:szCs w:val="22"/>
        </w:rPr>
        <w:t>závazek kupujícího zboží převzít a zaplatit za něj prodávajícímu sjednanou kupní cenu; to vše za podmínek níže v této smlouvě dohodnutých.</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II. Zboží a cena</w:t>
      </w:r>
    </w:p>
    <w:p w:rsidR="00586A02" w:rsidRDefault="00586A02" w:rsidP="00586A02">
      <w:pPr>
        <w:keepLines/>
        <w:numPr>
          <w:ilvl w:val="1"/>
          <w:numId w:val="1"/>
        </w:numPr>
        <w:tabs>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 účely této smlouvy se zbo</w:t>
      </w:r>
      <w:r w:rsidR="00FF7F01">
        <w:rPr>
          <w:rFonts w:ascii="Times New Roman" w:hAnsi="Times New Roman" w:cs="Times New Roman"/>
          <w:sz w:val="22"/>
          <w:szCs w:val="22"/>
        </w:rPr>
        <w:t xml:space="preserve">žím rozumí </w:t>
      </w:r>
      <w:r w:rsidR="003915A3">
        <w:rPr>
          <w:rFonts w:ascii="Times New Roman" w:hAnsi="Times New Roman" w:cs="Times New Roman"/>
          <w:sz w:val="22"/>
          <w:szCs w:val="22"/>
        </w:rPr>
        <w:t xml:space="preserve">LCD dataprojektor </w:t>
      </w:r>
      <w:proofErr w:type="spellStart"/>
      <w:r w:rsidR="003915A3">
        <w:rPr>
          <w:rFonts w:ascii="Times New Roman" w:hAnsi="Times New Roman" w:cs="Times New Roman"/>
          <w:sz w:val="22"/>
          <w:szCs w:val="22"/>
        </w:rPr>
        <w:t>Hitachi</w:t>
      </w:r>
      <w:proofErr w:type="spellEnd"/>
      <w:r w:rsidR="003915A3">
        <w:rPr>
          <w:rFonts w:ascii="Times New Roman" w:hAnsi="Times New Roman" w:cs="Times New Roman"/>
          <w:sz w:val="22"/>
          <w:szCs w:val="22"/>
        </w:rPr>
        <w:t xml:space="preserve"> CP-EX302N EDU </w:t>
      </w:r>
      <w:r w:rsidR="00D02DC4">
        <w:rPr>
          <w:rFonts w:ascii="Times New Roman" w:hAnsi="Times New Roman" w:cs="Times New Roman"/>
          <w:sz w:val="22"/>
          <w:szCs w:val="22"/>
        </w:rPr>
        <w:t xml:space="preserve">v počtu </w:t>
      </w:r>
      <w:r w:rsidR="006D547C">
        <w:rPr>
          <w:rFonts w:ascii="Times New Roman" w:hAnsi="Times New Roman" w:cs="Times New Roman"/>
          <w:sz w:val="22"/>
          <w:szCs w:val="22"/>
        </w:rPr>
        <w:t xml:space="preserve">5 kusů, instalace 1 ks dataprojektoru </w:t>
      </w:r>
      <w:proofErr w:type="spellStart"/>
      <w:r w:rsidR="006D547C">
        <w:rPr>
          <w:rFonts w:ascii="Times New Roman" w:hAnsi="Times New Roman" w:cs="Times New Roman"/>
          <w:sz w:val="22"/>
          <w:szCs w:val="22"/>
        </w:rPr>
        <w:t>Hitachi</w:t>
      </w:r>
      <w:proofErr w:type="spellEnd"/>
      <w:r w:rsidR="006D547C">
        <w:rPr>
          <w:rFonts w:ascii="Times New Roman" w:hAnsi="Times New Roman" w:cs="Times New Roman"/>
          <w:sz w:val="22"/>
          <w:szCs w:val="22"/>
        </w:rPr>
        <w:t xml:space="preserve">. </w:t>
      </w:r>
    </w:p>
    <w:p w:rsidR="001A05A2" w:rsidRDefault="00586A02" w:rsidP="001A05A2">
      <w:pPr>
        <w:keepLines/>
        <w:numPr>
          <w:ilvl w:val="1"/>
          <w:numId w:val="1"/>
        </w:numPr>
        <w:tabs>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Ceny zboží jsou sjednány jako nejvýše přípustné a konečné (vyjma případů, kdy po podpisu této smlouvy dojde ke změně sazeb DPH), přičemž zahrnují veškeré náklady prodávajícího nezbytné pro splnění jeho povinností z této smlouvy, zejména náklady na dopravu zboží a úhradu jakýchkoliv správních či celních poplatků.</w:t>
      </w:r>
    </w:p>
    <w:p w:rsidR="00586A02" w:rsidRDefault="00586A02" w:rsidP="001A05A2">
      <w:pPr>
        <w:keepLines/>
        <w:tabs>
          <w:tab w:val="num" w:pos="1440"/>
        </w:tabs>
        <w:spacing w:after="0" w:line="320" w:lineRule="exact"/>
        <w:ind w:left="426"/>
        <w:jc w:val="both"/>
        <w:rPr>
          <w:rFonts w:ascii="Times New Roman" w:hAnsi="Times New Roman" w:cs="Times New Roman"/>
          <w:sz w:val="22"/>
          <w:szCs w:val="22"/>
        </w:rPr>
      </w:pPr>
    </w:p>
    <w:p w:rsidR="00A8270D" w:rsidRDefault="00A8270D" w:rsidP="001A05A2">
      <w:pPr>
        <w:keepLines/>
        <w:tabs>
          <w:tab w:val="num" w:pos="1440"/>
        </w:tabs>
        <w:spacing w:after="0" w:line="320" w:lineRule="exact"/>
        <w:ind w:left="426"/>
        <w:jc w:val="both"/>
        <w:rPr>
          <w:rFonts w:ascii="Times New Roman" w:hAnsi="Times New Roman" w:cs="Times New Roman"/>
          <w:sz w:val="22"/>
          <w:szCs w:val="22"/>
        </w:rPr>
      </w:pPr>
    </w:p>
    <w:p w:rsidR="00AB257B" w:rsidRDefault="00AB257B" w:rsidP="001A05A2">
      <w:pPr>
        <w:keepLines/>
        <w:tabs>
          <w:tab w:val="num" w:pos="1440"/>
        </w:tabs>
        <w:spacing w:after="0" w:line="320" w:lineRule="exact"/>
        <w:ind w:left="426"/>
        <w:jc w:val="both"/>
        <w:rPr>
          <w:rFonts w:ascii="Times New Roman" w:hAnsi="Times New Roman" w:cs="Times New Roman"/>
          <w:sz w:val="22"/>
          <w:szCs w:val="22"/>
        </w:rPr>
      </w:pPr>
    </w:p>
    <w:p w:rsidR="00AB257B" w:rsidRPr="001A05A2" w:rsidRDefault="00AB257B" w:rsidP="001A05A2">
      <w:pPr>
        <w:keepLines/>
        <w:tabs>
          <w:tab w:val="num" w:pos="1440"/>
        </w:tabs>
        <w:spacing w:after="0" w:line="320" w:lineRule="exact"/>
        <w:ind w:left="426"/>
        <w:jc w:val="both"/>
        <w:rPr>
          <w:rFonts w:ascii="Times New Roman" w:hAnsi="Times New Roman" w:cs="Times New Roman"/>
          <w:sz w:val="22"/>
          <w:szCs w:val="22"/>
        </w:rPr>
      </w:pPr>
    </w:p>
    <w:tbl>
      <w:tblPr>
        <w:tblW w:w="0" w:type="auto"/>
        <w:tblInd w:w="534" w:type="dxa"/>
        <w:tblLook w:val="01E0" w:firstRow="1" w:lastRow="1" w:firstColumn="1" w:lastColumn="1" w:noHBand="0" w:noVBand="0"/>
      </w:tblPr>
      <w:tblGrid>
        <w:gridCol w:w="2796"/>
        <w:gridCol w:w="1110"/>
        <w:gridCol w:w="2316"/>
        <w:gridCol w:w="2316"/>
      </w:tblGrid>
      <w:tr w:rsidR="00D02DC4" w:rsidTr="00586A02">
        <w:tc>
          <w:tcPr>
            <w:tcW w:w="2835" w:type="dxa"/>
            <w:hideMark/>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Název položky</w:t>
            </w:r>
          </w:p>
        </w:tc>
        <w:tc>
          <w:tcPr>
            <w:tcW w:w="1134" w:type="dxa"/>
          </w:tcPr>
          <w:p w:rsidR="00586A02" w:rsidRDefault="00586A02">
            <w:pPr>
              <w:spacing w:after="0" w:line="320" w:lineRule="exact"/>
              <w:jc w:val="both"/>
              <w:rPr>
                <w:rFonts w:ascii="Times New Roman" w:hAnsi="Times New Roman" w:cs="Times New Roman"/>
                <w:sz w:val="22"/>
                <w:szCs w:val="22"/>
              </w:rPr>
            </w:pPr>
          </w:p>
        </w:tc>
        <w:tc>
          <w:tcPr>
            <w:tcW w:w="2353" w:type="dxa"/>
            <w:hideMark/>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cena celkem za zboží dle přílohy bez DPH</w:t>
            </w:r>
          </w:p>
        </w:tc>
        <w:tc>
          <w:tcPr>
            <w:tcW w:w="2354" w:type="dxa"/>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cena celkem za zboží dle přílohy vč. DPH</w:t>
            </w:r>
          </w:p>
          <w:p w:rsidR="00586A02" w:rsidRDefault="00586A02">
            <w:pPr>
              <w:spacing w:after="0" w:line="320" w:lineRule="exact"/>
              <w:jc w:val="both"/>
              <w:rPr>
                <w:rFonts w:ascii="Times New Roman" w:hAnsi="Times New Roman" w:cs="Times New Roman"/>
                <w:sz w:val="22"/>
                <w:szCs w:val="22"/>
              </w:rPr>
            </w:pPr>
          </w:p>
        </w:tc>
      </w:tr>
      <w:tr w:rsidR="00D02DC4" w:rsidTr="00586A02">
        <w:tc>
          <w:tcPr>
            <w:tcW w:w="2835" w:type="dxa"/>
            <w:hideMark/>
          </w:tcPr>
          <w:p w:rsidR="00586A02" w:rsidRDefault="00D02DC4" w:rsidP="00D02DC4">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LCD dataprojektor </w:t>
            </w:r>
            <w:proofErr w:type="spellStart"/>
            <w:r>
              <w:rPr>
                <w:rFonts w:ascii="Times New Roman" w:hAnsi="Times New Roman" w:cs="Times New Roman"/>
                <w:sz w:val="22"/>
                <w:szCs w:val="22"/>
              </w:rPr>
              <w:t>Hitachi</w:t>
            </w:r>
            <w:proofErr w:type="spellEnd"/>
            <w:r>
              <w:rPr>
                <w:rFonts w:ascii="Times New Roman" w:hAnsi="Times New Roman" w:cs="Times New Roman"/>
                <w:sz w:val="22"/>
                <w:szCs w:val="22"/>
              </w:rPr>
              <w:t xml:space="preserve"> CP-EX302N EDU – 5 ks</w:t>
            </w:r>
          </w:p>
        </w:tc>
        <w:tc>
          <w:tcPr>
            <w:tcW w:w="1134" w:type="dxa"/>
          </w:tcPr>
          <w:p w:rsidR="00586A02" w:rsidRDefault="00586A02">
            <w:pPr>
              <w:spacing w:after="0" w:line="320" w:lineRule="exact"/>
              <w:jc w:val="both"/>
              <w:rPr>
                <w:rFonts w:ascii="Times New Roman" w:hAnsi="Times New Roman" w:cs="Times New Roman"/>
                <w:sz w:val="22"/>
                <w:szCs w:val="22"/>
              </w:rPr>
            </w:pPr>
          </w:p>
        </w:tc>
        <w:tc>
          <w:tcPr>
            <w:tcW w:w="2353" w:type="dxa"/>
            <w:hideMark/>
          </w:tcPr>
          <w:p w:rsidR="00586A02" w:rsidRPr="003C4BDC" w:rsidRDefault="00D02DC4" w:rsidP="00D02DC4">
            <w:pPr>
              <w:spacing w:after="0" w:line="320" w:lineRule="exact"/>
              <w:jc w:val="both"/>
              <w:rPr>
                <w:rFonts w:ascii="Times New Roman" w:hAnsi="Times New Roman" w:cs="Times New Roman"/>
                <w:b/>
                <w:sz w:val="22"/>
                <w:szCs w:val="22"/>
              </w:rPr>
            </w:pPr>
            <w:r>
              <w:rPr>
                <w:rFonts w:ascii="Times New Roman" w:hAnsi="Times New Roman" w:cs="Times New Roman"/>
                <w:b/>
                <w:sz w:val="22"/>
                <w:szCs w:val="22"/>
              </w:rPr>
              <w:t>66.000,-</w:t>
            </w:r>
          </w:p>
        </w:tc>
        <w:tc>
          <w:tcPr>
            <w:tcW w:w="2354" w:type="dxa"/>
            <w:hideMark/>
          </w:tcPr>
          <w:p w:rsidR="00586A02" w:rsidRPr="003C4BDC" w:rsidRDefault="00D02DC4">
            <w:pPr>
              <w:spacing w:after="0" w:line="320" w:lineRule="exact"/>
              <w:jc w:val="both"/>
              <w:rPr>
                <w:rFonts w:ascii="Times New Roman" w:hAnsi="Times New Roman" w:cs="Times New Roman"/>
                <w:b/>
                <w:sz w:val="22"/>
                <w:szCs w:val="22"/>
              </w:rPr>
            </w:pPr>
            <w:r>
              <w:rPr>
                <w:rFonts w:ascii="Times New Roman" w:hAnsi="Times New Roman" w:cs="Times New Roman"/>
                <w:b/>
                <w:sz w:val="22"/>
                <w:szCs w:val="22"/>
              </w:rPr>
              <w:t>79.860</w:t>
            </w:r>
            <w:r w:rsidR="00FB3E62" w:rsidRPr="003C4BDC">
              <w:rPr>
                <w:rFonts w:ascii="Times New Roman" w:hAnsi="Times New Roman" w:cs="Times New Roman"/>
                <w:b/>
                <w:sz w:val="22"/>
                <w:szCs w:val="22"/>
              </w:rPr>
              <w:t xml:space="preserve">,- </w:t>
            </w:r>
            <w:r w:rsidR="00586A02" w:rsidRPr="003C4BDC">
              <w:rPr>
                <w:rFonts w:ascii="Times New Roman" w:hAnsi="Times New Roman" w:cs="Times New Roman"/>
                <w:b/>
                <w:sz w:val="22"/>
                <w:szCs w:val="22"/>
              </w:rPr>
              <w:t>Kč</w:t>
            </w:r>
          </w:p>
        </w:tc>
      </w:tr>
    </w:tbl>
    <w:p w:rsidR="00106C54" w:rsidRDefault="00D02DC4" w:rsidP="00586A02">
      <w:pPr>
        <w:keepNext/>
        <w:spacing w:after="0" w:line="320" w:lineRule="exact"/>
        <w:ind w:left="425"/>
        <w:jc w:val="both"/>
        <w:rPr>
          <w:rFonts w:ascii="Times New Roman" w:hAnsi="Times New Roman" w:cs="Times New Roman"/>
          <w:b/>
          <w:sz w:val="22"/>
          <w:szCs w:val="22"/>
        </w:rPr>
      </w:pPr>
      <w:r w:rsidRPr="00D02DC4">
        <w:rPr>
          <w:rFonts w:ascii="Times New Roman" w:hAnsi="Times New Roman" w:cs="Times New Roman"/>
          <w:sz w:val="22"/>
          <w:szCs w:val="22"/>
        </w:rPr>
        <w:lastRenderedPageBreak/>
        <w:t xml:space="preserve">Instalace 1 ks dataprojektoru </w:t>
      </w:r>
      <w:proofErr w:type="spellStart"/>
      <w:r w:rsidRPr="00D02DC4">
        <w:rPr>
          <w:rFonts w:ascii="Times New Roman" w:hAnsi="Times New Roman" w:cs="Times New Roman"/>
          <w:sz w:val="22"/>
          <w:szCs w:val="22"/>
        </w:rPr>
        <w:t>Hitachi</w:t>
      </w:r>
      <w:proofErr w:type="spellEnd"/>
      <w:r>
        <w:rPr>
          <w:rFonts w:ascii="Times New Roman" w:hAnsi="Times New Roman" w:cs="Times New Roman"/>
          <w:sz w:val="22"/>
          <w:szCs w:val="22"/>
        </w:rPr>
        <w:tab/>
      </w:r>
      <w:r>
        <w:rPr>
          <w:rFonts w:ascii="Times New Roman" w:hAnsi="Times New Roman" w:cs="Times New Roman"/>
          <w:sz w:val="22"/>
          <w:szCs w:val="22"/>
        </w:rPr>
        <w:tab/>
      </w:r>
      <w:r w:rsidRPr="00D02DC4">
        <w:rPr>
          <w:rFonts w:ascii="Times New Roman" w:hAnsi="Times New Roman" w:cs="Times New Roman"/>
          <w:b/>
          <w:sz w:val="22"/>
          <w:szCs w:val="22"/>
        </w:rPr>
        <w:t>3.500,-</w:t>
      </w:r>
      <w:r w:rsidRPr="00D02DC4">
        <w:rPr>
          <w:rFonts w:ascii="Times New Roman" w:hAnsi="Times New Roman" w:cs="Times New Roman"/>
          <w:b/>
          <w:sz w:val="22"/>
          <w:szCs w:val="22"/>
        </w:rPr>
        <w:tab/>
      </w:r>
      <w:r w:rsidRPr="00D02DC4">
        <w:rPr>
          <w:rFonts w:ascii="Times New Roman" w:hAnsi="Times New Roman" w:cs="Times New Roman"/>
          <w:b/>
          <w:sz w:val="22"/>
          <w:szCs w:val="22"/>
        </w:rPr>
        <w:tab/>
      </w:r>
      <w:r w:rsidRPr="00D02DC4">
        <w:rPr>
          <w:rFonts w:ascii="Times New Roman" w:hAnsi="Times New Roman" w:cs="Times New Roman"/>
          <w:b/>
          <w:sz w:val="22"/>
          <w:szCs w:val="22"/>
        </w:rPr>
        <w:tab/>
        <w:t>4.235,-</w:t>
      </w:r>
      <w:r>
        <w:rPr>
          <w:rFonts w:ascii="Times New Roman" w:hAnsi="Times New Roman" w:cs="Times New Roman"/>
          <w:b/>
          <w:sz w:val="22"/>
          <w:szCs w:val="22"/>
        </w:rPr>
        <w:t xml:space="preserve"> Kč</w:t>
      </w:r>
    </w:p>
    <w:p w:rsidR="00D02DC4" w:rsidRPr="00D02DC4" w:rsidRDefault="00D02DC4" w:rsidP="00586A02">
      <w:pPr>
        <w:keepNext/>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(přesun držáku, úprava rozvodů, instalační materiál, dopravné)</w:t>
      </w:r>
    </w:p>
    <w:p w:rsidR="00586A02" w:rsidRPr="00D02DC4" w:rsidRDefault="00586A02" w:rsidP="00586A02">
      <w:pPr>
        <w:keepNext/>
        <w:spacing w:after="0" w:line="320" w:lineRule="exact"/>
        <w:ind w:left="425"/>
        <w:jc w:val="both"/>
        <w:rPr>
          <w:rFonts w:ascii="Times New Roman" w:hAnsi="Times New Roman" w:cs="Times New Roman"/>
          <w:b/>
          <w:sz w:val="22"/>
          <w:szCs w:val="22"/>
        </w:rPr>
      </w:pPr>
      <w:r w:rsidRPr="00D02DC4">
        <w:rPr>
          <w:rFonts w:ascii="Times New Roman" w:hAnsi="Times New Roman" w:cs="Times New Roman"/>
          <w:b/>
          <w:sz w:val="22"/>
          <w:szCs w:val="22"/>
        </w:rPr>
        <w:t>Cena:</w:t>
      </w:r>
    </w:p>
    <w:p w:rsidR="00586A02" w:rsidRDefault="00586A02"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Celkem bez DPH: </w:t>
      </w:r>
      <w:r>
        <w:rPr>
          <w:rFonts w:ascii="Times New Roman" w:hAnsi="Times New Roman" w:cs="Times New Roman"/>
          <w:sz w:val="22"/>
          <w:szCs w:val="22"/>
        </w:rPr>
        <w:tab/>
      </w:r>
      <w:r w:rsidR="00D02DC4">
        <w:rPr>
          <w:rFonts w:ascii="Times New Roman" w:hAnsi="Times New Roman" w:cs="Times New Roman"/>
          <w:sz w:val="22"/>
          <w:szCs w:val="22"/>
        </w:rPr>
        <w:t>69.500</w:t>
      </w:r>
      <w:r w:rsidR="00A8270D">
        <w:rPr>
          <w:rFonts w:ascii="Times New Roman" w:hAnsi="Times New Roman" w:cs="Times New Roman"/>
          <w:sz w:val="22"/>
          <w:szCs w:val="22"/>
        </w:rPr>
        <w:t>,-</w:t>
      </w:r>
      <w:r>
        <w:rPr>
          <w:rFonts w:ascii="Times New Roman" w:hAnsi="Times New Roman" w:cs="Times New Roman"/>
          <w:sz w:val="22"/>
          <w:szCs w:val="22"/>
        </w:rPr>
        <w:t xml:space="preserve"> Kč</w:t>
      </w:r>
    </w:p>
    <w:p w:rsidR="00586A02" w:rsidRDefault="00CB21CC"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21% DPH:             </w:t>
      </w:r>
      <w:r w:rsidR="00D02DC4">
        <w:rPr>
          <w:rFonts w:ascii="Times New Roman" w:hAnsi="Times New Roman" w:cs="Times New Roman"/>
          <w:sz w:val="22"/>
          <w:szCs w:val="22"/>
        </w:rPr>
        <w:t>14.595,-</w:t>
      </w:r>
      <w:r w:rsidR="00A8270D">
        <w:rPr>
          <w:rFonts w:ascii="Times New Roman" w:hAnsi="Times New Roman" w:cs="Times New Roman"/>
          <w:sz w:val="22"/>
          <w:szCs w:val="22"/>
        </w:rPr>
        <w:t xml:space="preserve"> </w:t>
      </w:r>
      <w:r w:rsidR="00586A02">
        <w:rPr>
          <w:rFonts w:ascii="Times New Roman" w:hAnsi="Times New Roman" w:cs="Times New Roman"/>
          <w:sz w:val="22"/>
          <w:szCs w:val="22"/>
        </w:rPr>
        <w:t>Kč</w:t>
      </w:r>
    </w:p>
    <w:p w:rsidR="00586A02" w:rsidRDefault="00586A02"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Celkem s </w:t>
      </w:r>
      <w:proofErr w:type="gramStart"/>
      <w:r>
        <w:rPr>
          <w:rFonts w:ascii="Times New Roman" w:hAnsi="Times New Roman" w:cs="Times New Roman"/>
          <w:sz w:val="22"/>
          <w:szCs w:val="22"/>
        </w:rPr>
        <w:t xml:space="preserve">DPH :     </w:t>
      </w:r>
      <w:r w:rsidR="00D14C48">
        <w:rPr>
          <w:rFonts w:ascii="Times New Roman" w:hAnsi="Times New Roman" w:cs="Times New Roman"/>
          <w:sz w:val="22"/>
          <w:szCs w:val="22"/>
        </w:rPr>
        <w:t>84.095,</w:t>
      </w:r>
      <w:proofErr w:type="gramEnd"/>
      <w:r w:rsidR="00D14C48">
        <w:rPr>
          <w:rFonts w:ascii="Times New Roman" w:hAnsi="Times New Roman" w:cs="Times New Roman"/>
          <w:sz w:val="22"/>
          <w:szCs w:val="22"/>
        </w:rPr>
        <w:t>-</w:t>
      </w:r>
      <w:r w:rsidR="00A8270D">
        <w:rPr>
          <w:rFonts w:ascii="Times New Roman" w:hAnsi="Times New Roman" w:cs="Times New Roman"/>
          <w:sz w:val="22"/>
          <w:szCs w:val="22"/>
        </w:rPr>
        <w:t xml:space="preserve"> </w:t>
      </w:r>
      <w:r>
        <w:rPr>
          <w:rFonts w:ascii="Times New Roman" w:hAnsi="Times New Roman" w:cs="Times New Roman"/>
          <w:sz w:val="22"/>
          <w:szCs w:val="22"/>
        </w:rPr>
        <w:t xml:space="preserve"> Kč (slovy: </w:t>
      </w:r>
      <w:proofErr w:type="spellStart"/>
      <w:r w:rsidR="00D14C48">
        <w:rPr>
          <w:rFonts w:ascii="Times New Roman" w:hAnsi="Times New Roman" w:cs="Times New Roman"/>
          <w:sz w:val="22"/>
          <w:szCs w:val="22"/>
        </w:rPr>
        <w:t>osmdesátčtyřitisícdevadesátpět</w:t>
      </w:r>
      <w:proofErr w:type="spellEnd"/>
      <w:r>
        <w:rPr>
          <w:rFonts w:ascii="Times New Roman" w:hAnsi="Times New Roman" w:cs="Times New Roman"/>
          <w:sz w:val="22"/>
          <w:szCs w:val="22"/>
        </w:rPr>
        <w:t xml:space="preserve"> korun českých)</w:t>
      </w:r>
    </w:p>
    <w:p w:rsidR="00586A02" w:rsidRDefault="00586A02" w:rsidP="00586A02">
      <w:pPr>
        <w:spacing w:after="0" w:line="320" w:lineRule="exact"/>
        <w:ind w:left="425"/>
        <w:jc w:val="both"/>
        <w:rPr>
          <w:rFonts w:ascii="Times New Roman" w:hAnsi="Times New Roman" w:cs="Times New Roman"/>
          <w:sz w:val="22"/>
          <w:szCs w:val="22"/>
        </w:rPr>
      </w:pPr>
    </w:p>
    <w:p w:rsidR="00106C54" w:rsidRDefault="00106C54" w:rsidP="00586A02">
      <w:pPr>
        <w:spacing w:after="0" w:line="320" w:lineRule="exact"/>
        <w:ind w:left="425"/>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III. Další podmínky plnění, místo a termín plnění</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Prodávající splní svou povinnost dodat zboží dodáním zboží včetně související dokumentace (zejména návodu k obsluze v českém jazyce). O dodání zboží bude stranami pořízen protokol, který podepíší oprávnění zástupci obou smluvních stran (dále jen „</w:t>
      </w:r>
      <w:r>
        <w:rPr>
          <w:rFonts w:ascii="Times New Roman" w:hAnsi="Times New Roman" w:cs="Times New Roman"/>
          <w:b/>
          <w:sz w:val="22"/>
          <w:szCs w:val="22"/>
        </w:rPr>
        <w:t>protokol</w:t>
      </w:r>
      <w:r>
        <w:rPr>
          <w:rFonts w:ascii="Times New Roman" w:hAnsi="Times New Roman" w:cs="Times New Roman"/>
          <w:sz w:val="22"/>
          <w:szCs w:val="22"/>
        </w:rPr>
        <w:t xml:space="preserve">“). </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Místem plnění (dodání zboží) je shora uvedené sídlo kupujícího.</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Prodávající je povinen dodat zboží nejpozději do </w:t>
      </w:r>
      <w:r w:rsidR="006D547C">
        <w:rPr>
          <w:rFonts w:ascii="Times New Roman" w:hAnsi="Times New Roman" w:cs="Times New Roman"/>
          <w:sz w:val="22"/>
          <w:szCs w:val="22"/>
        </w:rPr>
        <w:t>23</w:t>
      </w:r>
      <w:r w:rsidR="0052578A">
        <w:rPr>
          <w:rFonts w:ascii="Times New Roman" w:hAnsi="Times New Roman" w:cs="Times New Roman"/>
          <w:sz w:val="22"/>
          <w:szCs w:val="22"/>
        </w:rPr>
        <w:t xml:space="preserve">. </w:t>
      </w:r>
      <w:r w:rsidR="006D547C">
        <w:rPr>
          <w:rFonts w:ascii="Times New Roman" w:hAnsi="Times New Roman" w:cs="Times New Roman"/>
          <w:sz w:val="22"/>
          <w:szCs w:val="22"/>
        </w:rPr>
        <w:t>prosince</w:t>
      </w:r>
      <w:r>
        <w:rPr>
          <w:rFonts w:ascii="Times New Roman" w:hAnsi="Times New Roman" w:cs="Times New Roman"/>
          <w:sz w:val="22"/>
          <w:szCs w:val="22"/>
        </w:rPr>
        <w:t xml:space="preserve"> 2016.</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IV. Platební podmínky</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Splatnost faktury je </w:t>
      </w:r>
      <w:r w:rsidR="00B02DF3">
        <w:rPr>
          <w:rFonts w:ascii="Times New Roman" w:hAnsi="Times New Roman" w:cs="Times New Roman"/>
          <w:sz w:val="22"/>
          <w:szCs w:val="22"/>
        </w:rPr>
        <w:t>14</w:t>
      </w:r>
      <w:r>
        <w:rPr>
          <w:rFonts w:ascii="Times New Roman" w:hAnsi="Times New Roman" w:cs="Times New Roman"/>
          <w:sz w:val="22"/>
          <w:szCs w:val="22"/>
        </w:rPr>
        <w:t xml:space="preserve"> dnů od jejího doručení kupujícímu. Faktura bude uhrazena bezhotovostním převodem na účet prodávajícího uvedený na faktuře. Kupující neposkytuje zálohy.</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V případě pochybností se má za to, že faktura byla uhrazena dnem odepsání příslušné částky z</w:t>
      </w:r>
      <w:r w:rsidR="00B02DF3">
        <w:rPr>
          <w:rFonts w:ascii="Times New Roman" w:hAnsi="Times New Roman" w:cs="Times New Roman"/>
          <w:sz w:val="22"/>
          <w:szCs w:val="22"/>
        </w:rPr>
        <w:t> </w:t>
      </w:r>
      <w:r>
        <w:rPr>
          <w:rFonts w:ascii="Times New Roman" w:hAnsi="Times New Roman" w:cs="Times New Roman"/>
          <w:sz w:val="22"/>
          <w:szCs w:val="22"/>
        </w:rPr>
        <w:t>účtu kupujícího ve prospěch účtu prodávajícího uvedeného na faktuře.</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 Odpovědnost a záruka</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Prodávající odpovídá za vady, které má zboží v době jeho předání a dále v rámci poskytnuté záruky za vady zjištěné po celou dobu záruční lhůty. Prodávající prohlašuje a zavazuje se, že zboží bude dodáno jako nové a nepoužité a že na něm neváznou žádné faktické ani právní vady (tj. zejména práva třetích osob).</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Prodávající poskytuje kupujícímu záruku a zavazuje se, že zboží bude mít po dobu záruční lhůty vlastnosti stanovené touto smlouvou, příslušnými právními předpisy a normami, případně vlastnosti obvyklé a že bude plně použitelné ke sjednanému účelu</w:t>
      </w:r>
      <w:r w:rsidR="006D547C">
        <w:rPr>
          <w:rFonts w:ascii="Times New Roman" w:hAnsi="Times New Roman" w:cs="Times New Roman"/>
          <w:sz w:val="22"/>
          <w:szCs w:val="22"/>
        </w:rPr>
        <w:t>.</w:t>
      </w:r>
      <w:r>
        <w:rPr>
          <w:rFonts w:ascii="Times New Roman" w:hAnsi="Times New Roman" w:cs="Times New Roman"/>
          <w:sz w:val="22"/>
          <w:szCs w:val="22"/>
        </w:rPr>
        <w:t xml:space="preserve">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Záruční doba běží počínaje oboustranným podpisem protokolu a činí 24 měsíců. Délka záruční doby se automaticky prodlužuje o počet dnů uplynulých od ohlášení vady do jejího odstranění.</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Záruka  se nevztahuje na poškození zboží způsobené kupujícím neodborným zásahem nebo nesprávnou obsluhou a dále na škody způsobené zásahem třetí osoby a vyšší mocí.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Smluvní strany se dohodly, že v případě, že zboží bude v průběhu záruční doby vykazovat vady, jedná se o podstatné porušení smlouvy. </w:t>
      </w:r>
    </w:p>
    <w:p w:rsidR="00B86964"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lastRenderedPageBreak/>
        <w:t>Pro vyloučení pochybností se konstatuj</w:t>
      </w:r>
      <w:r w:rsidR="00B02DF3">
        <w:rPr>
          <w:rFonts w:ascii="Times New Roman" w:hAnsi="Times New Roman" w:cs="Times New Roman"/>
          <w:sz w:val="22"/>
          <w:szCs w:val="22"/>
        </w:rPr>
        <w:t>e, že se smluvní strany dohodly</w:t>
      </w:r>
      <w:r w:rsidR="00B86964">
        <w:rPr>
          <w:rFonts w:ascii="Times New Roman" w:hAnsi="Times New Roman" w:cs="Times New Roman"/>
          <w:sz w:val="22"/>
          <w:szCs w:val="22"/>
        </w:rPr>
        <w:t>,</w:t>
      </w:r>
      <w:r>
        <w:rPr>
          <w:rFonts w:ascii="Times New Roman" w:hAnsi="Times New Roman" w:cs="Times New Roman"/>
          <w:sz w:val="22"/>
          <w:szCs w:val="22"/>
        </w:rPr>
        <w:t xml:space="preserve"> tak, že kupující je oprávněn reklamovat vady zboží kdykoliv během záruční doby, a to bez ohledu na to, kdy vady zjistí nebo je měl zjistit. To však nezbavuje kupujícího povinnosti oznámit vadu bez zbytečného odkladu poté, co ji zjistil. Reklamaci odešle kupující písemně na adresu sídla prodávajícího, </w:t>
      </w:r>
    </w:p>
    <w:p w:rsidR="00586A02" w:rsidRDefault="00586A02" w:rsidP="00B86964">
      <w:pPr>
        <w:keepLine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či e-mailem na výše uvedenou e-mailovou adresu, přičemž způsobu volba přísluší kupujícímu. V reklamaci musí být vada popsána včetně toho, jak se projevuje.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K reklamované vadě kryté zárukou je prodávající povinen provést servisní zásah do 14</w:t>
      </w:r>
      <w:r w:rsidR="00B86964">
        <w:rPr>
          <w:rFonts w:ascii="Times New Roman" w:hAnsi="Times New Roman" w:cs="Times New Roman"/>
          <w:sz w:val="22"/>
          <w:szCs w:val="22"/>
        </w:rPr>
        <w:t> </w:t>
      </w:r>
      <w:r>
        <w:rPr>
          <w:rFonts w:ascii="Times New Roman" w:hAnsi="Times New Roman" w:cs="Times New Roman"/>
          <w:sz w:val="22"/>
          <w:szCs w:val="22"/>
        </w:rPr>
        <w:t xml:space="preserve">pracovních dnů od doručení reklamace, přičemž reklamovanou vadu je povinen odstranit (nedohodnou-li se strany písemně jinak) v nejkratší možné lhůtě vzhledem k povaze dané vady, přičemž pro vyloučení pochybností spolu strany přesnou délku takové lhůty dohodnou. Nedojde-li k takové dohodě, je prodávající povinen reklamovanou vadu odstranit od 15 dnů od doručení reklamace. O odstranění vady sepíší smluvní strany zápis. Zjistí-li prodávající, že vadu nelze odstranit, je povinen tuto skutečnost oznámit bez zbytečného odkladu kupujícímu. Kupující poté může uplatnit další nároky dle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2106 odst. 1) občanského zákoníku.</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Za provedení záruční opravy nepřísluší prodávajícímu jakákoliv kompenzace souvisejících nákladů.</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Smluvní strany se dále dohodly, že vady zboží, na které se nevztahuje záruka, je prodávající povinen na žádost kupujícího odstranit, a to v přiměřeném termínu a za svých standardních cenových podmínek. </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VI. Sankce</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Při prodlení kupujícího s úhradou kupní ceny zboží je kupující povinen uhradit prodávajícímu úroky z prodlení ve výši dle příslušného právního předpisu.</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Při prodlení prodávajícího s dodáním zboží ve sjednaném termínu je prodávající povinen uhradit kupujícímu smluvní pokutu ve výši 0,2 % z kupní ceny za každý započatý den prodlení.</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V případě prodlení prodávajícího s odstraněním reklamované vady v termínu dle čl. V. odst. 6) této smlouvy je prodávající povinen uhradit kupujícímu smluvní pokutu ve výši 100 Kč za každý započatý den prodlení.</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Smluvní pokuty dle této smlouvy jsou splatné do 15 dnů od doručení jejích písemného vyúčtování povinné straně.</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Ujednání o smluvních pokutách nemají vliv na náhradu škody, její uplatnění ani vymáhání.</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VII. Závěrečná ustanovení</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Práva a povinnosti smluvních stran vznikající z této smlouvy a výslovně neupravené jejím zněním se řídí právními předpisy České republiky s vyloučením případných kolizních norem, a to zejména občanským zákoníkem.</w:t>
      </w:r>
    </w:p>
    <w:p w:rsidR="00F37C2E" w:rsidRDefault="00F37C2E" w:rsidP="00F37C2E">
      <w:pPr>
        <w:keepLines/>
        <w:spacing w:after="0" w:line="320" w:lineRule="exact"/>
        <w:ind w:left="426"/>
        <w:jc w:val="both"/>
        <w:rPr>
          <w:rFonts w:ascii="Times New Roman" w:hAnsi="Times New Roman" w:cs="Times New Roman"/>
          <w:sz w:val="22"/>
          <w:szCs w:val="22"/>
        </w:rPr>
      </w:pPr>
    </w:p>
    <w:p w:rsidR="00F37C2E" w:rsidRDefault="00F37C2E" w:rsidP="00F37C2E">
      <w:pPr>
        <w:keepLines/>
        <w:spacing w:after="0" w:line="320" w:lineRule="exact"/>
        <w:ind w:left="426"/>
        <w:jc w:val="both"/>
        <w:rPr>
          <w:rFonts w:ascii="Times New Roman" w:hAnsi="Times New Roman" w:cs="Times New Roman"/>
          <w:sz w:val="22"/>
          <w:szCs w:val="22"/>
        </w:rPr>
      </w:pP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Tuto smlouvu lze měnit či doplňovat pouze písemnými číslovanými dodatky, které budou za dodatek smlouvy výslovně označeny a podepsány oprávněnými zástupci obou smluvních stran.</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lastRenderedPageBreak/>
        <w:t>Tato smlouva nabývá platnosti dnem jejího podpisu oprávněnými zástupci obou smluvních stran a účinnosti dnem uveřejnění v centrálním registru smluv v souladu se zákonem č. 340/2015 Sb., o zvláštních podmínkách účinnosti některých smluv, uveřejňování těchto smluv a o registru smluv (zákon o registru smluv).</w:t>
      </w:r>
    </w:p>
    <w:p w:rsidR="00586A02" w:rsidRDefault="0036228D"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Je-</w:t>
      </w:r>
      <w:r w:rsidR="00586A02">
        <w:rPr>
          <w:rFonts w:ascii="Times New Roman" w:hAnsi="Times New Roman" w:cs="Times New Roman"/>
          <w:sz w:val="22"/>
          <w:szCs w:val="22"/>
        </w:rPr>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Tato smlouva je sepsána ve 2 vyhotoveních, po jednom pro každou smluvní stranu.</w:t>
      </w:r>
    </w:p>
    <w:p w:rsidR="00586A02" w:rsidRDefault="00586A02" w:rsidP="006D547C">
      <w:pPr>
        <w:keepLines/>
        <w:spacing w:after="0" w:line="320" w:lineRule="exact"/>
        <w:ind w:left="426"/>
        <w:jc w:val="both"/>
        <w:rPr>
          <w:rFonts w:ascii="Times New Roman" w:hAnsi="Times New Roman" w:cs="Times New Roman"/>
          <w:sz w:val="22"/>
          <w:szCs w:val="22"/>
        </w:rPr>
      </w:pPr>
    </w:p>
    <w:p w:rsidR="00586A02" w:rsidRDefault="00586A02" w:rsidP="00586A02">
      <w:pPr>
        <w:keepLines/>
        <w:spacing w:after="0" w:line="320" w:lineRule="exact"/>
        <w:ind w:left="426"/>
        <w:jc w:val="both"/>
        <w:rPr>
          <w:rFonts w:ascii="Times New Roman" w:hAnsi="Times New Roman" w:cs="Times New Roman"/>
          <w:sz w:val="22"/>
          <w:szCs w:val="22"/>
        </w:rPr>
      </w:pPr>
    </w:p>
    <w:tbl>
      <w:tblPr>
        <w:tblW w:w="0" w:type="auto"/>
        <w:jc w:val="center"/>
        <w:tblLayout w:type="fixed"/>
        <w:tblLook w:val="01E0" w:firstRow="1" w:lastRow="1" w:firstColumn="1" w:lastColumn="1" w:noHBand="0" w:noVBand="0"/>
      </w:tblPr>
      <w:tblGrid>
        <w:gridCol w:w="4132"/>
        <w:gridCol w:w="4651"/>
      </w:tblGrid>
      <w:tr w:rsidR="00586A02" w:rsidTr="00586A02">
        <w:trPr>
          <w:trHeight w:val="363"/>
          <w:jc w:val="center"/>
        </w:trPr>
        <w:tc>
          <w:tcPr>
            <w:tcW w:w="4132" w:type="dxa"/>
          </w:tcPr>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V Jičíně </w:t>
            </w:r>
            <w:r w:rsidR="00586A02">
              <w:rPr>
                <w:rFonts w:ascii="Times New Roman" w:hAnsi="Times New Roman" w:cs="Times New Roman"/>
                <w:sz w:val="22"/>
                <w:szCs w:val="22"/>
              </w:rPr>
              <w:t xml:space="preserve">dne: </w:t>
            </w:r>
            <w:proofErr w:type="gramStart"/>
            <w:r w:rsidR="004E0093">
              <w:rPr>
                <w:rFonts w:ascii="Times New Roman" w:hAnsi="Times New Roman" w:cs="Times New Roman"/>
                <w:sz w:val="22"/>
                <w:szCs w:val="22"/>
              </w:rPr>
              <w:t>19</w:t>
            </w:r>
            <w:r w:rsidR="006A6CC2">
              <w:rPr>
                <w:rFonts w:ascii="Times New Roman" w:hAnsi="Times New Roman" w:cs="Times New Roman"/>
                <w:sz w:val="22"/>
                <w:szCs w:val="22"/>
              </w:rPr>
              <w:t>.1</w:t>
            </w:r>
            <w:r w:rsidR="006D547C">
              <w:rPr>
                <w:rFonts w:ascii="Times New Roman" w:hAnsi="Times New Roman" w:cs="Times New Roman"/>
                <w:sz w:val="22"/>
                <w:szCs w:val="22"/>
              </w:rPr>
              <w:t>2</w:t>
            </w:r>
            <w:r w:rsidR="00586A02">
              <w:rPr>
                <w:rFonts w:ascii="Times New Roman" w:hAnsi="Times New Roman" w:cs="Times New Roman"/>
                <w:sz w:val="22"/>
                <w:szCs w:val="22"/>
              </w:rPr>
              <w:t>.2016</w:t>
            </w:r>
            <w:proofErr w:type="gramEnd"/>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Za kupujícího:  </w:t>
            </w: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rPr>
                <w:rFonts w:ascii="Times New Roman" w:hAnsi="Times New Roman" w:cs="Times New Roman"/>
                <w:sz w:val="22"/>
                <w:szCs w:val="22"/>
              </w:rPr>
            </w:pPr>
            <w:r>
              <w:rPr>
                <w:rFonts w:ascii="Times New Roman" w:hAnsi="Times New Roman" w:cs="Times New Roman"/>
                <w:sz w:val="22"/>
                <w:szCs w:val="22"/>
              </w:rPr>
              <w:t>...............................................</w:t>
            </w:r>
          </w:p>
          <w:p w:rsidR="00586A02" w:rsidRDefault="009F5477">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Pr="00251056">
              <w:rPr>
                <w:rFonts w:ascii="Times New Roman" w:hAnsi="Times New Roman" w:cs="Times New Roman"/>
                <w:sz w:val="22"/>
                <w:szCs w:val="22"/>
              </w:rPr>
              <w:t>Ing.</w:t>
            </w:r>
            <w:r>
              <w:rPr>
                <w:rFonts w:ascii="Times New Roman" w:hAnsi="Times New Roman" w:cs="Times New Roman"/>
                <w:sz w:val="22"/>
                <w:szCs w:val="22"/>
              </w:rPr>
              <w:t xml:space="preserve"> </w:t>
            </w:r>
            <w:r w:rsidRPr="00251056">
              <w:rPr>
                <w:rFonts w:ascii="Times New Roman" w:hAnsi="Times New Roman" w:cs="Times New Roman"/>
                <w:sz w:val="22"/>
                <w:szCs w:val="22"/>
              </w:rPr>
              <w:t>Tajč Jiří</w:t>
            </w:r>
            <w:r w:rsidR="00586A02">
              <w:rPr>
                <w:rFonts w:ascii="Times New Roman" w:hAnsi="Times New Roman" w:cs="Times New Roman"/>
                <w:sz w:val="22"/>
                <w:szCs w:val="22"/>
              </w:rPr>
              <w:t xml:space="preserve"> </w:t>
            </w:r>
          </w:p>
        </w:tc>
        <w:tc>
          <w:tcPr>
            <w:tcW w:w="4651" w:type="dxa"/>
          </w:tcPr>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 xml:space="preserve">V </w:t>
            </w:r>
            <w:r w:rsidR="006D547C">
              <w:rPr>
                <w:rFonts w:ascii="Times New Roman" w:hAnsi="Times New Roman" w:cs="Times New Roman"/>
                <w:sz w:val="22"/>
                <w:szCs w:val="22"/>
              </w:rPr>
              <w:t>Pardubicích</w:t>
            </w:r>
            <w:r w:rsidR="00586A02">
              <w:rPr>
                <w:rFonts w:ascii="Times New Roman" w:hAnsi="Times New Roman" w:cs="Times New Roman"/>
                <w:sz w:val="22"/>
                <w:szCs w:val="22"/>
              </w:rPr>
              <w:t xml:space="preserve"> dne:</w:t>
            </w:r>
            <w:r w:rsidR="006A6CC2">
              <w:rPr>
                <w:rFonts w:ascii="Times New Roman" w:hAnsi="Times New Roman" w:cs="Times New Roman"/>
                <w:sz w:val="22"/>
                <w:szCs w:val="22"/>
              </w:rPr>
              <w:t xml:space="preserve"> </w:t>
            </w:r>
            <w:r w:rsidR="004E0093">
              <w:rPr>
                <w:rFonts w:ascii="Times New Roman" w:hAnsi="Times New Roman" w:cs="Times New Roman"/>
                <w:sz w:val="22"/>
                <w:szCs w:val="22"/>
              </w:rPr>
              <w:t>19</w:t>
            </w:r>
            <w:bookmarkStart w:id="0" w:name="_GoBack"/>
            <w:bookmarkEnd w:id="0"/>
            <w:r w:rsidR="006A6CC2">
              <w:rPr>
                <w:rFonts w:ascii="Times New Roman" w:hAnsi="Times New Roman" w:cs="Times New Roman"/>
                <w:sz w:val="22"/>
                <w:szCs w:val="22"/>
              </w:rPr>
              <w:t>.1</w:t>
            </w:r>
            <w:r w:rsidR="006D547C">
              <w:rPr>
                <w:rFonts w:ascii="Times New Roman" w:hAnsi="Times New Roman" w:cs="Times New Roman"/>
                <w:sz w:val="22"/>
                <w:szCs w:val="22"/>
              </w:rPr>
              <w:t>2</w:t>
            </w:r>
            <w:r w:rsidR="006A6CC2">
              <w:rPr>
                <w:rFonts w:ascii="Times New Roman" w:hAnsi="Times New Roman" w:cs="Times New Roman"/>
                <w:sz w:val="22"/>
                <w:szCs w:val="22"/>
              </w:rPr>
              <w:t>.2016</w:t>
            </w:r>
          </w:p>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Za prodávajícího:</w:t>
            </w: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w:t>
            </w:r>
          </w:p>
          <w:p w:rsidR="00586A02" w:rsidRDefault="009F5477" w:rsidP="006D547C">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000D0658">
              <w:rPr>
                <w:rFonts w:ascii="Times New Roman" w:hAnsi="Times New Roman" w:cs="Times New Roman"/>
                <w:sz w:val="22"/>
                <w:szCs w:val="22"/>
              </w:rPr>
              <w:t>Ing. Luděk Heinz</w:t>
            </w:r>
            <w:r>
              <w:rPr>
                <w:rFonts w:ascii="Times New Roman" w:hAnsi="Times New Roman" w:cs="Times New Roman"/>
                <w:sz w:val="22"/>
                <w:szCs w:val="22"/>
              </w:rPr>
              <w:t xml:space="preserve">  </w:t>
            </w:r>
          </w:p>
        </w:tc>
      </w:tr>
    </w:tbl>
    <w:p w:rsidR="00586A02" w:rsidRDefault="00586A02" w:rsidP="00586A02">
      <w:pPr>
        <w:spacing w:after="0" w:line="320" w:lineRule="exact"/>
        <w:jc w:val="both"/>
        <w:rPr>
          <w:rFonts w:ascii="Times New Roman" w:hAnsi="Times New Roman" w:cs="Times New Roman"/>
          <w:sz w:val="22"/>
          <w:szCs w:val="22"/>
        </w:rPr>
      </w:pPr>
    </w:p>
    <w:p w:rsidR="00586A02" w:rsidRDefault="00586A02" w:rsidP="00586A02">
      <w:pPr>
        <w:spacing w:after="0" w:line="320" w:lineRule="exact"/>
        <w:jc w:val="both"/>
        <w:rPr>
          <w:rFonts w:ascii="Times New Roman" w:hAnsi="Times New Roman" w:cs="Times New Roman"/>
          <w:sz w:val="22"/>
          <w:szCs w:val="22"/>
        </w:rPr>
      </w:pPr>
    </w:p>
    <w:p w:rsidR="00586A02" w:rsidRDefault="00586A02" w:rsidP="00586A02">
      <w:pPr>
        <w:spacing w:after="0" w:line="320" w:lineRule="exact"/>
        <w:jc w:val="both"/>
        <w:rPr>
          <w:rFonts w:ascii="Times New Roman" w:hAnsi="Times New Roman" w:cs="Times New Roman"/>
          <w:sz w:val="22"/>
          <w:szCs w:val="22"/>
        </w:rPr>
      </w:pPr>
    </w:p>
    <w:p w:rsidR="00173E54" w:rsidRDefault="00173E54"/>
    <w:sectPr w:rsidR="00173E54" w:rsidSect="00173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02FF" w:usb1="4000ACFF" w:usb2="00000001" w:usb3="00000000" w:csb0="0000019F" w:csb1="00000000"/>
  </w:font>
  <w:font w:name=".PalatinoTT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5E42"/>
    <w:multiLevelType w:val="hybridMultilevel"/>
    <w:tmpl w:val="8B108442"/>
    <w:lvl w:ilvl="0" w:tplc="368CF9F8">
      <w:start w:val="1"/>
      <w:numFmt w:val="decimal"/>
      <w:lvlText w:val="%1)"/>
      <w:lvlJc w:val="left"/>
      <w:pPr>
        <w:tabs>
          <w:tab w:val="num" w:pos="0"/>
        </w:tabs>
        <w:ind w:left="720" w:hanging="360"/>
      </w:pPr>
      <w:rPr>
        <w:rFonts w:cs="Times New Roman"/>
      </w:rPr>
    </w:lvl>
    <w:lvl w:ilvl="1" w:tplc="E03AC128">
      <w:start w:val="1"/>
      <w:numFmt w:val="decimal"/>
      <w:lvlText w:val="%2)"/>
      <w:lvlJc w:val="left"/>
      <w:pPr>
        <w:tabs>
          <w:tab w:val="num" w:pos="1440"/>
        </w:tabs>
        <w:ind w:left="1440" w:hanging="360"/>
      </w:pPr>
      <w:rPr>
        <w:rFonts w:cs="Arial Black"/>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02"/>
    <w:rsid w:val="00045BFD"/>
    <w:rsid w:val="000D0658"/>
    <w:rsid w:val="000D572D"/>
    <w:rsid w:val="00106C54"/>
    <w:rsid w:val="001178A3"/>
    <w:rsid w:val="00173E54"/>
    <w:rsid w:val="001A05A2"/>
    <w:rsid w:val="001C1E35"/>
    <w:rsid w:val="00213523"/>
    <w:rsid w:val="00251056"/>
    <w:rsid w:val="00305656"/>
    <w:rsid w:val="0036228D"/>
    <w:rsid w:val="003675C5"/>
    <w:rsid w:val="003915A3"/>
    <w:rsid w:val="003C4BDC"/>
    <w:rsid w:val="003E4CD2"/>
    <w:rsid w:val="004225FD"/>
    <w:rsid w:val="004E0093"/>
    <w:rsid w:val="0052578A"/>
    <w:rsid w:val="00586A02"/>
    <w:rsid w:val="005F144C"/>
    <w:rsid w:val="006A6CC2"/>
    <w:rsid w:val="006D547C"/>
    <w:rsid w:val="00712FA8"/>
    <w:rsid w:val="00721F96"/>
    <w:rsid w:val="008113D2"/>
    <w:rsid w:val="008418FF"/>
    <w:rsid w:val="00883C50"/>
    <w:rsid w:val="008B4F82"/>
    <w:rsid w:val="00926EE8"/>
    <w:rsid w:val="009F5477"/>
    <w:rsid w:val="00A75512"/>
    <w:rsid w:val="00A8270D"/>
    <w:rsid w:val="00AB257B"/>
    <w:rsid w:val="00B02DF3"/>
    <w:rsid w:val="00B86964"/>
    <w:rsid w:val="00BF29B5"/>
    <w:rsid w:val="00C4667E"/>
    <w:rsid w:val="00CB21CC"/>
    <w:rsid w:val="00D02DC4"/>
    <w:rsid w:val="00D14C48"/>
    <w:rsid w:val="00D17F5B"/>
    <w:rsid w:val="00D92762"/>
    <w:rsid w:val="00EB14EA"/>
    <w:rsid w:val="00F37C2E"/>
    <w:rsid w:val="00FB3E62"/>
    <w:rsid w:val="00FF7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1A9AE-02A6-436F-9DE3-F8321C5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A02"/>
    <w:pPr>
      <w:autoSpaceDE w:val="0"/>
      <w:autoSpaceDN w:val="0"/>
      <w:spacing w:after="120" w:line="240" w:lineRule="auto"/>
    </w:pPr>
    <w:rPr>
      <w:rFonts w:ascii=".PalatinoTTEE" w:eastAsia="Times New Roman" w:hAnsi=".PalatinoTTEE" w:cs=".PalatinoTTEE"/>
      <w:kern w:val="28"/>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586A02"/>
    <w:rPr>
      <w:rFonts w:ascii="Times New Roman" w:hAnsi="Times New Roman" w:cs="Times New Roman" w:hint="default"/>
      <w:b/>
      <w:bCs/>
    </w:rPr>
  </w:style>
  <w:style w:type="paragraph" w:customStyle="1" w:styleId="Adresa">
    <w:name w:val="Adresa"/>
    <w:basedOn w:val="Normln"/>
    <w:uiPriority w:val="99"/>
    <w:rsid w:val="00586A02"/>
    <w:pPr>
      <w:spacing w:after="0"/>
      <w:ind w:left="851"/>
    </w:pPr>
  </w:style>
  <w:style w:type="paragraph" w:styleId="Textbubliny">
    <w:name w:val="Balloon Text"/>
    <w:basedOn w:val="Normln"/>
    <w:link w:val="TextbublinyChar"/>
    <w:uiPriority w:val="99"/>
    <w:semiHidden/>
    <w:unhideWhenUsed/>
    <w:rsid w:val="00F37C2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7C2E"/>
    <w:rPr>
      <w:rFonts w:ascii="Segoe UI" w:eastAsia="Times New Roman" w:hAnsi="Segoe UI" w:cs="Segoe UI"/>
      <w:kern w:val="28"/>
      <w:sz w:val="18"/>
      <w:szCs w:val="18"/>
      <w:lang w:eastAsia="cs-CZ"/>
    </w:rPr>
  </w:style>
  <w:style w:type="paragraph" w:styleId="Normlnweb">
    <w:name w:val="Normal (Web)"/>
    <w:basedOn w:val="Normln"/>
    <w:uiPriority w:val="99"/>
    <w:semiHidden/>
    <w:unhideWhenUsed/>
    <w:rsid w:val="003915A3"/>
    <w:pPr>
      <w:autoSpaceDE/>
      <w:autoSpaceDN/>
      <w:spacing w:before="100" w:beforeAutospacing="1" w:after="100" w:afterAutospacing="1"/>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6497">
      <w:bodyDiv w:val="1"/>
      <w:marLeft w:val="0"/>
      <w:marRight w:val="0"/>
      <w:marTop w:val="0"/>
      <w:marBottom w:val="0"/>
      <w:divBdr>
        <w:top w:val="none" w:sz="0" w:space="0" w:color="auto"/>
        <w:left w:val="none" w:sz="0" w:space="0" w:color="auto"/>
        <w:bottom w:val="none" w:sz="0" w:space="0" w:color="auto"/>
        <w:right w:val="none" w:sz="0" w:space="0" w:color="auto"/>
      </w:divBdr>
    </w:div>
    <w:div w:id="8558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1186</Words>
  <Characters>6999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Komunikátor</dc:creator>
  <cp:lastModifiedBy>Soňa Zavadilová</cp:lastModifiedBy>
  <cp:revision>5</cp:revision>
  <cp:lastPrinted>2016-12-20T07:16:00Z</cp:lastPrinted>
  <dcterms:created xsi:type="dcterms:W3CDTF">2017-01-06T06:47:00Z</dcterms:created>
  <dcterms:modified xsi:type="dcterms:W3CDTF">2017-01-06T06:49:00Z</dcterms:modified>
</cp:coreProperties>
</file>