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69" w:rsidRDefault="00A16669">
      <w:pPr>
        <w:jc w:val="center"/>
        <w:rPr>
          <w:b/>
          <w:snapToGrid w:val="0"/>
          <w:sz w:val="28"/>
        </w:rPr>
      </w:pPr>
    </w:p>
    <w:p w:rsidR="00F554E3" w:rsidRDefault="00F554E3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Smlouva o nájmu </w:t>
      </w:r>
      <w:r w:rsidR="00FF68BC">
        <w:rPr>
          <w:b/>
          <w:snapToGrid w:val="0"/>
          <w:sz w:val="28"/>
        </w:rPr>
        <w:t>prostor sloužících k podnikání</w:t>
      </w:r>
    </w:p>
    <w:p w:rsidR="00F554E3" w:rsidRPr="00F10B00" w:rsidRDefault="00F554E3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F10B00">
        <w:rPr>
          <w:rFonts w:ascii="Arial" w:hAnsi="Arial" w:cs="Arial"/>
          <w:sz w:val="22"/>
          <w:szCs w:val="22"/>
        </w:rPr>
        <w:t>č</w:t>
      </w:r>
      <w:r w:rsidRPr="00F10B00">
        <w:rPr>
          <w:rFonts w:ascii="Arial" w:hAnsi="Arial" w:cs="Arial"/>
          <w:b w:val="0"/>
          <w:sz w:val="22"/>
          <w:szCs w:val="22"/>
        </w:rPr>
        <w:t>.</w:t>
      </w:r>
      <w:r w:rsidR="000C5BED" w:rsidRPr="00F10B00">
        <w:rPr>
          <w:rFonts w:ascii="Arial" w:hAnsi="Arial" w:cs="Arial"/>
          <w:b w:val="0"/>
          <w:sz w:val="22"/>
          <w:szCs w:val="22"/>
        </w:rPr>
        <w:t xml:space="preserve"> </w:t>
      </w:r>
      <w:r w:rsidR="00020E1C" w:rsidRPr="00020E1C">
        <w:rPr>
          <w:rFonts w:ascii="Arial" w:hAnsi="Arial" w:cs="Arial"/>
          <w:sz w:val="22"/>
          <w:szCs w:val="22"/>
        </w:rPr>
        <w:t>941</w:t>
      </w:r>
      <w:r w:rsidR="00DA4E17" w:rsidRPr="00DA4E17">
        <w:rPr>
          <w:rFonts w:ascii="Arial" w:hAnsi="Arial" w:cs="Arial"/>
          <w:sz w:val="22"/>
          <w:szCs w:val="22"/>
        </w:rPr>
        <w:t>/2014</w:t>
      </w:r>
    </w:p>
    <w:p w:rsidR="00F554E3" w:rsidRDefault="00176F67">
      <w:pPr>
        <w:pStyle w:val="Nadpis1"/>
        <w:jc w:val="center"/>
      </w:pPr>
      <w:r>
        <w:t>u</w:t>
      </w:r>
      <w:r w:rsidR="00F554E3">
        <w:t xml:space="preserve">zavřená podle § </w:t>
      </w:r>
      <w:r w:rsidR="00252184">
        <w:t xml:space="preserve">2302  a násl. z. </w:t>
      </w:r>
      <w:proofErr w:type="gramStart"/>
      <w:r w:rsidR="00252184">
        <w:t>č.</w:t>
      </w:r>
      <w:proofErr w:type="gramEnd"/>
      <w:r w:rsidR="00252184">
        <w:t xml:space="preserve"> 89/2012 Sb. občanský zákoník</w:t>
      </w:r>
    </w:p>
    <w:p w:rsidR="00F554E3" w:rsidRDefault="00F554E3"/>
    <w:p w:rsidR="00F554E3" w:rsidRDefault="00F554E3" w:rsidP="00272C62">
      <w:pPr>
        <w:pStyle w:val="Nadpis4"/>
        <w:numPr>
          <w:ilvl w:val="0"/>
          <w:numId w:val="0"/>
        </w:numPr>
        <w:ind w:left="3414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Pr="00ED52E4" w:rsidRDefault="00F554E3">
      <w:pPr>
        <w:rPr>
          <w:b/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</w:t>
      </w:r>
      <w:r w:rsidRPr="00ED52E4">
        <w:rPr>
          <w:b/>
          <w:sz w:val="24"/>
        </w:rPr>
        <w:t>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7165E4" w:rsidRDefault="00F554E3" w:rsidP="007165E4">
      <w:pPr>
        <w:ind w:left="1416" w:firstLine="60"/>
        <w:rPr>
          <w:sz w:val="24"/>
        </w:rPr>
      </w:pPr>
      <w:r>
        <w:rPr>
          <w:sz w:val="24"/>
        </w:rPr>
        <w:t xml:space="preserve">ve věcech smluvních Ing. Jaroslavem Šebestou, ekonomickým </w:t>
      </w:r>
      <w:r w:rsidR="007165E4">
        <w:rPr>
          <w:sz w:val="24"/>
        </w:rPr>
        <w:t xml:space="preserve">a správním  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ředitelem</w:t>
      </w:r>
    </w:p>
    <w:p w:rsidR="00F554E3" w:rsidRDefault="00176F67" w:rsidP="00BA1F7B">
      <w:pPr>
        <w:ind w:left="708" w:firstLine="708"/>
        <w:rPr>
          <w:sz w:val="24"/>
        </w:rPr>
      </w:pPr>
      <w:r>
        <w:rPr>
          <w:sz w:val="24"/>
        </w:rPr>
        <w:t xml:space="preserve"> </w:t>
      </w:r>
    </w:p>
    <w:p w:rsidR="00F554E3" w:rsidRPr="00877898" w:rsidRDefault="00F554E3">
      <w:pPr>
        <w:ind w:left="1470"/>
        <w:rPr>
          <w:sz w:val="16"/>
          <w:szCs w:val="16"/>
        </w:rPr>
      </w:pPr>
      <w:r w:rsidRPr="00877898">
        <w:rPr>
          <w:sz w:val="16"/>
          <w:szCs w:val="16"/>
        </w:rPr>
        <w:t>Povodí Ohře, státní podnik je zapsán v obchodn</w:t>
      </w:r>
      <w:r w:rsidR="00877898">
        <w:rPr>
          <w:sz w:val="16"/>
          <w:szCs w:val="16"/>
        </w:rPr>
        <w:t>ím rejstříku u Krajského soudu</w:t>
      </w:r>
      <w:r w:rsidR="00887883" w:rsidRPr="00877898">
        <w:rPr>
          <w:sz w:val="16"/>
          <w:szCs w:val="16"/>
        </w:rPr>
        <w:t xml:space="preserve"> </w:t>
      </w:r>
      <w:r w:rsidRPr="00877898">
        <w:rPr>
          <w:sz w:val="16"/>
          <w:szCs w:val="16"/>
        </w:rPr>
        <w:t>v Ústí nad Labem v oddílu A, vložka č. 13052</w:t>
      </w:r>
    </w:p>
    <w:p w:rsidR="0062116C" w:rsidRDefault="00877898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 xml:space="preserve">jen </w:t>
      </w:r>
      <w:r w:rsidR="00887883">
        <w:rPr>
          <w:sz w:val="24"/>
        </w:rPr>
        <w:t>,,pronajímatel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877898" w:rsidRPr="00022157" w:rsidRDefault="00F554E3" w:rsidP="00877898">
      <w:pPr>
        <w:widowControl w:val="0"/>
        <w:tabs>
          <w:tab w:val="left" w:pos="170"/>
          <w:tab w:val="left" w:pos="1985"/>
        </w:tabs>
        <w:rPr>
          <w:snapToGrid w:val="0"/>
          <w:sz w:val="24"/>
        </w:rPr>
      </w:pPr>
      <w:r>
        <w:rPr>
          <w:b/>
          <w:sz w:val="24"/>
        </w:rPr>
        <w:t>Nájemce</w:t>
      </w:r>
      <w:r w:rsidR="00877898">
        <w:rPr>
          <w:b/>
          <w:sz w:val="24"/>
        </w:rPr>
        <w:t xml:space="preserve">:      </w:t>
      </w:r>
      <w:r w:rsidR="00877898">
        <w:rPr>
          <w:snapToGrid w:val="0"/>
          <w:sz w:val="24"/>
        </w:rPr>
        <w:t xml:space="preserve">  </w:t>
      </w:r>
      <w:r w:rsidR="00877898" w:rsidRPr="00022157">
        <w:rPr>
          <w:snapToGrid w:val="0"/>
          <w:sz w:val="24"/>
        </w:rPr>
        <w:t>SINNET.EU s.r.o.</w:t>
      </w:r>
    </w:p>
    <w:p w:rsidR="00877898" w:rsidRPr="00022157" w:rsidRDefault="00877898" w:rsidP="00877898">
      <w:pPr>
        <w:widowControl w:val="0"/>
        <w:tabs>
          <w:tab w:val="left" w:pos="170"/>
          <w:tab w:val="left" w:pos="1985"/>
        </w:tabs>
        <w:rPr>
          <w:snapToGrid w:val="0"/>
          <w:sz w:val="24"/>
        </w:rPr>
      </w:pPr>
      <w:r w:rsidRPr="00022157">
        <w:rPr>
          <w:snapToGrid w:val="0"/>
          <w:sz w:val="24"/>
        </w:rPr>
        <w:t xml:space="preserve">               </w:t>
      </w:r>
      <w:r>
        <w:rPr>
          <w:snapToGrid w:val="0"/>
          <w:sz w:val="24"/>
        </w:rPr>
        <w:t xml:space="preserve">         </w:t>
      </w:r>
      <w:r w:rsidRPr="00022157">
        <w:rPr>
          <w:snapToGrid w:val="0"/>
          <w:sz w:val="24"/>
        </w:rPr>
        <w:t>Pobřežní 370/4, 186 00 Praha-Karlín</w:t>
      </w:r>
    </w:p>
    <w:p w:rsidR="00877898" w:rsidRPr="00022157" w:rsidRDefault="00877898" w:rsidP="00877898">
      <w:pPr>
        <w:widowControl w:val="0"/>
        <w:tabs>
          <w:tab w:val="left" w:pos="170"/>
          <w:tab w:val="left" w:pos="1985"/>
        </w:tabs>
        <w:rPr>
          <w:snapToGrid w:val="0"/>
          <w:sz w:val="24"/>
        </w:rPr>
      </w:pPr>
      <w:r w:rsidRPr="00022157">
        <w:rPr>
          <w:snapToGrid w:val="0"/>
          <w:sz w:val="24"/>
        </w:rPr>
        <w:t xml:space="preserve">                 </w:t>
      </w:r>
      <w:r>
        <w:rPr>
          <w:snapToGrid w:val="0"/>
          <w:sz w:val="24"/>
        </w:rPr>
        <w:t xml:space="preserve">       </w:t>
      </w:r>
      <w:r w:rsidRPr="00022157">
        <w:rPr>
          <w:snapToGrid w:val="0"/>
          <w:sz w:val="24"/>
        </w:rPr>
        <w:t>zastoupená p. Miroslavem Husou, jednatelem</w:t>
      </w:r>
    </w:p>
    <w:p w:rsidR="00877898" w:rsidRPr="00022157" w:rsidRDefault="00877898" w:rsidP="00BA1F7B">
      <w:pPr>
        <w:widowControl w:val="0"/>
        <w:tabs>
          <w:tab w:val="left" w:pos="170"/>
          <w:tab w:val="left" w:pos="1985"/>
        </w:tabs>
        <w:rPr>
          <w:snapToGrid w:val="0"/>
          <w:sz w:val="24"/>
          <w:szCs w:val="24"/>
        </w:rPr>
      </w:pPr>
      <w:r w:rsidRPr="00022157">
        <w:rPr>
          <w:snapToGrid w:val="0"/>
          <w:sz w:val="24"/>
        </w:rPr>
        <w:t xml:space="preserve">              </w:t>
      </w:r>
      <w:r>
        <w:rPr>
          <w:snapToGrid w:val="0"/>
          <w:sz w:val="24"/>
        </w:rPr>
        <w:t xml:space="preserve">         </w:t>
      </w:r>
      <w:r w:rsidRPr="00022157">
        <w:rPr>
          <w:snapToGrid w:val="0"/>
          <w:sz w:val="24"/>
        </w:rPr>
        <w:t xml:space="preserve"> </w:t>
      </w:r>
      <w:bookmarkStart w:id="0" w:name="_GoBack"/>
      <w:bookmarkEnd w:id="0"/>
    </w:p>
    <w:p w:rsidR="00877898" w:rsidRPr="00877898" w:rsidRDefault="00877898" w:rsidP="00877898">
      <w:pPr>
        <w:widowControl w:val="0"/>
        <w:tabs>
          <w:tab w:val="left" w:pos="170"/>
          <w:tab w:val="left" w:pos="1985"/>
        </w:tabs>
        <w:rPr>
          <w:snapToGrid w:val="0"/>
          <w:sz w:val="24"/>
          <w:szCs w:val="24"/>
        </w:rPr>
      </w:pPr>
      <w:r w:rsidRPr="00022157">
        <w:rPr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 xml:space="preserve">                     </w:t>
      </w:r>
      <w:r w:rsidRPr="00022157">
        <w:rPr>
          <w:snapToGrid w:val="0"/>
          <w:color w:val="FF0000"/>
          <w:sz w:val="24"/>
        </w:rPr>
        <w:t xml:space="preserve"> </w:t>
      </w:r>
      <w:r w:rsidRPr="00022157">
        <w:rPr>
          <w:sz w:val="16"/>
          <w:szCs w:val="16"/>
        </w:rPr>
        <w:t>SINNET.EU s.r.o., je zapsán</w:t>
      </w:r>
      <w:r>
        <w:rPr>
          <w:sz w:val="16"/>
          <w:szCs w:val="16"/>
        </w:rPr>
        <w:t>a</w:t>
      </w:r>
      <w:r w:rsidRPr="00022157">
        <w:rPr>
          <w:sz w:val="16"/>
          <w:szCs w:val="16"/>
        </w:rPr>
        <w:t xml:space="preserve"> u Městského soudu v Praze v oddílu C, vložce číslo 182802</w:t>
      </w:r>
      <w:r>
        <w:rPr>
          <w:sz w:val="16"/>
          <w:szCs w:val="16"/>
        </w:rPr>
        <w:t>.</w:t>
      </w:r>
    </w:p>
    <w:p w:rsidR="00877898" w:rsidRPr="00022157" w:rsidRDefault="00877898" w:rsidP="00877898">
      <w:pPr>
        <w:widowControl w:val="0"/>
        <w:tabs>
          <w:tab w:val="left" w:pos="397"/>
        </w:tabs>
        <w:rPr>
          <w:snapToGrid w:val="0"/>
          <w:sz w:val="16"/>
          <w:szCs w:val="16"/>
        </w:rPr>
      </w:pPr>
    </w:p>
    <w:p w:rsidR="00F554E3" w:rsidRPr="006B0FD2" w:rsidRDefault="006455A7" w:rsidP="006B0FD2">
      <w:pPr>
        <w:pStyle w:val="Odstavecseseznamem"/>
        <w:numPr>
          <w:ilvl w:val="0"/>
          <w:numId w:val="14"/>
        </w:numPr>
        <w:rPr>
          <w:rStyle w:val="Siln"/>
          <w:b w:val="0"/>
          <w:sz w:val="24"/>
          <w:szCs w:val="24"/>
        </w:rPr>
      </w:pPr>
      <w:r w:rsidRPr="006B0FD2">
        <w:rPr>
          <w:rStyle w:val="Siln"/>
          <w:sz w:val="24"/>
          <w:szCs w:val="24"/>
        </w:rPr>
        <w:t>Úvodní ustanovení</w:t>
      </w:r>
    </w:p>
    <w:p w:rsidR="00F554E3" w:rsidRDefault="00F554E3" w:rsidP="004968E0">
      <w:pPr>
        <w:jc w:val="both"/>
        <w:rPr>
          <w:sz w:val="24"/>
        </w:rPr>
      </w:pPr>
    </w:p>
    <w:p w:rsidR="00FD59B1" w:rsidRPr="0011128B" w:rsidRDefault="00F554E3" w:rsidP="00B204E8">
      <w:pPr>
        <w:ind w:left="300"/>
        <w:jc w:val="both"/>
        <w:rPr>
          <w:snapToGrid w:val="0"/>
          <w:sz w:val="24"/>
          <w:szCs w:val="24"/>
        </w:rPr>
      </w:pPr>
      <w:r w:rsidRPr="00FD59B1">
        <w:rPr>
          <w:sz w:val="24"/>
          <w:szCs w:val="24"/>
        </w:rPr>
        <w:t>Pronajímatel má právo hospodařit s majetkem státu provozní budovou v</w:t>
      </w:r>
      <w:r w:rsidR="00FD59B1" w:rsidRPr="00FD59B1">
        <w:rPr>
          <w:sz w:val="24"/>
          <w:szCs w:val="24"/>
        </w:rPr>
        <w:t> Chomutově</w:t>
      </w:r>
      <w:r w:rsidRPr="00FD59B1">
        <w:rPr>
          <w:sz w:val="24"/>
          <w:szCs w:val="24"/>
        </w:rPr>
        <w:t xml:space="preserve">, </w:t>
      </w:r>
      <w:proofErr w:type="gramStart"/>
      <w:r w:rsidR="00FD59B1" w:rsidRPr="00FD59B1">
        <w:rPr>
          <w:sz w:val="24"/>
          <w:szCs w:val="24"/>
        </w:rPr>
        <w:t xml:space="preserve">ul. </w:t>
      </w:r>
      <w:r w:rsidR="00B204E8">
        <w:rPr>
          <w:sz w:val="24"/>
          <w:szCs w:val="24"/>
        </w:rPr>
        <w:t xml:space="preserve">     </w:t>
      </w:r>
      <w:r w:rsidR="00FD59B1" w:rsidRPr="00FD59B1">
        <w:rPr>
          <w:sz w:val="24"/>
          <w:szCs w:val="24"/>
        </w:rPr>
        <w:t>Bezručova</w:t>
      </w:r>
      <w:proofErr w:type="gramEnd"/>
      <w:r w:rsidR="00FD59B1" w:rsidRPr="00FD59B1">
        <w:rPr>
          <w:sz w:val="24"/>
          <w:szCs w:val="24"/>
        </w:rPr>
        <w:t xml:space="preserve"> č. p. 4219, k.</w:t>
      </w:r>
      <w:r w:rsidR="00280479">
        <w:rPr>
          <w:sz w:val="24"/>
          <w:szCs w:val="24"/>
        </w:rPr>
        <w:t xml:space="preserve"> </w:t>
      </w:r>
      <w:proofErr w:type="spellStart"/>
      <w:r w:rsidR="00FD59B1" w:rsidRPr="00FD59B1">
        <w:rPr>
          <w:sz w:val="24"/>
          <w:szCs w:val="24"/>
        </w:rPr>
        <w:t>ú.</w:t>
      </w:r>
      <w:proofErr w:type="spellEnd"/>
      <w:r w:rsidR="00FD59B1" w:rsidRPr="00FD59B1">
        <w:rPr>
          <w:sz w:val="24"/>
          <w:szCs w:val="24"/>
        </w:rPr>
        <w:t xml:space="preserve"> Chomutov II</w:t>
      </w:r>
      <w:r w:rsidRPr="00FD59B1">
        <w:rPr>
          <w:sz w:val="24"/>
          <w:szCs w:val="24"/>
        </w:rPr>
        <w:t>, která byla vystavěna jako administrativní budova s kancelářskými prostorami.</w:t>
      </w:r>
      <w:r w:rsidR="00FD59B1" w:rsidRPr="00FD59B1">
        <w:rPr>
          <w:rFonts w:ascii="Arial" w:hAnsi="Arial" w:cs="Arial"/>
          <w:snapToGrid w:val="0"/>
          <w:sz w:val="24"/>
          <w:szCs w:val="24"/>
        </w:rPr>
        <w:t xml:space="preserve"> </w:t>
      </w:r>
      <w:r w:rsidR="00FD59B1" w:rsidRPr="00FD59B1">
        <w:rPr>
          <w:snapToGrid w:val="0"/>
          <w:sz w:val="24"/>
          <w:szCs w:val="24"/>
        </w:rPr>
        <w:t>Předmětem nájmu jsou nebytové pr</w:t>
      </w:r>
      <w:r w:rsidR="00877898">
        <w:rPr>
          <w:snapToGrid w:val="0"/>
          <w:sz w:val="24"/>
          <w:szCs w:val="24"/>
        </w:rPr>
        <w:t>ostory umístěné v objektu  garáží - dvůr</w:t>
      </w:r>
      <w:r w:rsidR="00FD59B1" w:rsidRPr="00FD59B1">
        <w:rPr>
          <w:snapToGrid w:val="0"/>
          <w:sz w:val="24"/>
          <w:szCs w:val="24"/>
        </w:rPr>
        <w:t>, ozn</w:t>
      </w:r>
      <w:r w:rsidR="00877898">
        <w:rPr>
          <w:snapToGrid w:val="0"/>
          <w:sz w:val="24"/>
          <w:szCs w:val="24"/>
        </w:rPr>
        <w:t>ačené  D029 o celkové ploše 55,72 m</w:t>
      </w:r>
      <w:r w:rsidR="00877898" w:rsidRPr="00877898">
        <w:rPr>
          <w:snapToGrid w:val="0"/>
          <w:sz w:val="24"/>
          <w:szCs w:val="24"/>
          <w:vertAlign w:val="superscript"/>
        </w:rPr>
        <w:t>2</w:t>
      </w:r>
      <w:r w:rsidR="00877898">
        <w:rPr>
          <w:snapToGrid w:val="0"/>
          <w:sz w:val="24"/>
          <w:szCs w:val="24"/>
        </w:rPr>
        <w:t>a D030 o celkové ploše 64,93</w:t>
      </w:r>
      <w:r w:rsidR="00FD59B1" w:rsidRPr="00FD59B1">
        <w:rPr>
          <w:snapToGrid w:val="0"/>
          <w:sz w:val="24"/>
          <w:szCs w:val="24"/>
        </w:rPr>
        <w:t xml:space="preserve"> m², </w:t>
      </w:r>
      <w:r w:rsidR="00FD59B1" w:rsidRPr="0011128B">
        <w:rPr>
          <w:snapToGrid w:val="0"/>
          <w:sz w:val="24"/>
          <w:szCs w:val="24"/>
        </w:rPr>
        <w:t>dále jsou to parkova</w:t>
      </w:r>
      <w:r w:rsidR="00F25399">
        <w:rPr>
          <w:snapToGrid w:val="0"/>
          <w:sz w:val="24"/>
          <w:szCs w:val="24"/>
        </w:rPr>
        <w:t>cí plochy pro osobní</w:t>
      </w:r>
      <w:r w:rsidR="003256FF" w:rsidRPr="0011128B">
        <w:rPr>
          <w:snapToGrid w:val="0"/>
          <w:sz w:val="24"/>
          <w:szCs w:val="24"/>
        </w:rPr>
        <w:t xml:space="preserve"> vozidla o celkové výměře </w:t>
      </w:r>
      <w:r w:rsidR="00877898">
        <w:rPr>
          <w:snapToGrid w:val="0"/>
          <w:sz w:val="24"/>
          <w:szCs w:val="24"/>
        </w:rPr>
        <w:t>30,24</w:t>
      </w:r>
      <w:r w:rsidR="00FD59B1" w:rsidRPr="0011128B">
        <w:rPr>
          <w:snapToGrid w:val="0"/>
          <w:sz w:val="24"/>
          <w:szCs w:val="24"/>
        </w:rPr>
        <w:t xml:space="preserve"> m².</w:t>
      </w:r>
    </w:p>
    <w:p w:rsidR="00F554E3" w:rsidRDefault="004968E0">
      <w:pPr>
        <w:pStyle w:val="Zkladntext"/>
        <w:jc w:val="both"/>
      </w:pPr>
      <w:r>
        <w:t xml:space="preserve"> </w:t>
      </w:r>
    </w:p>
    <w:p w:rsidR="00C211C7" w:rsidRPr="004968E0" w:rsidRDefault="00272C62" w:rsidP="00272C62">
      <w:pPr>
        <w:pStyle w:val="Nadpis4"/>
        <w:numPr>
          <w:ilvl w:val="0"/>
          <w:numId w:val="0"/>
        </w:numPr>
        <w:ind w:left="2694"/>
      </w:pPr>
      <w:r>
        <w:t xml:space="preserve">II.     </w:t>
      </w:r>
      <w:r w:rsidR="00E43525">
        <w:t xml:space="preserve"> </w:t>
      </w:r>
      <w:r w:rsidR="00C211C7" w:rsidRPr="004968E0">
        <w:t>Předmět nájmu</w:t>
      </w:r>
    </w:p>
    <w:p w:rsidR="00BB4FCC" w:rsidRPr="00BB4FCC" w:rsidRDefault="00BB4FCC" w:rsidP="00BB4FCC"/>
    <w:p w:rsidR="00887883" w:rsidRPr="0011128B" w:rsidRDefault="00BB4FCC" w:rsidP="0088788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1295F">
        <w:rPr>
          <w:sz w:val="24"/>
          <w:szCs w:val="24"/>
        </w:rPr>
        <w:t xml:space="preserve"> </w:t>
      </w:r>
      <w:r w:rsidR="00C211C7" w:rsidRPr="00C211C7">
        <w:rPr>
          <w:sz w:val="24"/>
          <w:szCs w:val="24"/>
        </w:rPr>
        <w:t xml:space="preserve">Pronajímatel touto smlouvou přenechává nájemci za úplatu do užívání </w:t>
      </w:r>
      <w:r w:rsidR="00887883">
        <w:rPr>
          <w:sz w:val="24"/>
          <w:szCs w:val="24"/>
        </w:rPr>
        <w:t xml:space="preserve">nebytové prostory </w:t>
      </w:r>
      <w:r w:rsidR="00887883" w:rsidRPr="00887883">
        <w:rPr>
          <w:sz w:val="24"/>
          <w:szCs w:val="24"/>
        </w:rPr>
        <w:t>ozn</w:t>
      </w:r>
      <w:r w:rsidR="0059499E">
        <w:rPr>
          <w:sz w:val="24"/>
          <w:szCs w:val="24"/>
        </w:rPr>
        <w:t>ačené  D029 o celkové výměře 55,72</w:t>
      </w:r>
      <w:r w:rsidR="00887883" w:rsidRPr="00887883">
        <w:rPr>
          <w:sz w:val="24"/>
          <w:szCs w:val="24"/>
        </w:rPr>
        <w:t xml:space="preserve"> m²</w:t>
      </w:r>
      <w:r w:rsidR="00A9660A">
        <w:rPr>
          <w:sz w:val="24"/>
          <w:szCs w:val="24"/>
        </w:rPr>
        <w:t xml:space="preserve"> a</w:t>
      </w:r>
      <w:r w:rsidR="0059499E">
        <w:rPr>
          <w:sz w:val="24"/>
          <w:szCs w:val="24"/>
        </w:rPr>
        <w:t xml:space="preserve"> D030 o celkové výměře 64,93 m</w:t>
      </w:r>
      <w:r w:rsidR="0059499E" w:rsidRPr="0059499E">
        <w:rPr>
          <w:sz w:val="24"/>
          <w:szCs w:val="24"/>
          <w:vertAlign w:val="superscript"/>
        </w:rPr>
        <w:t>2</w:t>
      </w:r>
      <w:r w:rsidR="00887883" w:rsidRPr="00887883">
        <w:rPr>
          <w:sz w:val="24"/>
          <w:szCs w:val="24"/>
        </w:rPr>
        <w:t xml:space="preserve">, </w:t>
      </w:r>
      <w:r w:rsidR="00887883" w:rsidRPr="0011128B">
        <w:rPr>
          <w:sz w:val="24"/>
          <w:szCs w:val="24"/>
        </w:rPr>
        <w:t>dále jsou to parkova</w:t>
      </w:r>
      <w:r w:rsidR="008127DE">
        <w:rPr>
          <w:sz w:val="24"/>
          <w:szCs w:val="24"/>
        </w:rPr>
        <w:t>cí plochy pro osobní</w:t>
      </w:r>
      <w:r w:rsidR="003256FF" w:rsidRPr="0011128B">
        <w:rPr>
          <w:sz w:val="24"/>
          <w:szCs w:val="24"/>
        </w:rPr>
        <w:t xml:space="preserve"> vozidla o celkové výměře </w:t>
      </w:r>
      <w:r w:rsidR="0059499E">
        <w:rPr>
          <w:sz w:val="24"/>
          <w:szCs w:val="24"/>
        </w:rPr>
        <w:t xml:space="preserve">30,24 </w:t>
      </w:r>
      <w:r w:rsidR="00887883" w:rsidRPr="0011128B">
        <w:rPr>
          <w:sz w:val="24"/>
          <w:szCs w:val="24"/>
        </w:rPr>
        <w:t>m².</w:t>
      </w:r>
    </w:p>
    <w:p w:rsidR="00BB4FCC" w:rsidRPr="003256FF" w:rsidRDefault="00BB4FCC" w:rsidP="00BB4FCC">
      <w:pPr>
        <w:jc w:val="both"/>
        <w:rPr>
          <w:color w:val="FF0000"/>
          <w:sz w:val="24"/>
          <w:szCs w:val="24"/>
        </w:rPr>
      </w:pPr>
    </w:p>
    <w:p w:rsidR="00C211C7" w:rsidRDefault="00C211C7" w:rsidP="00C1295F">
      <w:pPr>
        <w:ind w:left="350" w:hanging="350"/>
        <w:jc w:val="both"/>
        <w:rPr>
          <w:sz w:val="24"/>
          <w:szCs w:val="24"/>
        </w:rPr>
      </w:pPr>
      <w:r w:rsidRPr="00C211C7">
        <w:rPr>
          <w:sz w:val="24"/>
          <w:szCs w:val="24"/>
        </w:rPr>
        <w:t xml:space="preserve">2. </w:t>
      </w:r>
      <w:r w:rsidR="00C1295F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Nájemce předmět nájmu od pronajímatele do nájmu přejímá a zavazuje se za užívání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předmětu nájmu platit sjednané nájemné v souladu s článkem V</w:t>
      </w:r>
      <w:r w:rsidR="004F26E3">
        <w:rPr>
          <w:sz w:val="24"/>
          <w:szCs w:val="24"/>
        </w:rPr>
        <w:t>.</w:t>
      </w:r>
      <w:r w:rsidR="00D44798">
        <w:rPr>
          <w:sz w:val="24"/>
          <w:szCs w:val="24"/>
        </w:rPr>
        <w:t> a VI.</w:t>
      </w:r>
      <w:r w:rsidRPr="00C211C7">
        <w:rPr>
          <w:sz w:val="24"/>
          <w:szCs w:val="24"/>
        </w:rPr>
        <w:t xml:space="preserve"> této smlouvy a plnit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si řádně a včas veškeré právními předpisy a touto smlouvou stanovené povinnosti.</w:t>
      </w:r>
    </w:p>
    <w:p w:rsidR="00BB4FCC" w:rsidRPr="00C211C7" w:rsidRDefault="00BB4FCC" w:rsidP="00BB4FCC">
      <w:pPr>
        <w:jc w:val="both"/>
        <w:rPr>
          <w:sz w:val="24"/>
          <w:szCs w:val="24"/>
        </w:rPr>
      </w:pPr>
    </w:p>
    <w:p w:rsidR="00C211C7" w:rsidRDefault="00C211C7" w:rsidP="00C1295F">
      <w:pPr>
        <w:ind w:left="350" w:hanging="350"/>
        <w:jc w:val="both"/>
        <w:rPr>
          <w:sz w:val="24"/>
          <w:szCs w:val="24"/>
        </w:rPr>
      </w:pPr>
      <w:r w:rsidRPr="00C211C7">
        <w:rPr>
          <w:sz w:val="24"/>
          <w:szCs w:val="24"/>
        </w:rPr>
        <w:t>3. Spolu s předmětem nájmu je nájemce oprávněn užívat společně s ostatními subjekty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provozujícími svoji činnost v předmětné budově také technické a sociální zázemí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domu nacházející se v pronajatých prostorách (vchody do budovy - do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bufetu</w:t>
      </w:r>
      <w:r w:rsidR="000978BF">
        <w:rPr>
          <w:sz w:val="24"/>
          <w:szCs w:val="24"/>
        </w:rPr>
        <w:t>,</w:t>
      </w:r>
      <w:r w:rsidR="00B204E8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společné chodby, schodiště</w:t>
      </w:r>
      <w:r w:rsidR="004F26E3">
        <w:rPr>
          <w:sz w:val="24"/>
          <w:szCs w:val="24"/>
        </w:rPr>
        <w:t xml:space="preserve"> atd.</w:t>
      </w:r>
      <w:r w:rsidRPr="00C211C7">
        <w:rPr>
          <w:sz w:val="24"/>
          <w:szCs w:val="24"/>
        </w:rPr>
        <w:t>).</w:t>
      </w:r>
    </w:p>
    <w:p w:rsidR="00BB4FCC" w:rsidRPr="00C211C7" w:rsidRDefault="00BB4FCC" w:rsidP="00BB4FCC">
      <w:pPr>
        <w:jc w:val="both"/>
        <w:rPr>
          <w:sz w:val="24"/>
          <w:szCs w:val="24"/>
        </w:rPr>
      </w:pPr>
    </w:p>
    <w:p w:rsidR="00822C18" w:rsidRDefault="00C211C7" w:rsidP="00367F63">
      <w:pPr>
        <w:ind w:left="308" w:hanging="308"/>
        <w:jc w:val="both"/>
        <w:rPr>
          <w:sz w:val="24"/>
        </w:rPr>
      </w:pPr>
      <w:r w:rsidRPr="00C211C7">
        <w:rPr>
          <w:sz w:val="24"/>
          <w:szCs w:val="24"/>
        </w:rPr>
        <w:t>4. Pronaj</w:t>
      </w:r>
      <w:r w:rsidR="000978BF">
        <w:rPr>
          <w:sz w:val="24"/>
          <w:szCs w:val="24"/>
        </w:rPr>
        <w:t>í</w:t>
      </w:r>
      <w:r w:rsidRPr="00C211C7">
        <w:rPr>
          <w:sz w:val="24"/>
          <w:szCs w:val="24"/>
        </w:rPr>
        <w:t>matel se zavazuje umožnit nájemci přístup do pronajatých prostor</w:t>
      </w:r>
      <w:r w:rsidR="00B53D8E">
        <w:rPr>
          <w:sz w:val="24"/>
          <w:szCs w:val="24"/>
        </w:rPr>
        <w:t xml:space="preserve"> v souladu se směrnicemi upravující dopravně provozní řád a ostrahu majetku</w:t>
      </w:r>
      <w:r w:rsidRPr="00C211C7">
        <w:rPr>
          <w:sz w:val="24"/>
          <w:szCs w:val="24"/>
        </w:rPr>
        <w:t>. Za tímto</w:t>
      </w:r>
      <w:r w:rsidR="000978BF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 xml:space="preserve">účelem </w:t>
      </w:r>
      <w:r w:rsidR="00822C18">
        <w:rPr>
          <w:sz w:val="24"/>
          <w:szCs w:val="24"/>
        </w:rPr>
        <w:t>pronajímatel předal zástupci nájemce</w:t>
      </w:r>
      <w:r w:rsidR="00822C18">
        <w:rPr>
          <w:sz w:val="24"/>
        </w:rPr>
        <w:t xml:space="preserve"> při podpisu smlouvy </w:t>
      </w:r>
      <w:r w:rsidR="00887883">
        <w:rPr>
          <w:sz w:val="24"/>
        </w:rPr>
        <w:t>2</w:t>
      </w:r>
      <w:r w:rsidR="00822C18">
        <w:rPr>
          <w:sz w:val="24"/>
        </w:rPr>
        <w:t xml:space="preserve"> klíče</w:t>
      </w:r>
      <w:r w:rsidR="00887883">
        <w:rPr>
          <w:sz w:val="24"/>
        </w:rPr>
        <w:t xml:space="preserve"> zn. FAB</w:t>
      </w:r>
      <w:r w:rsidR="00822C18" w:rsidRPr="00887883">
        <w:rPr>
          <w:color w:val="FF0000"/>
          <w:sz w:val="24"/>
        </w:rPr>
        <w:t xml:space="preserve"> </w:t>
      </w:r>
      <w:r w:rsidR="00822C18">
        <w:rPr>
          <w:sz w:val="24"/>
        </w:rPr>
        <w:t>umožňující vstup do pronajatých nebytových prostor</w:t>
      </w:r>
      <w:r w:rsidR="008915D4">
        <w:rPr>
          <w:sz w:val="24"/>
        </w:rPr>
        <w:t>.</w:t>
      </w:r>
      <w:r w:rsidR="00822C18">
        <w:rPr>
          <w:sz w:val="24"/>
        </w:rPr>
        <w:t xml:space="preserve"> V případě ztráty některého klíče, zaplatí </w:t>
      </w:r>
      <w:r w:rsidR="0041765D">
        <w:rPr>
          <w:sz w:val="24"/>
        </w:rPr>
        <w:t xml:space="preserve">nájemce </w:t>
      </w:r>
      <w:r w:rsidR="00887883">
        <w:rPr>
          <w:sz w:val="24"/>
        </w:rPr>
        <w:t>smluvní pokutu ve výši 350,00</w:t>
      </w:r>
      <w:r w:rsidR="00822C18">
        <w:rPr>
          <w:sz w:val="24"/>
        </w:rPr>
        <w:t xml:space="preserve"> Kč (za každý ztracený</w:t>
      </w:r>
      <w:r w:rsidR="0041765D">
        <w:rPr>
          <w:sz w:val="24"/>
        </w:rPr>
        <w:t xml:space="preserve"> klíč</w:t>
      </w:r>
      <w:r w:rsidR="00822C18">
        <w:rPr>
          <w:sz w:val="24"/>
        </w:rPr>
        <w:t>), která má splatnost do 10 dnů ode dne oznámení ztráty. Kromě sankce je nájemce odpovědný za škody vzniklé v důsledku ztráty klíčů a je povinen tuto škodu nahradit.</w:t>
      </w:r>
    </w:p>
    <w:p w:rsidR="00C211C7" w:rsidRDefault="00C211C7" w:rsidP="00C211C7">
      <w:pPr>
        <w:pStyle w:val="Nadpis4"/>
        <w:numPr>
          <w:ilvl w:val="0"/>
          <w:numId w:val="0"/>
        </w:numPr>
        <w:ind w:left="720"/>
      </w:pPr>
    </w:p>
    <w:p w:rsidR="00F554E3" w:rsidRDefault="004968E0" w:rsidP="004968E0">
      <w:pPr>
        <w:pStyle w:val="Nadpis4"/>
        <w:numPr>
          <w:ilvl w:val="0"/>
          <w:numId w:val="0"/>
        </w:numPr>
      </w:pPr>
      <w:r w:rsidRPr="004968E0">
        <w:t xml:space="preserve">                 </w:t>
      </w:r>
      <w:r w:rsidR="00272C62">
        <w:t xml:space="preserve">                              III</w:t>
      </w:r>
      <w:r w:rsidRPr="004968E0">
        <w:t>.</w:t>
      </w:r>
      <w:r>
        <w:t xml:space="preserve">      </w:t>
      </w:r>
      <w:r w:rsidR="00482C53">
        <w:t>Účel nájmu</w:t>
      </w:r>
    </w:p>
    <w:p w:rsidR="00F554E3" w:rsidRDefault="00F554E3">
      <w:pPr>
        <w:pStyle w:val="Zkladntext"/>
        <w:jc w:val="both"/>
      </w:pPr>
    </w:p>
    <w:p w:rsidR="00F554E3" w:rsidRPr="00F20669" w:rsidRDefault="004B40C9" w:rsidP="00B56B70">
      <w:pPr>
        <w:pStyle w:val="Zkladntext"/>
        <w:ind w:left="284" w:hanging="284"/>
        <w:jc w:val="both"/>
        <w:rPr>
          <w:i/>
        </w:rPr>
      </w:pPr>
      <w:r>
        <w:t xml:space="preserve">1. </w:t>
      </w:r>
      <w:r w:rsidR="00F554E3">
        <w:t xml:space="preserve">Účelem nájmu je využití </w:t>
      </w:r>
      <w:r>
        <w:t xml:space="preserve">předmětu nájmu </w:t>
      </w:r>
      <w:r w:rsidR="00F554E3">
        <w:t>pro administrativní zajištění podnikatelské činnost</w:t>
      </w:r>
      <w:r w:rsidR="0059499E">
        <w:t>i nájemce</w:t>
      </w:r>
      <w:r w:rsidR="00B53D8E">
        <w:t>.</w:t>
      </w:r>
    </w:p>
    <w:p w:rsidR="00B56B70" w:rsidRDefault="00B56B70" w:rsidP="00B56B70">
      <w:pPr>
        <w:pStyle w:val="Zkladntext"/>
        <w:ind w:left="284" w:hanging="284"/>
        <w:jc w:val="both"/>
      </w:pPr>
    </w:p>
    <w:p w:rsidR="004B40C9" w:rsidRDefault="004B40C9" w:rsidP="00B56B70">
      <w:pPr>
        <w:pStyle w:val="Zkladntext"/>
        <w:ind w:left="252" w:hanging="252"/>
        <w:jc w:val="both"/>
      </w:pPr>
      <w:r>
        <w:t>2. Pronajímatel prohlašuje, že předmět nájmu je podle svého stavebně technického určení vhodný pro účel nájmu dle odst. 1 tohoto článku. Charakter předmětu nájmu odpovídá potřebě nájemce v souladu s obecně závaznými právními předpisy.</w:t>
      </w:r>
    </w:p>
    <w:p w:rsidR="004B40C9" w:rsidRDefault="004B40C9" w:rsidP="004B40C9">
      <w:pPr>
        <w:pStyle w:val="Zkladntext"/>
        <w:jc w:val="both"/>
      </w:pPr>
    </w:p>
    <w:p w:rsidR="004B40C9" w:rsidRDefault="00B56B70" w:rsidP="00B56B70">
      <w:pPr>
        <w:pStyle w:val="Zkladntext"/>
        <w:ind w:left="322" w:hanging="322"/>
        <w:jc w:val="both"/>
      </w:pPr>
      <w:r>
        <w:t xml:space="preserve">3. </w:t>
      </w:r>
      <w:r w:rsidR="004B40C9">
        <w:t>Změna dohodnutého účelu nájmu je možná jen na základě předchozí písemné dohody smluvních stran.</w:t>
      </w:r>
    </w:p>
    <w:p w:rsidR="00F554E3" w:rsidRDefault="00F554E3" w:rsidP="00482C53">
      <w:pPr>
        <w:pStyle w:val="Nadpis4"/>
        <w:numPr>
          <w:ilvl w:val="0"/>
          <w:numId w:val="0"/>
        </w:numPr>
        <w:ind w:left="720"/>
      </w:pPr>
    </w:p>
    <w:p w:rsidR="00A529F5" w:rsidRDefault="004968E0" w:rsidP="004968E0">
      <w:pPr>
        <w:pStyle w:val="Nadpis4"/>
        <w:numPr>
          <w:ilvl w:val="0"/>
          <w:numId w:val="0"/>
        </w:numPr>
        <w:ind w:left="720"/>
      </w:pPr>
      <w:r>
        <w:t xml:space="preserve">                                  </w:t>
      </w:r>
      <w:r w:rsidR="00272C62">
        <w:t>I</w:t>
      </w:r>
      <w:r w:rsidR="00A529F5" w:rsidRPr="004968E0">
        <w:t>V.</w:t>
      </w:r>
      <w:r w:rsidR="006B0FD2">
        <w:tab/>
      </w:r>
      <w:r>
        <w:t xml:space="preserve">Cena </w:t>
      </w:r>
      <w:r w:rsidR="00F554E3">
        <w:t>nájmu</w:t>
      </w:r>
    </w:p>
    <w:p w:rsidR="00A529F5" w:rsidRPr="00A529F5" w:rsidRDefault="00A529F5" w:rsidP="00A529F5"/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974"/>
        <w:gridCol w:w="953"/>
        <w:gridCol w:w="1049"/>
        <w:gridCol w:w="1063"/>
        <w:gridCol w:w="780"/>
        <w:gridCol w:w="1418"/>
      </w:tblGrid>
      <w:tr w:rsidR="00877898" w:rsidTr="00877898">
        <w:trPr>
          <w:trHeight w:val="247"/>
        </w:trPr>
        <w:tc>
          <w:tcPr>
            <w:tcW w:w="329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plocha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  <w:t>jednotková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</w:rPr>
              <w:t>celkem Kč bez DPH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7898" w:rsidRDefault="00877898" w:rsidP="00B03C8D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</w:tr>
      <w:tr w:rsidR="00877898" w:rsidTr="00877898">
        <w:trPr>
          <w:trHeight w:val="259"/>
        </w:trPr>
        <w:tc>
          <w:tcPr>
            <w:tcW w:w="329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  <w:t>cena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</w:rPr>
              <w:t>ročně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</w:rPr>
              <w:t>měsíčně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77898" w:rsidRDefault="00877898" w:rsidP="00B03C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898" w:rsidRDefault="00877898" w:rsidP="00B03C8D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</w:tr>
      <w:tr w:rsidR="00877898" w:rsidTr="00877898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pronajatá plocha nebytových prostor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Pr="00BC3805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  <w:vertAlign w:val="superscript"/>
              </w:rPr>
            </w:pPr>
            <w:r>
              <w:rPr>
                <w:rFonts w:ascii="Arial" w:hAnsi="Arial"/>
                <w:snapToGrid w:val="0"/>
                <w:color w:val="000000"/>
              </w:rPr>
              <w:t>53,82 m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370,00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19 913,00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1 659,00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877898" w:rsidTr="00877898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pronajatá plocha kanceláří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66,83 m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2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600,00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40 098,00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3 342,00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877898" w:rsidTr="00877898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pronajatá venkovní betonová plocha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tabs>
                <w:tab w:val="center" w:pos="457"/>
                <w:tab w:val="right" w:pos="914"/>
              </w:tabs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30,24 m</w:t>
            </w:r>
            <w:r w:rsidRPr="00972868">
              <w:rPr>
                <w:rFonts w:ascii="Arial" w:hAnsi="Arial"/>
                <w:snapToGrid w:val="0"/>
                <w:color w:val="000000"/>
                <w:vertAlign w:val="superscript"/>
              </w:rPr>
              <w:t>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150,00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4 536,00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378,00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877898" w:rsidTr="00877898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roční náklady na teplo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snapToGrid w:val="0"/>
                <w:color w:val="000000"/>
                <w:vertAlign w:val="superscript"/>
              </w:rPr>
            </w:pPr>
            <w:r>
              <w:rPr>
                <w:rFonts w:ascii="Arial" w:hAnsi="Arial"/>
                <w:snapToGrid w:val="0"/>
                <w:color w:val="000000"/>
              </w:rPr>
              <w:t>100,24 m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Pr="00905D20" w:rsidRDefault="00877898" w:rsidP="00B03C8D">
            <w:pPr>
              <w:jc w:val="right"/>
              <w:rPr>
                <w:rFonts w:ascii="Arial" w:hAnsi="Arial"/>
                <w:snapToGrid w:val="0"/>
              </w:rPr>
            </w:pPr>
            <w:r w:rsidRPr="00905D20">
              <w:rPr>
                <w:rFonts w:ascii="Arial" w:hAnsi="Arial"/>
                <w:snapToGrid w:val="0"/>
              </w:rPr>
              <w:t>13 509,00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Pr="00905D20" w:rsidRDefault="00877898" w:rsidP="00B03C8D">
            <w:pPr>
              <w:jc w:val="right"/>
              <w:rPr>
                <w:rFonts w:ascii="Arial" w:hAnsi="Arial"/>
                <w:b/>
                <w:snapToGrid w:val="0"/>
              </w:rPr>
            </w:pPr>
            <w:r w:rsidRPr="00905D20">
              <w:rPr>
                <w:rFonts w:ascii="Arial" w:hAnsi="Arial"/>
                <w:b/>
                <w:snapToGrid w:val="0"/>
              </w:rPr>
              <w:t>1 126,00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77898" w:rsidRDefault="00877898" w:rsidP="00B03C8D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877898" w:rsidTr="00877898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roční náklady na vodné a stočné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4 498,00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375,00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77898" w:rsidRDefault="00877898" w:rsidP="00B03C8D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877898" w:rsidTr="00877898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stálé poplatky za </w:t>
            </w:r>
            <w:proofErr w:type="spellStart"/>
            <w:proofErr w:type="gramStart"/>
            <w:r>
              <w:rPr>
                <w:rFonts w:ascii="Arial" w:hAnsi="Arial"/>
                <w:snapToGrid w:val="0"/>
                <w:color w:val="000000"/>
              </w:rPr>
              <w:t>tel.ústřednu</w:t>
            </w:r>
            <w:proofErr w:type="spellEnd"/>
            <w:proofErr w:type="gramEnd"/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877898" w:rsidTr="00877898">
        <w:trPr>
          <w:trHeight w:val="247"/>
        </w:trPr>
        <w:tc>
          <w:tcPr>
            <w:tcW w:w="4265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tabs>
                <w:tab w:val="right" w:pos="4205"/>
              </w:tabs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hovorné dle skutečnosti</w:t>
            </w:r>
            <w:r>
              <w:rPr>
                <w:rFonts w:ascii="Arial" w:hAnsi="Arial"/>
                <w:snapToGrid w:val="0"/>
                <w:color w:val="000000"/>
              </w:rPr>
              <w:tab/>
              <w:t>0</w:t>
            </w: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77898" w:rsidRDefault="00877898" w:rsidP="00B03C8D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877898" w:rsidTr="00877898">
        <w:trPr>
          <w:trHeight w:val="259"/>
        </w:trPr>
        <w:tc>
          <w:tcPr>
            <w:tcW w:w="3291" w:type="dxa"/>
            <w:tcBorders>
              <w:left w:val="single" w:sz="12" w:space="0" w:color="auto"/>
              <w:bottom w:val="single" w:sz="12" w:space="0" w:color="auto"/>
            </w:tcBorders>
          </w:tcPr>
          <w:p w:rsidR="00877898" w:rsidRDefault="00877898" w:rsidP="00B03C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roční spotřeba </w:t>
            </w:r>
            <w:proofErr w:type="spellStart"/>
            <w:proofErr w:type="gramStart"/>
            <w:r>
              <w:rPr>
                <w:rFonts w:ascii="Arial" w:hAnsi="Arial"/>
                <w:snapToGrid w:val="0"/>
                <w:color w:val="000000"/>
              </w:rPr>
              <w:t>el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>.</w:t>
            </w:r>
            <w:proofErr w:type="gramStart"/>
            <w:r>
              <w:rPr>
                <w:rFonts w:ascii="Arial" w:hAnsi="Arial"/>
                <w:snapToGrid w:val="0"/>
                <w:color w:val="000000"/>
              </w:rPr>
              <w:t>energie</w:t>
            </w:r>
            <w:proofErr w:type="spellEnd"/>
            <w:proofErr w:type="gramEnd"/>
          </w:p>
        </w:tc>
        <w:tc>
          <w:tcPr>
            <w:tcW w:w="9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4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7898" w:rsidRPr="00433B4F" w:rsidRDefault="00877898" w:rsidP="00B03C8D">
            <w:pPr>
              <w:jc w:val="center"/>
              <w:rPr>
                <w:rFonts w:ascii="Arial" w:hAnsi="Arial"/>
                <w:snapToGrid w:val="0"/>
              </w:rPr>
            </w:pPr>
            <w:r w:rsidRPr="00433B4F">
              <w:rPr>
                <w:rFonts w:ascii="Arial" w:hAnsi="Arial"/>
                <w:snapToGrid w:val="0"/>
              </w:rPr>
              <w:t xml:space="preserve">   9 540,00</w:t>
            </w:r>
          </w:p>
        </w:tc>
        <w:tc>
          <w:tcPr>
            <w:tcW w:w="10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7898" w:rsidRPr="00433B4F" w:rsidRDefault="00877898" w:rsidP="00B03C8D">
            <w:pPr>
              <w:jc w:val="center"/>
              <w:rPr>
                <w:rFonts w:ascii="Arial" w:hAnsi="Arial"/>
                <w:b/>
                <w:snapToGrid w:val="0"/>
              </w:rPr>
            </w:pPr>
            <w:r w:rsidRPr="00433B4F">
              <w:rPr>
                <w:rFonts w:ascii="Arial" w:hAnsi="Arial"/>
                <w:b/>
                <w:snapToGrid w:val="0"/>
              </w:rPr>
              <w:t xml:space="preserve">       795,00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77898" w:rsidRPr="00600FF7" w:rsidRDefault="00877898" w:rsidP="00B03C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877898" w:rsidTr="00877898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877898" w:rsidRDefault="00877898" w:rsidP="00B03C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Likvidace komunálního odpadu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7898" w:rsidRPr="00972868" w:rsidRDefault="00877898" w:rsidP="00B03C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1 899,0</w:t>
            </w:r>
            <w:r w:rsidRPr="00972868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7898" w:rsidRPr="00600FF7" w:rsidRDefault="00877898" w:rsidP="00B03C8D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158,00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12" w:space="0" w:color="auto"/>
            </w:tcBorders>
          </w:tcPr>
          <w:p w:rsidR="00877898" w:rsidRDefault="00877898" w:rsidP="00B03C8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877898" w:rsidTr="00877898">
        <w:trPr>
          <w:trHeight w:val="247"/>
        </w:trPr>
        <w:tc>
          <w:tcPr>
            <w:tcW w:w="329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877898" w:rsidTr="00877898">
        <w:trPr>
          <w:trHeight w:val="259"/>
        </w:trPr>
        <w:tc>
          <w:tcPr>
            <w:tcW w:w="32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7898" w:rsidRDefault="00877898" w:rsidP="00B03C8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celkem</w:t>
            </w:r>
          </w:p>
        </w:tc>
        <w:tc>
          <w:tcPr>
            <w:tcW w:w="9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4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93 993,00</w:t>
            </w:r>
          </w:p>
        </w:tc>
        <w:tc>
          <w:tcPr>
            <w:tcW w:w="10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7 833,00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7898" w:rsidRDefault="00877898" w:rsidP="00B03C8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898" w:rsidRDefault="00877898" w:rsidP="00B03C8D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877898" w:rsidRPr="002D4F94" w:rsidRDefault="00877898" w:rsidP="00877898">
      <w:pPr>
        <w:widowControl w:val="0"/>
        <w:jc w:val="both"/>
        <w:rPr>
          <w:snapToGrid w:val="0"/>
          <w:sz w:val="24"/>
        </w:rPr>
      </w:pPr>
      <w:r w:rsidRPr="002D4F94">
        <w:rPr>
          <w:snapToGrid w:val="0"/>
          <w:sz w:val="24"/>
        </w:rPr>
        <w:t>Nájem a služby budou zdaňovány v souladu se zákonem č. 235/2004 sb., o DPH v platném znění</w:t>
      </w:r>
      <w:r>
        <w:rPr>
          <w:snapToGrid w:val="0"/>
          <w:sz w:val="24"/>
        </w:rPr>
        <w:t>.</w:t>
      </w:r>
    </w:p>
    <w:p w:rsidR="00877898" w:rsidRPr="00E202C5" w:rsidRDefault="00877898" w:rsidP="00877898"/>
    <w:p w:rsidR="00AF05C4" w:rsidRPr="00876DA4" w:rsidRDefault="00AF05C4" w:rsidP="00876DA4">
      <w:pPr>
        <w:pStyle w:val="Zkladntext"/>
        <w:jc w:val="both"/>
        <w:rPr>
          <w:color w:val="000000"/>
          <w:szCs w:val="24"/>
        </w:rPr>
      </w:pPr>
    </w:p>
    <w:p w:rsidR="00E44551" w:rsidRDefault="000E39DD" w:rsidP="004968E0">
      <w:pPr>
        <w:pStyle w:val="Nadpis1"/>
        <w:rPr>
          <w:rStyle w:val="Siln"/>
          <w:b/>
        </w:rPr>
      </w:pPr>
      <w:bookmarkStart w:id="1" w:name="_MON_1450806325"/>
      <w:bookmarkStart w:id="2" w:name="_MON_1450806285"/>
      <w:bookmarkEnd w:id="1"/>
      <w:bookmarkEnd w:id="2"/>
      <w:r w:rsidRPr="008127DE">
        <w:t xml:space="preserve">               </w:t>
      </w:r>
      <w:r w:rsidR="004968E0" w:rsidRPr="008127DE">
        <w:t xml:space="preserve">                          </w:t>
      </w:r>
      <w:r w:rsidRPr="008127DE">
        <w:t xml:space="preserve"> </w:t>
      </w:r>
      <w:r w:rsidR="004968E0" w:rsidRPr="008127DE">
        <w:t xml:space="preserve"> </w:t>
      </w:r>
      <w:r w:rsidRPr="008127DE">
        <w:t xml:space="preserve">  </w:t>
      </w:r>
      <w:proofErr w:type="gramStart"/>
      <w:r w:rsidR="00272C62">
        <w:rPr>
          <w:rStyle w:val="Siln"/>
          <w:b/>
        </w:rPr>
        <w:t>V</w:t>
      </w:r>
      <w:r w:rsidRPr="008127DE">
        <w:rPr>
          <w:rStyle w:val="Siln"/>
          <w:b/>
        </w:rPr>
        <w:t xml:space="preserve">.      </w:t>
      </w:r>
      <w:r w:rsidR="00F554E3" w:rsidRPr="008127DE">
        <w:rPr>
          <w:rStyle w:val="Siln"/>
          <w:b/>
        </w:rPr>
        <w:t>Splatnost</w:t>
      </w:r>
      <w:proofErr w:type="gramEnd"/>
      <w:r w:rsidR="00F554E3" w:rsidRPr="008127DE">
        <w:rPr>
          <w:rStyle w:val="Siln"/>
          <w:b/>
        </w:rPr>
        <w:t xml:space="preserve"> nájemného a ceny služeb</w:t>
      </w:r>
    </w:p>
    <w:p w:rsidR="000E39DD" w:rsidRPr="000E39DD" w:rsidRDefault="000E39DD" w:rsidP="000E39DD"/>
    <w:p w:rsidR="00FD2973" w:rsidRPr="00FD2973" w:rsidRDefault="000E39DD" w:rsidP="00FD2973">
      <w:pPr>
        <w:ind w:left="284" w:hanging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1. </w:t>
      </w:r>
      <w:r w:rsidR="00FD2973" w:rsidRPr="00FD2973">
        <w:rPr>
          <w:snapToGrid w:val="0"/>
          <w:color w:val="000000"/>
          <w:sz w:val="24"/>
        </w:rPr>
        <w:t xml:space="preserve">Měsíční platby nájemného a paušály za služby budou uskutečňovány na základě daňových dokladů vystavených do 15 dnů ode dne uskutečnění zdanitelného plnění se splatností </w:t>
      </w:r>
      <w:proofErr w:type="gramStart"/>
      <w:r w:rsidR="00FD2973" w:rsidRPr="00FD2973">
        <w:rPr>
          <w:snapToGrid w:val="0"/>
          <w:color w:val="000000"/>
          <w:sz w:val="24"/>
        </w:rPr>
        <w:t>14-ti</w:t>
      </w:r>
      <w:proofErr w:type="gramEnd"/>
      <w:r w:rsidR="00FD2973" w:rsidRPr="00FD2973">
        <w:rPr>
          <w:snapToGrid w:val="0"/>
          <w:color w:val="000000"/>
          <w:sz w:val="24"/>
        </w:rPr>
        <w:t xml:space="preserve"> dnů od data vystavení. Pro zajištění úhrady oprávněných pohledávek z této smlouvy může pronajímatel využít možnosti jejich zápočtu proti jakékoliv oprávněné pohledávce, kterou má, nebo bude mít nájemce za pronajímatelem.</w:t>
      </w:r>
    </w:p>
    <w:p w:rsidR="000E39DD" w:rsidRPr="00FD2973" w:rsidRDefault="000E39DD" w:rsidP="00FD2973">
      <w:pPr>
        <w:ind w:left="284" w:hanging="284"/>
        <w:jc w:val="both"/>
        <w:rPr>
          <w:color w:val="000000"/>
          <w:sz w:val="24"/>
          <w:szCs w:val="24"/>
        </w:rPr>
      </w:pPr>
      <w:r w:rsidRPr="000E39DD">
        <w:rPr>
          <w:sz w:val="24"/>
          <w:szCs w:val="24"/>
        </w:rPr>
        <w:t xml:space="preserve"> </w:t>
      </w:r>
      <w:r w:rsidR="00FD2973">
        <w:rPr>
          <w:color w:val="000000"/>
          <w:sz w:val="24"/>
          <w:szCs w:val="24"/>
        </w:rPr>
        <w:t xml:space="preserve">   </w:t>
      </w:r>
      <w:r w:rsidRPr="000E39DD">
        <w:rPr>
          <w:sz w:val="24"/>
          <w:szCs w:val="24"/>
        </w:rPr>
        <w:t>V případě ukončení nájemního vztahu bude mezi oběma stranami provedeno finanční vyrovnání.</w:t>
      </w:r>
    </w:p>
    <w:p w:rsidR="001C668F" w:rsidRPr="000E39DD" w:rsidRDefault="001C668F" w:rsidP="001C668F">
      <w:pPr>
        <w:rPr>
          <w:color w:val="000000"/>
          <w:sz w:val="24"/>
          <w:szCs w:val="24"/>
        </w:rPr>
      </w:pPr>
    </w:p>
    <w:p w:rsidR="00F554E3" w:rsidRPr="000E39DD" w:rsidRDefault="001A12C7" w:rsidP="001A12C7">
      <w:pPr>
        <w:ind w:left="308" w:hanging="308"/>
        <w:jc w:val="both"/>
        <w:rPr>
          <w:sz w:val="24"/>
          <w:szCs w:val="24"/>
        </w:rPr>
      </w:pPr>
      <w:r w:rsidRPr="000E39DD">
        <w:rPr>
          <w:sz w:val="24"/>
          <w:szCs w:val="24"/>
        </w:rPr>
        <w:t xml:space="preserve">2. </w:t>
      </w:r>
      <w:r w:rsidR="00F554E3" w:rsidRPr="000E39DD">
        <w:rPr>
          <w:sz w:val="24"/>
          <w:szCs w:val="24"/>
        </w:rPr>
        <w:t xml:space="preserve">Zaplacením </w:t>
      </w:r>
      <w:r w:rsidR="00591225" w:rsidRPr="000E39DD">
        <w:rPr>
          <w:sz w:val="24"/>
          <w:szCs w:val="24"/>
        </w:rPr>
        <w:t xml:space="preserve">nájemného </w:t>
      </w:r>
      <w:r w:rsidR="00F554E3" w:rsidRPr="000E39DD">
        <w:rPr>
          <w:sz w:val="24"/>
          <w:szCs w:val="24"/>
        </w:rPr>
        <w:t>se rozumí připsání finanční částky na účet pronajímatele. Úhrada tedy bude prováděna bezhotovostním způsobem, převodem z</w:t>
      </w:r>
      <w:r w:rsidR="00AA257F" w:rsidRPr="000E39DD">
        <w:rPr>
          <w:sz w:val="24"/>
          <w:szCs w:val="24"/>
        </w:rPr>
        <w:t xml:space="preserve"> </w:t>
      </w:r>
      <w:r w:rsidR="00F554E3" w:rsidRPr="000E39DD">
        <w:rPr>
          <w:sz w:val="24"/>
          <w:szCs w:val="24"/>
        </w:rPr>
        <w:t> účtu nájemce na účet pronajímatele na základě faktury vystavené pronajímatelem.</w:t>
      </w:r>
    </w:p>
    <w:p w:rsidR="001A12C7" w:rsidRPr="000E39DD" w:rsidRDefault="001A12C7" w:rsidP="001A12C7">
      <w:pPr>
        <w:ind w:left="308" w:hanging="308"/>
        <w:jc w:val="both"/>
        <w:rPr>
          <w:sz w:val="24"/>
          <w:szCs w:val="24"/>
        </w:rPr>
      </w:pPr>
    </w:p>
    <w:p w:rsidR="00F554E3" w:rsidRPr="000E39DD" w:rsidRDefault="001A12C7" w:rsidP="00773E3F">
      <w:pPr>
        <w:ind w:left="284" w:hanging="284"/>
        <w:jc w:val="both"/>
        <w:rPr>
          <w:sz w:val="24"/>
          <w:szCs w:val="24"/>
        </w:rPr>
      </w:pPr>
      <w:r w:rsidRPr="000E39DD">
        <w:rPr>
          <w:sz w:val="24"/>
          <w:szCs w:val="24"/>
        </w:rPr>
        <w:t xml:space="preserve">3. </w:t>
      </w:r>
      <w:r w:rsidR="00773E3F" w:rsidRPr="000E39DD">
        <w:rPr>
          <w:sz w:val="24"/>
          <w:szCs w:val="24"/>
        </w:rPr>
        <w:t xml:space="preserve">Nájemce se v případě pozdní úhrady </w:t>
      </w:r>
      <w:r w:rsidR="00F554E3" w:rsidRPr="000E39DD">
        <w:rPr>
          <w:sz w:val="24"/>
          <w:szCs w:val="24"/>
        </w:rPr>
        <w:t xml:space="preserve">nájemného a služeb </w:t>
      </w:r>
      <w:r w:rsidR="00773E3F" w:rsidRPr="000E39DD">
        <w:rPr>
          <w:sz w:val="24"/>
          <w:szCs w:val="24"/>
        </w:rPr>
        <w:t>zavazuje zaplatit</w:t>
      </w:r>
      <w:r w:rsidR="00F554E3" w:rsidRPr="000E39DD">
        <w:rPr>
          <w:sz w:val="24"/>
          <w:szCs w:val="24"/>
        </w:rPr>
        <w:t xml:space="preserve"> smluvní pokutu ve výši 0,</w:t>
      </w:r>
      <w:r w:rsidR="00D44798" w:rsidRPr="000E39DD">
        <w:rPr>
          <w:sz w:val="24"/>
          <w:szCs w:val="24"/>
        </w:rPr>
        <w:t>3</w:t>
      </w:r>
      <w:r w:rsidR="00F554E3" w:rsidRPr="000E39DD">
        <w:rPr>
          <w:sz w:val="24"/>
          <w:szCs w:val="24"/>
        </w:rPr>
        <w:t xml:space="preserve"> % z částky včas nezaplacené za každý den prodlení, a to i v případě, že by byla zaplacena třeba jen část nájemného nebo služeb.</w:t>
      </w:r>
    </w:p>
    <w:p w:rsidR="00773E3F" w:rsidRPr="000E39DD" w:rsidRDefault="00773E3F" w:rsidP="00773E3F">
      <w:pPr>
        <w:ind w:left="284" w:hanging="284"/>
        <w:jc w:val="both"/>
        <w:rPr>
          <w:sz w:val="24"/>
          <w:szCs w:val="24"/>
        </w:rPr>
      </w:pPr>
    </w:p>
    <w:p w:rsidR="00FF379A" w:rsidRPr="000E39DD" w:rsidRDefault="005943A1" w:rsidP="00B23B6C">
      <w:pPr>
        <w:ind w:left="284" w:hanging="284"/>
        <w:jc w:val="both"/>
        <w:rPr>
          <w:sz w:val="24"/>
          <w:szCs w:val="24"/>
        </w:rPr>
      </w:pPr>
      <w:r w:rsidRPr="000E39DD">
        <w:rPr>
          <w:sz w:val="24"/>
          <w:szCs w:val="24"/>
        </w:rPr>
        <w:t>4</w:t>
      </w:r>
      <w:r w:rsidR="00B23B6C" w:rsidRPr="000E39DD">
        <w:rPr>
          <w:sz w:val="24"/>
          <w:szCs w:val="24"/>
        </w:rPr>
        <w:t xml:space="preserve">. </w:t>
      </w:r>
      <w:r w:rsidR="0050087B" w:rsidRPr="000E39DD">
        <w:rPr>
          <w:sz w:val="24"/>
          <w:szCs w:val="24"/>
        </w:rPr>
        <w:t xml:space="preserve">Cena nájemného a služeb je uvedena v tabulce článku V. </w:t>
      </w:r>
      <w:r w:rsidR="00B23B6C" w:rsidRPr="000E39DD">
        <w:rPr>
          <w:sz w:val="24"/>
          <w:szCs w:val="24"/>
        </w:rPr>
        <w:t xml:space="preserve">Jedná se o </w:t>
      </w:r>
      <w:r w:rsidR="0050087B" w:rsidRPr="000E39DD">
        <w:rPr>
          <w:sz w:val="24"/>
          <w:szCs w:val="24"/>
        </w:rPr>
        <w:t>cen</w:t>
      </w:r>
      <w:r w:rsidR="00B23B6C" w:rsidRPr="000E39DD">
        <w:rPr>
          <w:sz w:val="24"/>
          <w:szCs w:val="24"/>
        </w:rPr>
        <w:t>u</w:t>
      </w:r>
      <w:r w:rsidR="0050087B" w:rsidRPr="000E39DD">
        <w:rPr>
          <w:sz w:val="24"/>
          <w:szCs w:val="24"/>
        </w:rPr>
        <w:t xml:space="preserve"> smluvní</w:t>
      </w:r>
      <w:r w:rsidR="00B23B6C" w:rsidRPr="000E39DD">
        <w:rPr>
          <w:sz w:val="24"/>
          <w:szCs w:val="24"/>
        </w:rPr>
        <w:t xml:space="preserve">, která </w:t>
      </w:r>
      <w:r w:rsidR="0050087B" w:rsidRPr="000E39DD">
        <w:rPr>
          <w:sz w:val="24"/>
          <w:szCs w:val="24"/>
        </w:rPr>
        <w:t>vychází ze skutečných nákladů p</w:t>
      </w:r>
      <w:r w:rsidR="002F0A61" w:rsidRPr="000E39DD">
        <w:rPr>
          <w:sz w:val="24"/>
          <w:szCs w:val="24"/>
        </w:rPr>
        <w:t xml:space="preserve">ředchozího roku. </w:t>
      </w:r>
      <w:r w:rsidRPr="000E39DD">
        <w:rPr>
          <w:sz w:val="24"/>
          <w:szCs w:val="24"/>
        </w:rPr>
        <w:t>Cena nájmu nezahrnuje</w:t>
      </w:r>
      <w:r w:rsidR="0050087B" w:rsidRPr="000E39DD">
        <w:rPr>
          <w:sz w:val="24"/>
          <w:szCs w:val="24"/>
        </w:rPr>
        <w:t xml:space="preserve"> </w:t>
      </w:r>
      <w:r w:rsidRPr="000E39DD">
        <w:rPr>
          <w:sz w:val="24"/>
          <w:szCs w:val="24"/>
        </w:rPr>
        <w:t>úklid prostor pronajatých nájemci (ten si zajišťuje nájemce sám)</w:t>
      </w:r>
      <w:r w:rsidR="0050087B" w:rsidRPr="000E39DD">
        <w:rPr>
          <w:sz w:val="24"/>
          <w:szCs w:val="24"/>
        </w:rPr>
        <w:t xml:space="preserve">, likvidaci </w:t>
      </w:r>
      <w:r w:rsidRPr="000E39DD">
        <w:rPr>
          <w:sz w:val="24"/>
          <w:szCs w:val="24"/>
        </w:rPr>
        <w:t>ne</w:t>
      </w:r>
      <w:r w:rsidR="0050087B" w:rsidRPr="000E39DD">
        <w:rPr>
          <w:sz w:val="24"/>
          <w:szCs w:val="24"/>
        </w:rPr>
        <w:t>b</w:t>
      </w:r>
      <w:r w:rsidRPr="000E39DD">
        <w:rPr>
          <w:sz w:val="24"/>
          <w:szCs w:val="24"/>
        </w:rPr>
        <w:t>ezpeč</w:t>
      </w:r>
      <w:r w:rsidR="0050087B" w:rsidRPr="000E39DD">
        <w:rPr>
          <w:sz w:val="24"/>
          <w:szCs w:val="24"/>
        </w:rPr>
        <w:t xml:space="preserve">ného odpadu. </w:t>
      </w:r>
      <w:r w:rsidR="00B23B6C" w:rsidRPr="000E39DD">
        <w:rPr>
          <w:sz w:val="24"/>
          <w:szCs w:val="24"/>
        </w:rPr>
        <w:t xml:space="preserve"> </w:t>
      </w:r>
    </w:p>
    <w:p w:rsidR="00B23B6C" w:rsidRPr="000E39DD" w:rsidRDefault="00B23B6C" w:rsidP="00B23B6C">
      <w:pPr>
        <w:ind w:left="284" w:hanging="284"/>
        <w:jc w:val="both"/>
        <w:rPr>
          <w:sz w:val="24"/>
          <w:szCs w:val="24"/>
        </w:rPr>
      </w:pPr>
    </w:p>
    <w:p w:rsidR="003B15DE" w:rsidRPr="000E39DD" w:rsidRDefault="005943A1" w:rsidP="003B15DE">
      <w:pPr>
        <w:ind w:left="322" w:hanging="322"/>
        <w:jc w:val="both"/>
        <w:rPr>
          <w:sz w:val="24"/>
          <w:szCs w:val="24"/>
        </w:rPr>
      </w:pPr>
      <w:r w:rsidRPr="000E39DD">
        <w:rPr>
          <w:sz w:val="24"/>
          <w:szCs w:val="24"/>
        </w:rPr>
        <w:lastRenderedPageBreak/>
        <w:t>5</w:t>
      </w:r>
      <w:r w:rsidR="00B23B6C" w:rsidRPr="000E39DD">
        <w:rPr>
          <w:sz w:val="24"/>
          <w:szCs w:val="24"/>
        </w:rPr>
        <w:t xml:space="preserve">. </w:t>
      </w:r>
      <w:r w:rsidR="003B15DE" w:rsidRPr="000E39DD">
        <w:rPr>
          <w:sz w:val="24"/>
          <w:szCs w:val="24"/>
        </w:rPr>
        <w:t>Vzhledem k tomu, že v ceně nájmu jsou zahrnuty energie a služby, bude se cena služeb upravovat vždy v návaznosti na změny cen jednotlivých energií a služeb.</w:t>
      </w:r>
    </w:p>
    <w:p w:rsidR="00CB67E8" w:rsidRPr="000E39DD" w:rsidRDefault="00CB67E8" w:rsidP="003B15DE">
      <w:pPr>
        <w:pStyle w:val="Zkladntext"/>
        <w:ind w:left="322"/>
        <w:jc w:val="both"/>
        <w:rPr>
          <w:szCs w:val="24"/>
        </w:rPr>
      </w:pPr>
      <w:r w:rsidRPr="000E39DD">
        <w:rPr>
          <w:szCs w:val="24"/>
        </w:rPr>
        <w:t>Částka za spotřebovanou elektrickou energii byla vypočtena energetikem</w:t>
      </w:r>
      <w:r w:rsidR="006B0FD2">
        <w:rPr>
          <w:szCs w:val="24"/>
        </w:rPr>
        <w:t xml:space="preserve"> podniku</w:t>
      </w:r>
      <w:r w:rsidRPr="000E39DD">
        <w:rPr>
          <w:szCs w:val="24"/>
        </w:rPr>
        <w:t xml:space="preserve"> na základě předpokladu běžně používaných spotřebičů v</w:t>
      </w:r>
      <w:r w:rsidR="006B0FD2">
        <w:rPr>
          <w:szCs w:val="24"/>
        </w:rPr>
        <w:t> pronajatém prostoru</w:t>
      </w:r>
      <w:r w:rsidRPr="000E39DD">
        <w:rPr>
          <w:szCs w:val="24"/>
        </w:rPr>
        <w:t>.</w:t>
      </w:r>
    </w:p>
    <w:p w:rsidR="00F554E3" w:rsidRPr="000E39DD" w:rsidRDefault="00F554E3">
      <w:pPr>
        <w:jc w:val="both"/>
        <w:rPr>
          <w:sz w:val="24"/>
          <w:szCs w:val="24"/>
        </w:rPr>
      </w:pPr>
    </w:p>
    <w:p w:rsidR="00F554E3" w:rsidRPr="000E39DD" w:rsidRDefault="00E43525" w:rsidP="00E43525">
      <w:pPr>
        <w:pStyle w:val="Zkladntextodsazen"/>
        <w:rPr>
          <w:b/>
          <w:szCs w:val="24"/>
        </w:rPr>
      </w:pPr>
      <w:r>
        <w:rPr>
          <w:b/>
          <w:szCs w:val="24"/>
        </w:rPr>
        <w:t xml:space="preserve">                                             </w:t>
      </w:r>
      <w:r w:rsidR="00C81D1A" w:rsidRPr="000E39DD">
        <w:rPr>
          <w:b/>
          <w:szCs w:val="24"/>
        </w:rPr>
        <w:t>VI.</w:t>
      </w:r>
      <w:r w:rsidR="00C81D1A" w:rsidRPr="000E39DD">
        <w:rPr>
          <w:b/>
          <w:szCs w:val="24"/>
        </w:rPr>
        <w:tab/>
      </w:r>
      <w:r>
        <w:rPr>
          <w:b/>
          <w:szCs w:val="24"/>
        </w:rPr>
        <w:t xml:space="preserve">   </w:t>
      </w:r>
      <w:r w:rsidR="004968E0">
        <w:rPr>
          <w:b/>
          <w:szCs w:val="24"/>
        </w:rPr>
        <w:t xml:space="preserve"> </w:t>
      </w:r>
      <w:r w:rsidR="00C81D1A" w:rsidRPr="000E39DD">
        <w:rPr>
          <w:b/>
          <w:szCs w:val="24"/>
        </w:rPr>
        <w:t>Doba nájmu</w:t>
      </w:r>
    </w:p>
    <w:p w:rsidR="00F554E3" w:rsidRPr="000E39DD" w:rsidRDefault="00F554E3">
      <w:pPr>
        <w:jc w:val="both"/>
        <w:rPr>
          <w:b/>
          <w:sz w:val="24"/>
          <w:szCs w:val="24"/>
        </w:rPr>
      </w:pPr>
    </w:p>
    <w:p w:rsidR="006523F8" w:rsidRPr="00BA5760" w:rsidRDefault="00630D13" w:rsidP="006523F8">
      <w:pPr>
        <w:jc w:val="both"/>
        <w:rPr>
          <w:color w:val="000000"/>
          <w:sz w:val="24"/>
        </w:rPr>
      </w:pPr>
      <w:r w:rsidRPr="000E39DD">
        <w:rPr>
          <w:sz w:val="24"/>
          <w:szCs w:val="24"/>
        </w:rPr>
        <w:t xml:space="preserve">1. </w:t>
      </w:r>
      <w:r w:rsidR="00002603" w:rsidRPr="000E39DD">
        <w:rPr>
          <w:sz w:val="24"/>
          <w:szCs w:val="24"/>
        </w:rPr>
        <w:t>N</w:t>
      </w:r>
      <w:r w:rsidR="00F554E3" w:rsidRPr="000E39DD">
        <w:rPr>
          <w:sz w:val="24"/>
          <w:szCs w:val="24"/>
        </w:rPr>
        <w:t>ájemní vztah se sje</w:t>
      </w:r>
      <w:r w:rsidR="00411014" w:rsidRPr="000E39DD">
        <w:rPr>
          <w:sz w:val="24"/>
          <w:szCs w:val="24"/>
        </w:rPr>
        <w:t xml:space="preserve">dnává na dobu </w:t>
      </w:r>
      <w:r w:rsidR="00C81D1A" w:rsidRPr="000E39DD">
        <w:rPr>
          <w:sz w:val="24"/>
          <w:szCs w:val="24"/>
        </w:rPr>
        <w:t xml:space="preserve">určitou </w:t>
      </w:r>
      <w:r w:rsidR="00411014" w:rsidRPr="000E39DD">
        <w:rPr>
          <w:sz w:val="24"/>
          <w:szCs w:val="24"/>
        </w:rPr>
        <w:t xml:space="preserve">5 let, </w:t>
      </w:r>
      <w:r w:rsidR="00591A01" w:rsidRPr="000E39DD">
        <w:rPr>
          <w:sz w:val="24"/>
          <w:szCs w:val="24"/>
        </w:rPr>
        <w:t xml:space="preserve">tj. od </w:t>
      </w:r>
      <w:proofErr w:type="gramStart"/>
      <w:r w:rsidR="008128CE">
        <w:rPr>
          <w:sz w:val="24"/>
          <w:szCs w:val="24"/>
        </w:rPr>
        <w:t>01.</w:t>
      </w:r>
      <w:r w:rsidR="00877898">
        <w:rPr>
          <w:sz w:val="24"/>
          <w:szCs w:val="24"/>
        </w:rPr>
        <w:t>11</w:t>
      </w:r>
      <w:r w:rsidR="00A95C21" w:rsidRPr="000E39DD">
        <w:rPr>
          <w:sz w:val="24"/>
          <w:szCs w:val="24"/>
        </w:rPr>
        <w:t>.2014</w:t>
      </w:r>
      <w:proofErr w:type="gramEnd"/>
      <w:r w:rsidR="00F554E3" w:rsidRPr="000E39DD">
        <w:rPr>
          <w:sz w:val="24"/>
          <w:szCs w:val="24"/>
        </w:rPr>
        <w:t xml:space="preserve"> do </w:t>
      </w:r>
      <w:r w:rsidR="00877898">
        <w:rPr>
          <w:sz w:val="24"/>
          <w:szCs w:val="24"/>
        </w:rPr>
        <w:t>31.10</w:t>
      </w:r>
      <w:r w:rsidR="00A95C21" w:rsidRPr="000E39DD">
        <w:rPr>
          <w:sz w:val="24"/>
          <w:szCs w:val="24"/>
        </w:rPr>
        <w:t>.2019</w:t>
      </w:r>
      <w:r w:rsidR="006523F8">
        <w:rPr>
          <w:sz w:val="24"/>
          <w:szCs w:val="24"/>
        </w:rPr>
        <w:t>, přičemž</w:t>
      </w:r>
      <w:r w:rsidR="006523F8" w:rsidRPr="006523F8">
        <w:rPr>
          <w:color w:val="000000"/>
          <w:sz w:val="24"/>
        </w:rPr>
        <w:t xml:space="preserve"> </w:t>
      </w:r>
      <w:r w:rsidR="006523F8">
        <w:rPr>
          <w:color w:val="000000"/>
          <w:sz w:val="24"/>
        </w:rPr>
        <w:t>n</w:t>
      </w:r>
      <w:r w:rsidR="006523F8" w:rsidRPr="00BA5760">
        <w:rPr>
          <w:color w:val="000000"/>
          <w:sz w:val="24"/>
        </w:rPr>
        <w:t xml:space="preserve">ájemce se zavazuje využívat </w:t>
      </w:r>
      <w:r w:rsidR="006523F8">
        <w:rPr>
          <w:color w:val="000000"/>
          <w:sz w:val="24"/>
        </w:rPr>
        <w:t xml:space="preserve">pronajatý </w:t>
      </w:r>
      <w:r w:rsidR="006523F8" w:rsidRPr="00BA5760">
        <w:rPr>
          <w:color w:val="000000"/>
          <w:sz w:val="24"/>
        </w:rPr>
        <w:t xml:space="preserve">prostor D030 minimálně do </w:t>
      </w:r>
      <w:r w:rsidR="00422191">
        <w:rPr>
          <w:color w:val="000000"/>
          <w:sz w:val="24"/>
        </w:rPr>
        <w:t>30</w:t>
      </w:r>
      <w:r w:rsidR="006523F8" w:rsidRPr="00BA5760">
        <w:rPr>
          <w:color w:val="000000"/>
          <w:sz w:val="24"/>
        </w:rPr>
        <w:t xml:space="preserve">. </w:t>
      </w:r>
      <w:r w:rsidR="00422191">
        <w:rPr>
          <w:color w:val="000000"/>
          <w:sz w:val="24"/>
        </w:rPr>
        <w:t>6</w:t>
      </w:r>
      <w:r w:rsidR="006523F8" w:rsidRPr="00BA5760">
        <w:rPr>
          <w:color w:val="000000"/>
          <w:sz w:val="24"/>
        </w:rPr>
        <w:t xml:space="preserve">. 2018. V případě, že bude nájem ze strany nájemce </w:t>
      </w:r>
      <w:r w:rsidR="00422191">
        <w:rPr>
          <w:color w:val="000000"/>
          <w:sz w:val="24"/>
        </w:rPr>
        <w:t xml:space="preserve">v tomto prostoru </w:t>
      </w:r>
      <w:r w:rsidR="006523F8" w:rsidRPr="00BA5760">
        <w:rPr>
          <w:color w:val="000000"/>
          <w:sz w:val="24"/>
        </w:rPr>
        <w:t>ukončen před tímto datem, zavazuje se nájemce uhradit pronajímateli poměrnou část nákladů vzniklých při rekonstrukci D030, přičemž se jedná o částku 2 </w:t>
      </w:r>
      <w:r w:rsidR="00422191">
        <w:rPr>
          <w:color w:val="000000"/>
          <w:sz w:val="24"/>
        </w:rPr>
        <w:t>777</w:t>
      </w:r>
      <w:r w:rsidR="006523F8" w:rsidRPr="00BA5760">
        <w:rPr>
          <w:color w:val="000000"/>
          <w:sz w:val="24"/>
        </w:rPr>
        <w:t xml:space="preserve">,- Kč měsíčně. Tuto částku je nájemce povinen hradit i v případě </w:t>
      </w:r>
      <w:r w:rsidR="00422191">
        <w:rPr>
          <w:color w:val="000000"/>
          <w:sz w:val="24"/>
        </w:rPr>
        <w:t>výpovědi pronajímatele dle bodu 3. čl.</w:t>
      </w:r>
      <w:r w:rsidR="004536E8">
        <w:rPr>
          <w:color w:val="000000"/>
          <w:sz w:val="24"/>
        </w:rPr>
        <w:t xml:space="preserve"> </w:t>
      </w:r>
      <w:r w:rsidR="00422191">
        <w:rPr>
          <w:color w:val="000000"/>
          <w:sz w:val="24"/>
        </w:rPr>
        <w:t>VI.</w:t>
      </w:r>
    </w:p>
    <w:p w:rsidR="00002603" w:rsidRPr="000E39DD" w:rsidRDefault="00002603" w:rsidP="003B15DE">
      <w:pPr>
        <w:jc w:val="both"/>
        <w:rPr>
          <w:sz w:val="24"/>
          <w:szCs w:val="24"/>
        </w:rPr>
      </w:pPr>
    </w:p>
    <w:p w:rsidR="003E6077" w:rsidRPr="000E39DD" w:rsidRDefault="003E6077" w:rsidP="003E6077">
      <w:pPr>
        <w:ind w:left="308" w:hanging="308"/>
        <w:jc w:val="both"/>
        <w:rPr>
          <w:sz w:val="24"/>
          <w:szCs w:val="24"/>
        </w:rPr>
      </w:pPr>
      <w:r w:rsidRPr="000E39DD">
        <w:rPr>
          <w:sz w:val="24"/>
          <w:szCs w:val="24"/>
        </w:rPr>
        <w:t>2.</w:t>
      </w:r>
      <w:r w:rsidR="00482E0F">
        <w:rPr>
          <w:sz w:val="24"/>
          <w:szCs w:val="24"/>
        </w:rPr>
        <w:t xml:space="preserve"> Výpovědní lhůta je </w:t>
      </w:r>
      <w:proofErr w:type="gramStart"/>
      <w:r w:rsidR="004536E8">
        <w:rPr>
          <w:sz w:val="24"/>
          <w:szCs w:val="24"/>
        </w:rPr>
        <w:t xml:space="preserve">šestiměsíční </w:t>
      </w:r>
      <w:r w:rsidRPr="006956F5">
        <w:rPr>
          <w:sz w:val="24"/>
          <w:szCs w:val="24"/>
        </w:rPr>
        <w:t xml:space="preserve"> </w:t>
      </w:r>
      <w:r w:rsidRPr="000E39DD">
        <w:rPr>
          <w:sz w:val="24"/>
          <w:szCs w:val="24"/>
        </w:rPr>
        <w:t>a počíná</w:t>
      </w:r>
      <w:proofErr w:type="gramEnd"/>
      <w:r w:rsidRPr="000E39DD">
        <w:rPr>
          <w:sz w:val="24"/>
          <w:szCs w:val="24"/>
        </w:rPr>
        <w:t xml:space="preserve"> běžet první den měsíce následujícího od doručení výpovědi. </w:t>
      </w:r>
    </w:p>
    <w:p w:rsidR="00630D13" w:rsidRPr="000E39DD" w:rsidRDefault="00630D13" w:rsidP="00002603">
      <w:pPr>
        <w:jc w:val="both"/>
        <w:rPr>
          <w:sz w:val="24"/>
          <w:szCs w:val="24"/>
        </w:rPr>
      </w:pPr>
    </w:p>
    <w:p w:rsidR="00002603" w:rsidRPr="000E39DD" w:rsidRDefault="003E6077" w:rsidP="003E6077">
      <w:pPr>
        <w:jc w:val="both"/>
        <w:rPr>
          <w:sz w:val="24"/>
          <w:szCs w:val="24"/>
        </w:rPr>
      </w:pPr>
      <w:r w:rsidRPr="000E39DD">
        <w:rPr>
          <w:sz w:val="24"/>
          <w:szCs w:val="24"/>
        </w:rPr>
        <w:t>3</w:t>
      </w:r>
      <w:r w:rsidR="00002603" w:rsidRPr="000E39DD">
        <w:rPr>
          <w:sz w:val="24"/>
          <w:szCs w:val="24"/>
        </w:rPr>
        <w:t>. Pronaj</w:t>
      </w:r>
      <w:r w:rsidR="006900E2" w:rsidRPr="000E39DD">
        <w:rPr>
          <w:sz w:val="24"/>
          <w:szCs w:val="24"/>
        </w:rPr>
        <w:t>í</w:t>
      </w:r>
      <w:r w:rsidR="00002603" w:rsidRPr="000E39DD">
        <w:rPr>
          <w:sz w:val="24"/>
          <w:szCs w:val="24"/>
        </w:rPr>
        <w:t xml:space="preserve">matel může jednostranně vypovědět nájemní vztah </w:t>
      </w:r>
      <w:r w:rsidRPr="000E39DD">
        <w:rPr>
          <w:sz w:val="24"/>
          <w:szCs w:val="24"/>
        </w:rPr>
        <w:t xml:space="preserve">v jednoměsíční výpovědní lhůtě </w:t>
      </w:r>
      <w:r w:rsidR="00002603" w:rsidRPr="000E39DD">
        <w:rPr>
          <w:sz w:val="24"/>
          <w:szCs w:val="24"/>
        </w:rPr>
        <w:t>z těchto důvodů:</w:t>
      </w:r>
    </w:p>
    <w:p w:rsidR="003E6077" w:rsidRPr="000E39DD" w:rsidRDefault="003E6077" w:rsidP="003E6077">
      <w:pPr>
        <w:ind w:firstLine="252"/>
        <w:jc w:val="both"/>
        <w:rPr>
          <w:sz w:val="24"/>
          <w:szCs w:val="24"/>
        </w:rPr>
      </w:pPr>
    </w:p>
    <w:p w:rsidR="00002603" w:rsidRPr="000E39DD" w:rsidRDefault="00002603" w:rsidP="003E6077">
      <w:pPr>
        <w:ind w:firstLine="252"/>
        <w:jc w:val="both"/>
        <w:rPr>
          <w:sz w:val="24"/>
          <w:szCs w:val="24"/>
        </w:rPr>
      </w:pPr>
      <w:r w:rsidRPr="000E39DD">
        <w:rPr>
          <w:sz w:val="24"/>
          <w:szCs w:val="24"/>
        </w:rPr>
        <w:t>a</w:t>
      </w:r>
      <w:r w:rsidR="006900E2" w:rsidRPr="000E39DD">
        <w:rPr>
          <w:sz w:val="24"/>
          <w:szCs w:val="24"/>
        </w:rPr>
        <w:t>)</w:t>
      </w:r>
      <w:r w:rsidRPr="000E39DD">
        <w:rPr>
          <w:sz w:val="24"/>
          <w:szCs w:val="24"/>
        </w:rPr>
        <w:t xml:space="preserve"> nájemce užívá nebytový prostor v rozporu se smlouvou;</w:t>
      </w:r>
    </w:p>
    <w:p w:rsidR="005D1B15" w:rsidRPr="000E39DD" w:rsidRDefault="005D1B15" w:rsidP="005D1B15">
      <w:pPr>
        <w:ind w:left="252"/>
        <w:jc w:val="both"/>
        <w:rPr>
          <w:sz w:val="24"/>
          <w:szCs w:val="24"/>
        </w:rPr>
      </w:pPr>
    </w:p>
    <w:p w:rsidR="00002603" w:rsidRPr="000E39DD" w:rsidRDefault="00002603" w:rsidP="005D1B15">
      <w:pPr>
        <w:ind w:left="252"/>
        <w:jc w:val="both"/>
        <w:rPr>
          <w:sz w:val="24"/>
          <w:szCs w:val="24"/>
        </w:rPr>
      </w:pPr>
      <w:r w:rsidRPr="000E39DD">
        <w:rPr>
          <w:sz w:val="24"/>
          <w:szCs w:val="24"/>
        </w:rPr>
        <w:t>b</w:t>
      </w:r>
      <w:r w:rsidR="006900E2" w:rsidRPr="000E39DD">
        <w:rPr>
          <w:sz w:val="24"/>
          <w:szCs w:val="24"/>
        </w:rPr>
        <w:t>)</w:t>
      </w:r>
      <w:r w:rsidRPr="000E39DD">
        <w:rPr>
          <w:sz w:val="24"/>
          <w:szCs w:val="24"/>
        </w:rPr>
        <w:t xml:space="preserve"> nájemce je o více než jeden měsíc v prodlení s placením nájemného nebo</w:t>
      </w:r>
      <w:r w:rsidR="00630D13" w:rsidRPr="000E39DD">
        <w:rPr>
          <w:sz w:val="24"/>
          <w:szCs w:val="24"/>
        </w:rPr>
        <w:t xml:space="preserve"> </w:t>
      </w:r>
      <w:r w:rsidRPr="000E39DD">
        <w:rPr>
          <w:sz w:val="24"/>
          <w:szCs w:val="24"/>
        </w:rPr>
        <w:t>úhrady za služby, jejichž poskytování je spojeno s nájmem;</w:t>
      </w:r>
    </w:p>
    <w:p w:rsidR="00E85F4C" w:rsidRPr="000E39DD" w:rsidRDefault="00E85F4C" w:rsidP="005D1B15">
      <w:pPr>
        <w:ind w:left="252"/>
        <w:jc w:val="both"/>
        <w:rPr>
          <w:sz w:val="24"/>
          <w:szCs w:val="24"/>
        </w:rPr>
      </w:pPr>
    </w:p>
    <w:p w:rsidR="00002603" w:rsidRPr="000E39DD" w:rsidRDefault="00002603" w:rsidP="005D1B15">
      <w:pPr>
        <w:ind w:left="252"/>
        <w:jc w:val="both"/>
        <w:rPr>
          <w:sz w:val="24"/>
          <w:szCs w:val="24"/>
        </w:rPr>
      </w:pPr>
      <w:r w:rsidRPr="000E39DD">
        <w:rPr>
          <w:sz w:val="24"/>
          <w:szCs w:val="24"/>
        </w:rPr>
        <w:t>c</w:t>
      </w:r>
      <w:r w:rsidR="006900E2" w:rsidRPr="000E39DD">
        <w:rPr>
          <w:sz w:val="24"/>
          <w:szCs w:val="24"/>
        </w:rPr>
        <w:t>)</w:t>
      </w:r>
      <w:r w:rsidR="005D1B15" w:rsidRPr="000E39DD">
        <w:rPr>
          <w:sz w:val="24"/>
          <w:szCs w:val="24"/>
        </w:rPr>
        <w:t xml:space="preserve"> </w:t>
      </w:r>
      <w:r w:rsidRPr="000E39DD">
        <w:rPr>
          <w:sz w:val="24"/>
          <w:szCs w:val="24"/>
        </w:rPr>
        <w:t>nájemce nebo osoby, které s ním užívají nebytový prostor, přes písemné</w:t>
      </w:r>
      <w:r w:rsidR="00630D13" w:rsidRPr="000E39DD">
        <w:rPr>
          <w:sz w:val="24"/>
          <w:szCs w:val="24"/>
        </w:rPr>
        <w:t xml:space="preserve"> </w:t>
      </w:r>
      <w:r w:rsidRPr="000E39DD">
        <w:rPr>
          <w:sz w:val="24"/>
          <w:szCs w:val="24"/>
        </w:rPr>
        <w:t>upozornění hrubě porušují klid nebo pořádek;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d</w:t>
      </w:r>
      <w:r w:rsidR="006900E2">
        <w:rPr>
          <w:sz w:val="24"/>
        </w:rPr>
        <w:t>)</w:t>
      </w:r>
      <w:r w:rsidRPr="00002603">
        <w:rPr>
          <w:sz w:val="24"/>
        </w:rPr>
        <w:t xml:space="preserve"> bylo rozhodnuto o odstranění stavby nebo o změnách stavby, jež brání</w:t>
      </w:r>
      <w:r w:rsidR="00630D13">
        <w:rPr>
          <w:sz w:val="24"/>
        </w:rPr>
        <w:t xml:space="preserve"> </w:t>
      </w:r>
      <w:r w:rsidRPr="00002603">
        <w:rPr>
          <w:sz w:val="24"/>
        </w:rPr>
        <w:t xml:space="preserve">užívání </w:t>
      </w:r>
      <w:r w:rsidR="003034F9">
        <w:rPr>
          <w:sz w:val="24"/>
        </w:rPr>
        <w:t>předmětu nájmu</w:t>
      </w:r>
      <w:r w:rsidRPr="00002603">
        <w:rPr>
          <w:sz w:val="24"/>
        </w:rPr>
        <w:t>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6900E2" w:rsidP="005D1B15">
      <w:pPr>
        <w:ind w:left="252"/>
        <w:jc w:val="both"/>
        <w:rPr>
          <w:sz w:val="24"/>
        </w:rPr>
      </w:pPr>
      <w:r>
        <w:rPr>
          <w:sz w:val="24"/>
        </w:rPr>
        <w:t>e)</w:t>
      </w:r>
      <w:r w:rsidR="00002603" w:rsidRPr="00002603">
        <w:rPr>
          <w:sz w:val="24"/>
        </w:rPr>
        <w:t xml:space="preserve"> nájemce přenechá </w:t>
      </w:r>
      <w:r w:rsidR="00ED54A7">
        <w:rPr>
          <w:sz w:val="24"/>
        </w:rPr>
        <w:t>předmět nájmu</w:t>
      </w:r>
      <w:r w:rsidR="00002603" w:rsidRPr="00002603">
        <w:rPr>
          <w:sz w:val="24"/>
        </w:rPr>
        <w:t xml:space="preserve"> nebo jeho část do podnájmu bez</w:t>
      </w:r>
      <w:r w:rsidR="00630D13">
        <w:rPr>
          <w:sz w:val="24"/>
        </w:rPr>
        <w:t xml:space="preserve"> </w:t>
      </w:r>
      <w:r w:rsidR="00002603" w:rsidRPr="00002603">
        <w:rPr>
          <w:sz w:val="24"/>
        </w:rPr>
        <w:t>předchozího písemného souhlasu pronaj</w:t>
      </w:r>
      <w:r>
        <w:rPr>
          <w:sz w:val="24"/>
        </w:rPr>
        <w:t>í</w:t>
      </w:r>
      <w:r w:rsidR="00002603" w:rsidRPr="00002603">
        <w:rPr>
          <w:sz w:val="24"/>
        </w:rPr>
        <w:t>matele;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6900E2" w:rsidP="005D1B15">
      <w:pPr>
        <w:ind w:left="252"/>
        <w:jc w:val="both"/>
        <w:rPr>
          <w:sz w:val="24"/>
        </w:rPr>
      </w:pPr>
      <w:r>
        <w:rPr>
          <w:sz w:val="24"/>
        </w:rPr>
        <w:t xml:space="preserve">f) </w:t>
      </w:r>
      <w:r w:rsidR="00002603" w:rsidRPr="00002603">
        <w:rPr>
          <w:sz w:val="24"/>
        </w:rPr>
        <w:t>nájemce změnil v provozovně předmět podnikání bez předchozího souhlasu</w:t>
      </w:r>
      <w:r w:rsidR="00630D13">
        <w:rPr>
          <w:sz w:val="24"/>
        </w:rPr>
        <w:t xml:space="preserve"> </w:t>
      </w:r>
      <w:r w:rsidR="00002603" w:rsidRPr="00002603">
        <w:rPr>
          <w:sz w:val="24"/>
        </w:rPr>
        <w:t>pronaj</w:t>
      </w:r>
      <w:r>
        <w:rPr>
          <w:sz w:val="24"/>
        </w:rPr>
        <w:t>í</w:t>
      </w:r>
      <w:r w:rsidR="00002603" w:rsidRPr="00002603">
        <w:rPr>
          <w:sz w:val="24"/>
        </w:rPr>
        <w:t>matele,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g</w:t>
      </w:r>
      <w:r w:rsidR="006900E2">
        <w:rPr>
          <w:sz w:val="24"/>
        </w:rPr>
        <w:t>)</w:t>
      </w:r>
      <w:r w:rsidRPr="00002603">
        <w:rPr>
          <w:sz w:val="24"/>
        </w:rPr>
        <w:t xml:space="preserve"> nájemce opakovaně porušil své povinnosti stanovené touto smlouvou,</w:t>
      </w:r>
      <w:r w:rsidR="00630D13">
        <w:rPr>
          <w:sz w:val="24"/>
        </w:rPr>
        <w:t xml:space="preserve"> </w:t>
      </w:r>
      <w:r w:rsidRPr="00002603">
        <w:rPr>
          <w:sz w:val="24"/>
        </w:rPr>
        <w:t>zejména v čl. VIII smlouvy.</w:t>
      </w:r>
    </w:p>
    <w:p w:rsidR="00630D13" w:rsidRPr="00002603" w:rsidRDefault="00630D13" w:rsidP="00002603">
      <w:pPr>
        <w:jc w:val="both"/>
        <w:rPr>
          <w:sz w:val="24"/>
        </w:rPr>
      </w:pPr>
    </w:p>
    <w:p w:rsidR="00002603" w:rsidRDefault="003E6077">
      <w:pPr>
        <w:widowControl w:val="0"/>
        <w:jc w:val="both"/>
        <w:rPr>
          <w:sz w:val="24"/>
        </w:rPr>
      </w:pPr>
      <w:r>
        <w:rPr>
          <w:sz w:val="24"/>
        </w:rPr>
        <w:t>4</w:t>
      </w:r>
      <w:r w:rsidR="00E13641">
        <w:rPr>
          <w:sz w:val="24"/>
        </w:rPr>
        <w:t>.</w:t>
      </w:r>
      <w:r w:rsidR="004C1853">
        <w:rPr>
          <w:sz w:val="24"/>
        </w:rPr>
        <w:t xml:space="preserve"> </w:t>
      </w:r>
      <w:r w:rsidR="00F554E3">
        <w:rPr>
          <w:sz w:val="24"/>
        </w:rPr>
        <w:t xml:space="preserve">Nájemní vztah lze ukončit dohodou stran kdykoliv. </w:t>
      </w:r>
    </w:p>
    <w:p w:rsidR="00002603" w:rsidRDefault="00002603" w:rsidP="00002603">
      <w:pPr>
        <w:jc w:val="both"/>
        <w:rPr>
          <w:sz w:val="24"/>
        </w:rPr>
      </w:pPr>
    </w:p>
    <w:p w:rsidR="00F554E3" w:rsidRDefault="003E6077" w:rsidP="00E13641">
      <w:pPr>
        <w:widowControl w:val="0"/>
        <w:ind w:left="280" w:hanging="280"/>
        <w:jc w:val="both"/>
      </w:pPr>
      <w:r>
        <w:rPr>
          <w:sz w:val="24"/>
        </w:rPr>
        <w:t>5</w:t>
      </w:r>
      <w:r w:rsidR="00E13641">
        <w:rPr>
          <w:sz w:val="24"/>
        </w:rPr>
        <w:t>. P</w:t>
      </w:r>
      <w:r w:rsidR="00167E9B">
        <w:rPr>
          <w:sz w:val="24"/>
        </w:rPr>
        <w:t>ředmět nájmu</w:t>
      </w:r>
      <w:r w:rsidR="00F554E3">
        <w:rPr>
          <w:sz w:val="24"/>
        </w:rPr>
        <w:t xml:space="preserve"> je nájemce povinen zcela vyklidit a uvolnit a předat pronajímateli nejpozději k poslednímu dni výpovědní lhůty nebo ke dni podle dohody, a to pod smluvní pokutou </w:t>
      </w:r>
      <w:r w:rsidR="008F1659">
        <w:rPr>
          <w:sz w:val="24"/>
        </w:rPr>
        <w:t>500,-</w:t>
      </w:r>
      <w:r w:rsidR="008301AE">
        <w:rPr>
          <w:sz w:val="24"/>
        </w:rPr>
        <w:t xml:space="preserve"> </w:t>
      </w:r>
      <w:r w:rsidR="00F554E3">
        <w:rPr>
          <w:sz w:val="24"/>
        </w:rPr>
        <w:t xml:space="preserve">Kč </w:t>
      </w:r>
      <w:r w:rsidR="00FE584D">
        <w:rPr>
          <w:sz w:val="24"/>
        </w:rPr>
        <w:t xml:space="preserve">denně </w:t>
      </w:r>
      <w:r w:rsidR="00F554E3">
        <w:rPr>
          <w:sz w:val="24"/>
        </w:rPr>
        <w:t xml:space="preserve">za každý </w:t>
      </w:r>
      <w:r w:rsidR="00FE584D">
        <w:rPr>
          <w:sz w:val="24"/>
        </w:rPr>
        <w:t>den</w:t>
      </w:r>
      <w:r w:rsidR="00F554E3">
        <w:rPr>
          <w:sz w:val="24"/>
        </w:rPr>
        <w:t xml:space="preserve"> při prodlení s vyklizením nebytových prostor a jejich předáním pronajímateli.</w:t>
      </w:r>
      <w:r w:rsidR="00F554E3">
        <w:t xml:space="preserve"> </w:t>
      </w:r>
    </w:p>
    <w:p w:rsidR="0027148F" w:rsidRDefault="0027148F" w:rsidP="00E13641">
      <w:pPr>
        <w:widowControl w:val="0"/>
        <w:ind w:left="280" w:hanging="280"/>
        <w:jc w:val="both"/>
      </w:pPr>
    </w:p>
    <w:p w:rsidR="00F554E3" w:rsidRDefault="003E6077" w:rsidP="0027148F">
      <w:pPr>
        <w:widowControl w:val="0"/>
        <w:ind w:left="284" w:hanging="284"/>
        <w:jc w:val="both"/>
        <w:rPr>
          <w:sz w:val="24"/>
        </w:rPr>
      </w:pPr>
      <w:r>
        <w:rPr>
          <w:sz w:val="24"/>
        </w:rPr>
        <w:t>6</w:t>
      </w:r>
      <w:r w:rsidR="0027148F">
        <w:rPr>
          <w:sz w:val="24"/>
        </w:rPr>
        <w:t xml:space="preserve">. </w:t>
      </w:r>
      <w:r w:rsidR="00F554E3">
        <w:rPr>
          <w:sz w:val="24"/>
        </w:rPr>
        <w:t xml:space="preserve">Uvolněním a vyklizením </w:t>
      </w:r>
      <w:r w:rsidR="00167E9B">
        <w:rPr>
          <w:sz w:val="24"/>
        </w:rPr>
        <w:t>předmětu nájmu</w:t>
      </w:r>
      <w:r w:rsidR="00F554E3">
        <w:rPr>
          <w:sz w:val="24"/>
        </w:rPr>
        <w:t xml:space="preserve"> nájemcem se rozumí odstranění všech </w:t>
      </w:r>
      <w:r w:rsidR="008F1659">
        <w:rPr>
          <w:sz w:val="24"/>
        </w:rPr>
        <w:t xml:space="preserve">jeho </w:t>
      </w:r>
      <w:r w:rsidR="00F554E3">
        <w:rPr>
          <w:sz w:val="24"/>
        </w:rPr>
        <w:t>movitých věcí a zařízení tj. veškerá zařízení, nástroje, přístroje, materiál a nábytek, který ne</w:t>
      </w:r>
      <w:r w:rsidR="008F1659">
        <w:rPr>
          <w:sz w:val="24"/>
        </w:rPr>
        <w:t>ní</w:t>
      </w:r>
      <w:r w:rsidR="00F554E3">
        <w:rPr>
          <w:sz w:val="24"/>
        </w:rPr>
        <w:t xml:space="preserve"> součástí pronajatých prostor.</w:t>
      </w:r>
    </w:p>
    <w:p w:rsidR="0027148F" w:rsidRDefault="0027148F">
      <w:pPr>
        <w:pStyle w:val="Zkladntextodsazen"/>
      </w:pPr>
    </w:p>
    <w:p w:rsidR="00F554E3" w:rsidRDefault="003E6077">
      <w:pPr>
        <w:pStyle w:val="Zkladntextodsazen"/>
      </w:pPr>
      <w:r>
        <w:t>7</w:t>
      </w:r>
      <w:r w:rsidR="0027148F">
        <w:t xml:space="preserve">. </w:t>
      </w:r>
      <w:r w:rsidR="00F554E3">
        <w:t xml:space="preserve">Sankce by byly placeny vedle </w:t>
      </w:r>
      <w:r w:rsidR="000334F7">
        <w:t xml:space="preserve">platby za </w:t>
      </w:r>
      <w:r w:rsidR="0027148F">
        <w:t xml:space="preserve">nájmu </w:t>
      </w:r>
      <w:r w:rsidR="00F554E3">
        <w:t>a služeb.</w:t>
      </w:r>
    </w:p>
    <w:p w:rsidR="0027148F" w:rsidRDefault="0027148F">
      <w:pPr>
        <w:jc w:val="both"/>
        <w:rPr>
          <w:sz w:val="24"/>
        </w:rPr>
      </w:pPr>
    </w:p>
    <w:p w:rsidR="002F0A61" w:rsidRDefault="003E6077" w:rsidP="0027148F">
      <w:pPr>
        <w:ind w:left="364" w:hanging="364"/>
        <w:jc w:val="both"/>
        <w:rPr>
          <w:sz w:val="24"/>
        </w:rPr>
      </w:pPr>
      <w:r>
        <w:rPr>
          <w:sz w:val="24"/>
        </w:rPr>
        <w:lastRenderedPageBreak/>
        <w:t>8</w:t>
      </w:r>
      <w:r w:rsidR="0027148F">
        <w:rPr>
          <w:sz w:val="24"/>
        </w:rPr>
        <w:t xml:space="preserve">. </w:t>
      </w:r>
      <w:r w:rsidR="00F554E3">
        <w:rPr>
          <w:sz w:val="24"/>
        </w:rPr>
        <w:t xml:space="preserve">Předaný </w:t>
      </w:r>
      <w:r w:rsidR="00A964C2">
        <w:rPr>
          <w:sz w:val="24"/>
        </w:rPr>
        <w:t>předmět nájmu</w:t>
      </w:r>
      <w:r w:rsidR="0093068F">
        <w:rPr>
          <w:sz w:val="24"/>
        </w:rPr>
        <w:t xml:space="preserve"> bude vymalovaný</w:t>
      </w:r>
      <w:r w:rsidR="00426A86">
        <w:rPr>
          <w:sz w:val="24"/>
        </w:rPr>
        <w:t xml:space="preserve"> (</w:t>
      </w:r>
      <w:r w:rsidR="002F0A61">
        <w:rPr>
          <w:sz w:val="24"/>
        </w:rPr>
        <w:t>odstranění staré malby</w:t>
      </w:r>
      <w:r w:rsidR="00572760">
        <w:rPr>
          <w:sz w:val="24"/>
        </w:rPr>
        <w:t>, zahlazení otvorů</w:t>
      </w:r>
      <w:r w:rsidR="004536E8">
        <w:rPr>
          <w:sz w:val="24"/>
        </w:rPr>
        <w:t xml:space="preserve"> a následné </w:t>
      </w:r>
      <w:r w:rsidR="002F0A61">
        <w:rPr>
          <w:sz w:val="24"/>
        </w:rPr>
        <w:t>vymalování)</w:t>
      </w:r>
      <w:r w:rsidR="00F554E3">
        <w:rPr>
          <w:sz w:val="24"/>
        </w:rPr>
        <w:t xml:space="preserve"> a uklizený.</w:t>
      </w:r>
    </w:p>
    <w:p w:rsidR="00643008" w:rsidRDefault="00643008">
      <w:pPr>
        <w:jc w:val="both"/>
        <w:rPr>
          <w:sz w:val="24"/>
        </w:rPr>
      </w:pPr>
    </w:p>
    <w:p w:rsidR="00F554E3" w:rsidRPr="004968E0" w:rsidRDefault="00E43525" w:rsidP="00017A60">
      <w:pPr>
        <w:jc w:val="center"/>
        <w:rPr>
          <w:b/>
          <w:sz w:val="24"/>
          <w:szCs w:val="24"/>
        </w:rPr>
      </w:pPr>
      <w:r>
        <w:rPr>
          <w:rStyle w:val="Siln"/>
          <w:sz w:val="24"/>
          <w:szCs w:val="24"/>
        </w:rPr>
        <w:t xml:space="preserve">  </w:t>
      </w:r>
      <w:r w:rsidR="00643008" w:rsidRPr="004968E0">
        <w:rPr>
          <w:rStyle w:val="Siln"/>
          <w:sz w:val="24"/>
          <w:szCs w:val="24"/>
        </w:rPr>
        <w:t>VII</w:t>
      </w:r>
      <w:r w:rsidR="00643008" w:rsidRPr="004968E0">
        <w:rPr>
          <w:b/>
          <w:sz w:val="24"/>
          <w:szCs w:val="24"/>
        </w:rPr>
        <w:t xml:space="preserve">. </w:t>
      </w:r>
      <w:r w:rsidR="004968E0" w:rsidRPr="004968E0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4968E0" w:rsidRPr="004968E0">
        <w:rPr>
          <w:b/>
          <w:sz w:val="24"/>
          <w:szCs w:val="24"/>
        </w:rPr>
        <w:t xml:space="preserve"> </w:t>
      </w:r>
      <w:r w:rsidR="00F554E3" w:rsidRPr="004968E0">
        <w:rPr>
          <w:b/>
          <w:sz w:val="24"/>
          <w:szCs w:val="24"/>
        </w:rPr>
        <w:t xml:space="preserve">Způsob užívání </w:t>
      </w:r>
      <w:r w:rsidR="000A3BE2" w:rsidRPr="004968E0">
        <w:rPr>
          <w:b/>
          <w:sz w:val="24"/>
          <w:szCs w:val="24"/>
        </w:rPr>
        <w:t>předmětu nájmu</w:t>
      </w:r>
    </w:p>
    <w:p w:rsidR="002F0A61" w:rsidRPr="004968E0" w:rsidRDefault="002F0A61" w:rsidP="002F0A61">
      <w:pPr>
        <w:jc w:val="both"/>
        <w:rPr>
          <w:sz w:val="24"/>
          <w:szCs w:val="24"/>
        </w:rPr>
      </w:pPr>
    </w:p>
    <w:p w:rsidR="00F554E3" w:rsidRDefault="0093068F" w:rsidP="00AC71C8">
      <w:pPr>
        <w:ind w:left="350" w:hanging="350"/>
        <w:jc w:val="both"/>
        <w:rPr>
          <w:sz w:val="24"/>
        </w:rPr>
      </w:pPr>
      <w:r w:rsidRPr="004968E0">
        <w:rPr>
          <w:sz w:val="24"/>
          <w:szCs w:val="24"/>
        </w:rPr>
        <w:t>1</w:t>
      </w:r>
      <w:r w:rsidR="00AC71C8" w:rsidRPr="004968E0">
        <w:rPr>
          <w:sz w:val="24"/>
          <w:szCs w:val="24"/>
        </w:rPr>
        <w:t xml:space="preserve">. </w:t>
      </w:r>
      <w:r w:rsidR="002C5D13" w:rsidRPr="004968E0">
        <w:rPr>
          <w:sz w:val="24"/>
          <w:szCs w:val="24"/>
        </w:rPr>
        <w:t>Nájemce není oprávněn dát předmět nájmu do podnájmu</w:t>
      </w:r>
      <w:r w:rsidR="002C5D13" w:rsidRPr="002C5D13">
        <w:rPr>
          <w:sz w:val="24"/>
        </w:rPr>
        <w:t xml:space="preserve"> třetí osobě bez předchozího</w:t>
      </w:r>
      <w:r w:rsidR="002C5D13">
        <w:rPr>
          <w:sz w:val="24"/>
        </w:rPr>
        <w:t xml:space="preserve"> </w:t>
      </w:r>
      <w:r w:rsidR="002C5D13" w:rsidRPr="002C5D13">
        <w:rPr>
          <w:sz w:val="24"/>
        </w:rPr>
        <w:t>písemného souhlasu pronajímatele; to platí, i pokud jde o část předmětu nájmu, jeho</w:t>
      </w:r>
      <w:r w:rsidR="002C5D13">
        <w:rPr>
          <w:sz w:val="24"/>
        </w:rPr>
        <w:t xml:space="preserve"> </w:t>
      </w:r>
      <w:r w:rsidR="002C5D13" w:rsidRPr="002C5D13">
        <w:rPr>
          <w:sz w:val="24"/>
        </w:rPr>
        <w:t>součást či příslušenství.</w:t>
      </w:r>
      <w:r w:rsidR="002C5D13">
        <w:rPr>
          <w:sz w:val="24"/>
        </w:rPr>
        <w:t xml:space="preserve"> Nájemce n</w:t>
      </w:r>
      <w:r w:rsidR="00F554E3">
        <w:rPr>
          <w:sz w:val="24"/>
        </w:rPr>
        <w:t xml:space="preserve">ení oprávněn přenechat </w:t>
      </w:r>
      <w:r w:rsidR="00AC71C8">
        <w:rPr>
          <w:sz w:val="24"/>
        </w:rPr>
        <w:t>předmět nájmu</w:t>
      </w:r>
      <w:r w:rsidR="00F554E3">
        <w:rPr>
          <w:sz w:val="24"/>
        </w:rPr>
        <w:t xml:space="preserve"> k užívání jinému subjektu, a to ani formou sdružení s jiným subjektem či jinou formou spolupráce bez souhlasu pronajímatele.</w:t>
      </w:r>
    </w:p>
    <w:p w:rsidR="00F554E3" w:rsidRDefault="00F554E3">
      <w:pPr>
        <w:jc w:val="both"/>
        <w:rPr>
          <w:sz w:val="24"/>
        </w:rPr>
      </w:pPr>
    </w:p>
    <w:p w:rsidR="008E21A3" w:rsidRDefault="00D51F4E" w:rsidP="008E21A3">
      <w:pPr>
        <w:ind w:left="266" w:hanging="266"/>
        <w:jc w:val="both"/>
        <w:rPr>
          <w:sz w:val="24"/>
        </w:rPr>
      </w:pPr>
      <w:r>
        <w:rPr>
          <w:sz w:val="24"/>
        </w:rPr>
        <w:t>2</w:t>
      </w:r>
      <w:r w:rsidR="00AC71C8">
        <w:rPr>
          <w:sz w:val="24"/>
        </w:rPr>
        <w:t xml:space="preserve">. </w:t>
      </w:r>
      <w:r w:rsidR="00F554E3">
        <w:rPr>
          <w:sz w:val="24"/>
        </w:rPr>
        <w:t xml:space="preserve">Nájemce může upravovat </w:t>
      </w:r>
      <w:r w:rsidR="00167E9B">
        <w:rPr>
          <w:sz w:val="24"/>
        </w:rPr>
        <w:t>předmět nájmu</w:t>
      </w:r>
      <w:r w:rsidR="00F554E3">
        <w:rPr>
          <w:sz w:val="24"/>
        </w:rPr>
        <w:t xml:space="preserve"> pouze se souhlasem pronajímatele.</w:t>
      </w:r>
      <w:r w:rsidR="00E3415E" w:rsidRPr="00E3415E">
        <w:t xml:space="preserve"> </w:t>
      </w:r>
      <w:r w:rsidR="00E3415E" w:rsidRPr="00E3415E">
        <w:rPr>
          <w:sz w:val="24"/>
        </w:rPr>
        <w:t>Běžnou údržbu a drobné opravy předmětu nájmu nájemce zajišťuje na své náklady.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Pro účely této smlouvy se za drobnou opravu považuje oprava, která jednorázově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 xml:space="preserve">nepřesahuje finanční částku 10.000,- Kč bez DPH. Není přípustné opravy sčítat. </w:t>
      </w:r>
      <w:r w:rsidR="00E3415E">
        <w:rPr>
          <w:sz w:val="24"/>
        </w:rPr>
        <w:t>Nutnost oprav nad uvedený rozsah je nájemce povinen bez zbytečného odkladu oznámit pronajímateli a ten je po</w:t>
      </w:r>
      <w:r w:rsidR="00E352F2">
        <w:rPr>
          <w:sz w:val="24"/>
        </w:rPr>
        <w:t xml:space="preserve">vinen, </w:t>
      </w:r>
      <w:r w:rsidR="00E3415E">
        <w:rPr>
          <w:sz w:val="24"/>
        </w:rPr>
        <w:t>podle svých možností, je v co nejkratší době provést.</w:t>
      </w:r>
      <w:r w:rsidR="00A964C2">
        <w:rPr>
          <w:sz w:val="24"/>
        </w:rPr>
        <w:t xml:space="preserve"> </w:t>
      </w:r>
    </w:p>
    <w:p w:rsidR="008E21A3" w:rsidRDefault="008E21A3" w:rsidP="008E21A3">
      <w:pPr>
        <w:ind w:left="266" w:hanging="266"/>
        <w:jc w:val="both"/>
        <w:rPr>
          <w:sz w:val="24"/>
        </w:rPr>
      </w:pPr>
    </w:p>
    <w:p w:rsidR="00C27116" w:rsidRPr="006956F5" w:rsidRDefault="004D114E" w:rsidP="004968E0">
      <w:pPr>
        <w:ind w:left="284" w:hanging="284"/>
        <w:jc w:val="both"/>
        <w:rPr>
          <w:sz w:val="24"/>
        </w:rPr>
      </w:pPr>
      <w:r>
        <w:rPr>
          <w:sz w:val="24"/>
        </w:rPr>
        <w:t>3</w:t>
      </w:r>
      <w:r w:rsidR="008E21A3">
        <w:rPr>
          <w:sz w:val="24"/>
        </w:rPr>
        <w:t xml:space="preserve">. </w:t>
      </w:r>
      <w:r w:rsidR="00CD70A9">
        <w:rPr>
          <w:sz w:val="24"/>
        </w:rPr>
        <w:t xml:space="preserve">V případě způsobení škody na zařízení nese odpovědnost nájemce a je povinen škodu ihned nahlásit. Úpravu do původního stavu zajistí </w:t>
      </w:r>
      <w:r>
        <w:rPr>
          <w:sz w:val="24"/>
        </w:rPr>
        <w:t>nájemce na s</w:t>
      </w:r>
      <w:r w:rsidR="006956F5">
        <w:rPr>
          <w:sz w:val="24"/>
        </w:rPr>
        <w:t xml:space="preserve">voje náklady, pokud tak neučiní, </w:t>
      </w:r>
      <w:r>
        <w:rPr>
          <w:sz w:val="24"/>
        </w:rPr>
        <w:t>úpravu zajistí pr</w:t>
      </w:r>
      <w:r w:rsidR="00CD70A9">
        <w:rPr>
          <w:sz w:val="24"/>
        </w:rPr>
        <w:t>onajímatel na náklady nájemce.</w:t>
      </w:r>
      <w:r w:rsidR="00A16669">
        <w:rPr>
          <w:sz w:val="24"/>
        </w:rPr>
        <w:t xml:space="preserve"> </w:t>
      </w:r>
      <w:r w:rsidR="00A16669" w:rsidRPr="006956F5">
        <w:rPr>
          <w:sz w:val="24"/>
        </w:rPr>
        <w:t>To platí i u venkovních ploch a parkovacích stání pro motorová vozidla. V případě znečištění této plochy zajistí nájemce úpravu do pů</w:t>
      </w:r>
      <w:r w:rsidR="006956F5" w:rsidRPr="006956F5">
        <w:rPr>
          <w:sz w:val="24"/>
        </w:rPr>
        <w:t>vodního stavu na svoje náklady, pokud tak neučiní, úpravu zajistí pronajímatel na náklady nájemce.</w:t>
      </w:r>
    </w:p>
    <w:p w:rsidR="004D114E" w:rsidRDefault="004D114E" w:rsidP="004D114E">
      <w:pPr>
        <w:jc w:val="both"/>
        <w:rPr>
          <w:sz w:val="24"/>
        </w:rPr>
      </w:pPr>
    </w:p>
    <w:p w:rsidR="00E3415E" w:rsidRDefault="004968E0" w:rsidP="008E21A3">
      <w:pPr>
        <w:ind w:left="284" w:hanging="284"/>
        <w:jc w:val="both"/>
        <w:rPr>
          <w:sz w:val="24"/>
        </w:rPr>
      </w:pPr>
      <w:r>
        <w:rPr>
          <w:sz w:val="24"/>
        </w:rPr>
        <w:t>4</w:t>
      </w:r>
      <w:r w:rsidR="008E21A3">
        <w:rPr>
          <w:sz w:val="24"/>
        </w:rPr>
        <w:t xml:space="preserve">. </w:t>
      </w:r>
      <w:r w:rsidR="00E3415E" w:rsidRPr="00E3415E">
        <w:rPr>
          <w:sz w:val="24"/>
        </w:rPr>
        <w:t>Nájemce je povinen umožnit pronajímateli, či osobám z jejich strany k</w:t>
      </w:r>
      <w:r w:rsidR="00E3415E">
        <w:rPr>
          <w:sz w:val="24"/>
        </w:rPr>
        <w:t> </w:t>
      </w:r>
      <w:r w:rsidR="00E3415E" w:rsidRPr="00E3415E">
        <w:rPr>
          <w:sz w:val="24"/>
        </w:rPr>
        <w:t>tomu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pověřeným, provádění ostatních oprav v předmětu nájmu a kontrolu stavu předmětu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nájmu. Nájemce je dále povinen oznamovat pronajímateli neprodleně veškeré mu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známé škody vzniklé na pronajatém majetku a potřebu případných oprav. Při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porušení této povinnosti je nájemce povinen nahradit škodu, která by pronajímateli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v důsledku tohoto vznikla.</w:t>
      </w:r>
    </w:p>
    <w:p w:rsidR="00AF0257" w:rsidRPr="00E3415E" w:rsidRDefault="00AF0257" w:rsidP="00E3415E">
      <w:pPr>
        <w:jc w:val="both"/>
        <w:rPr>
          <w:sz w:val="24"/>
        </w:rPr>
      </w:pPr>
    </w:p>
    <w:p w:rsidR="00F554E3" w:rsidRDefault="004968E0" w:rsidP="008E21A3">
      <w:pPr>
        <w:ind w:left="284" w:hanging="284"/>
        <w:jc w:val="both"/>
        <w:rPr>
          <w:sz w:val="24"/>
        </w:rPr>
      </w:pPr>
      <w:r>
        <w:rPr>
          <w:sz w:val="24"/>
        </w:rPr>
        <w:t>5</w:t>
      </w:r>
      <w:r w:rsidR="008E21A3">
        <w:rPr>
          <w:sz w:val="24"/>
        </w:rPr>
        <w:t xml:space="preserve">. </w:t>
      </w:r>
      <w:r w:rsidR="00F554E3">
        <w:rPr>
          <w:sz w:val="24"/>
        </w:rPr>
        <w:t>Nájemce je povinen chovat se tak, aby on sám a jeho obchodní partneři nezpůsobili škodu na majetku pronajímatele. Za takové škody nese odpovědnost nájemce a je povinen bezodkladně je odstranit uvedením do původního stavu. Není-li to možné, úpravu do původního stavu zajistí pronajímatel na náklady nájemce.</w:t>
      </w:r>
    </w:p>
    <w:p w:rsidR="00F554E3" w:rsidRDefault="00F554E3">
      <w:pPr>
        <w:jc w:val="both"/>
        <w:rPr>
          <w:sz w:val="24"/>
        </w:rPr>
      </w:pPr>
    </w:p>
    <w:p w:rsidR="00F554E3" w:rsidRDefault="004968E0" w:rsidP="00CA6547">
      <w:pPr>
        <w:ind w:left="284" w:hanging="284"/>
        <w:jc w:val="both"/>
        <w:rPr>
          <w:sz w:val="24"/>
        </w:rPr>
      </w:pPr>
      <w:r>
        <w:rPr>
          <w:sz w:val="24"/>
        </w:rPr>
        <w:t>6</w:t>
      </w:r>
      <w:r w:rsidR="00CA6547">
        <w:rPr>
          <w:sz w:val="24"/>
        </w:rPr>
        <w:t xml:space="preserve">. </w:t>
      </w:r>
      <w:r w:rsidR="00F554E3">
        <w:rPr>
          <w:sz w:val="24"/>
        </w:rPr>
        <w:t xml:space="preserve">Nájemce je povinen </w:t>
      </w:r>
      <w:r w:rsidR="004D114E">
        <w:rPr>
          <w:sz w:val="24"/>
        </w:rPr>
        <w:t>si svůj majetek nechat pojistit a pronajímatel nenese zodpovědnost za případně vzniklé škody na majetku nájemce.</w:t>
      </w:r>
      <w:r w:rsidR="00F554E3">
        <w:rPr>
          <w:sz w:val="24"/>
        </w:rPr>
        <w:t xml:space="preserve"> </w:t>
      </w:r>
    </w:p>
    <w:p w:rsidR="00F554E3" w:rsidRDefault="00F554E3">
      <w:pPr>
        <w:jc w:val="both"/>
        <w:rPr>
          <w:sz w:val="24"/>
        </w:rPr>
      </w:pPr>
    </w:p>
    <w:p w:rsidR="00F554E3" w:rsidRDefault="004968E0" w:rsidP="00CA6547">
      <w:pPr>
        <w:ind w:left="378" w:hanging="378"/>
        <w:jc w:val="both"/>
        <w:rPr>
          <w:sz w:val="24"/>
        </w:rPr>
      </w:pPr>
      <w:r>
        <w:rPr>
          <w:sz w:val="24"/>
        </w:rPr>
        <w:t>7</w:t>
      </w:r>
      <w:r w:rsidR="00CA6547">
        <w:rPr>
          <w:sz w:val="24"/>
        </w:rPr>
        <w:t xml:space="preserve">. </w:t>
      </w:r>
      <w:r w:rsidR="00F554E3">
        <w:rPr>
          <w:sz w:val="24"/>
        </w:rPr>
        <w:t>Nájemce neodpovídá za opotřebení nebytových prostor při z</w:t>
      </w:r>
      <w:r w:rsidR="0059499E">
        <w:rPr>
          <w:sz w:val="24"/>
        </w:rPr>
        <w:t xml:space="preserve">působu jejich běžného </w:t>
      </w:r>
      <w:proofErr w:type="gramStart"/>
      <w:r w:rsidR="0059499E">
        <w:rPr>
          <w:sz w:val="24"/>
        </w:rPr>
        <w:t xml:space="preserve">užívání a  </w:t>
      </w:r>
      <w:r w:rsidR="00F554E3">
        <w:rPr>
          <w:sz w:val="24"/>
        </w:rPr>
        <w:t>opotřebení</w:t>
      </w:r>
      <w:proofErr w:type="gramEnd"/>
      <w:r w:rsidR="00F554E3">
        <w:rPr>
          <w:sz w:val="24"/>
        </w:rPr>
        <w:t>.</w:t>
      </w:r>
    </w:p>
    <w:p w:rsidR="00F554E3" w:rsidRDefault="00F554E3">
      <w:pPr>
        <w:jc w:val="both"/>
        <w:rPr>
          <w:sz w:val="24"/>
        </w:rPr>
      </w:pPr>
    </w:p>
    <w:p w:rsidR="005634A4" w:rsidRDefault="004968E0" w:rsidP="00CA6547">
      <w:pPr>
        <w:ind w:left="364" w:hanging="364"/>
        <w:jc w:val="both"/>
        <w:rPr>
          <w:sz w:val="24"/>
        </w:rPr>
      </w:pPr>
      <w:r>
        <w:rPr>
          <w:sz w:val="24"/>
        </w:rPr>
        <w:t>8</w:t>
      </w:r>
      <w:r w:rsidR="00CA6547">
        <w:rPr>
          <w:sz w:val="24"/>
        </w:rPr>
        <w:t xml:space="preserve">. </w:t>
      </w:r>
      <w:r w:rsidR="00A20C10">
        <w:rPr>
          <w:sz w:val="24"/>
        </w:rPr>
        <w:t xml:space="preserve"> </w:t>
      </w:r>
      <w:r w:rsidR="005634A4" w:rsidRPr="005634A4">
        <w:rPr>
          <w:sz w:val="24"/>
        </w:rPr>
        <w:t>Nájemce se zavazuje, že po celou dobu trvání nájemního vztahu bude mít uzavřenu</w:t>
      </w:r>
      <w:r w:rsidR="005634A4">
        <w:rPr>
          <w:sz w:val="24"/>
        </w:rPr>
        <w:t xml:space="preserve"> </w:t>
      </w:r>
      <w:r w:rsidR="00986392">
        <w:rPr>
          <w:sz w:val="24"/>
        </w:rPr>
        <w:t>pojistnou</w:t>
      </w:r>
      <w:r w:rsidR="002A1185">
        <w:rPr>
          <w:sz w:val="24"/>
        </w:rPr>
        <w:t xml:space="preserve"> </w:t>
      </w:r>
      <w:r w:rsidR="005634A4" w:rsidRPr="005634A4">
        <w:rPr>
          <w:sz w:val="24"/>
        </w:rPr>
        <w:t>smlouvu týkající se odpovědnosti za škody způsobené vlastní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podnikatelskou činností, tedy tou činností, kterou provozuje v předmětu nájmu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v souladu s touto nájemní smlouvou. Porušení tohoto ustanovení je důvodem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k výpovědi ze strany pronaj</w:t>
      </w:r>
      <w:r w:rsidR="00CA6547">
        <w:rPr>
          <w:sz w:val="24"/>
        </w:rPr>
        <w:t>í</w:t>
      </w:r>
      <w:r w:rsidR="005634A4" w:rsidRPr="005634A4">
        <w:rPr>
          <w:sz w:val="24"/>
        </w:rPr>
        <w:t xml:space="preserve">matele. </w:t>
      </w:r>
      <w:r w:rsidR="004B58C3">
        <w:rPr>
          <w:sz w:val="24"/>
        </w:rPr>
        <w:t>Nájemce je povi</w:t>
      </w:r>
      <w:r w:rsidR="00A20C10">
        <w:rPr>
          <w:sz w:val="24"/>
        </w:rPr>
        <w:t>nen předložit pojistnou smlouvu na žádost pronajímatele.</w:t>
      </w:r>
    </w:p>
    <w:p w:rsidR="00C767A6" w:rsidRDefault="00C767A6">
      <w:pPr>
        <w:jc w:val="both"/>
        <w:rPr>
          <w:sz w:val="24"/>
        </w:rPr>
      </w:pPr>
    </w:p>
    <w:p w:rsidR="00F554E3" w:rsidRDefault="004968E0" w:rsidP="00CA6547">
      <w:pPr>
        <w:ind w:left="426" w:hanging="426"/>
        <w:jc w:val="both"/>
        <w:rPr>
          <w:sz w:val="24"/>
        </w:rPr>
      </w:pPr>
      <w:r>
        <w:rPr>
          <w:sz w:val="24"/>
        </w:rPr>
        <w:t xml:space="preserve"> 9</w:t>
      </w:r>
      <w:r w:rsidR="00CA6547">
        <w:rPr>
          <w:sz w:val="24"/>
        </w:rPr>
        <w:t xml:space="preserve">. </w:t>
      </w:r>
      <w:r w:rsidR="00F554E3">
        <w:rPr>
          <w:sz w:val="24"/>
        </w:rPr>
        <w:t>Nájemce je povinen dodržovat všechny povinnosti stanovené předpisy požární</w:t>
      </w:r>
      <w:r w:rsidR="00986392">
        <w:rPr>
          <w:sz w:val="24"/>
        </w:rPr>
        <w:t xml:space="preserve"> ochrany, </w:t>
      </w:r>
      <w:r w:rsidR="00F554E3">
        <w:rPr>
          <w:sz w:val="24"/>
        </w:rPr>
        <w:t xml:space="preserve">bezpečnosti práce a provozním řádem objektu </w:t>
      </w:r>
      <w:r w:rsidR="00986392">
        <w:rPr>
          <w:sz w:val="24"/>
        </w:rPr>
        <w:t>Bezručova 4219 Chomutov</w:t>
      </w:r>
      <w:r w:rsidR="00F554E3">
        <w:rPr>
          <w:sz w:val="24"/>
        </w:rPr>
        <w:t xml:space="preserve"> </w:t>
      </w:r>
      <w:r w:rsidR="005014AF">
        <w:rPr>
          <w:sz w:val="24"/>
        </w:rPr>
        <w:t>č.</w:t>
      </w:r>
      <w:r w:rsidR="00986392">
        <w:rPr>
          <w:sz w:val="24"/>
        </w:rPr>
        <w:t xml:space="preserve"> </w:t>
      </w:r>
      <w:r w:rsidR="005014AF">
        <w:rPr>
          <w:sz w:val="24"/>
        </w:rPr>
        <w:t xml:space="preserve">p. </w:t>
      </w:r>
      <w:r w:rsidR="00986392">
        <w:rPr>
          <w:sz w:val="24"/>
        </w:rPr>
        <w:t>4219</w:t>
      </w:r>
      <w:r w:rsidR="00F554E3">
        <w:rPr>
          <w:sz w:val="24"/>
        </w:rPr>
        <w:t xml:space="preserve">. Nájemce odpovídá za obchodní partnery a osoby vstupující do objektu z důvodu vyplývajícího z jeho činnosti. Nájemce je odpovědný za škody vzniklé v důsledku nedodržení </w:t>
      </w:r>
      <w:r w:rsidR="00F554E3">
        <w:rPr>
          <w:sz w:val="24"/>
        </w:rPr>
        <w:lastRenderedPageBreak/>
        <w:t>těchto předpisů. Je povinen strpět kontrolu prováděnou za tímto účelem, ať ji provádí pronajímatel nebo oprávněný odborný orgán.</w:t>
      </w:r>
    </w:p>
    <w:p w:rsidR="00F554E3" w:rsidRDefault="00F554E3">
      <w:pPr>
        <w:widowControl w:val="0"/>
        <w:tabs>
          <w:tab w:val="left" w:pos="7654"/>
        </w:tabs>
        <w:outlineLvl w:val="0"/>
        <w:rPr>
          <w:sz w:val="24"/>
        </w:rPr>
      </w:pPr>
    </w:p>
    <w:p w:rsidR="00F554E3" w:rsidRDefault="005014AF" w:rsidP="005014AF">
      <w:pPr>
        <w:widowControl w:val="0"/>
        <w:tabs>
          <w:tab w:val="left" w:pos="7654"/>
        </w:tabs>
        <w:ind w:left="426" w:hanging="426"/>
        <w:jc w:val="both"/>
        <w:outlineLvl w:val="0"/>
        <w:rPr>
          <w:sz w:val="24"/>
        </w:rPr>
      </w:pPr>
      <w:r>
        <w:rPr>
          <w:sz w:val="24"/>
        </w:rPr>
        <w:t>1</w:t>
      </w:r>
      <w:r w:rsidR="004968E0">
        <w:rPr>
          <w:sz w:val="24"/>
        </w:rPr>
        <w:t>0</w:t>
      </w:r>
      <w:r>
        <w:rPr>
          <w:sz w:val="24"/>
        </w:rPr>
        <w:t xml:space="preserve">. </w:t>
      </w:r>
      <w:r w:rsidR="00F554E3">
        <w:rPr>
          <w:sz w:val="24"/>
        </w:rPr>
        <w:t>Nájemce je povinen počínat si v pronajatých prostorách v souladu s "</w:t>
      </w:r>
      <w:r w:rsidR="00F554E3">
        <w:rPr>
          <w:snapToGrid w:val="0"/>
          <w:sz w:val="24"/>
        </w:rPr>
        <w:t>Přílohou BOZP a PO</w:t>
      </w:r>
      <w:r w:rsidR="00F554E3">
        <w:rPr>
          <w:snapToGrid w:val="0"/>
          <w:sz w:val="32"/>
        </w:rPr>
        <w:t xml:space="preserve"> </w:t>
      </w:r>
      <w:r w:rsidR="00F554E3">
        <w:rPr>
          <w:snapToGrid w:val="0"/>
          <w:sz w:val="24"/>
        </w:rPr>
        <w:t> nájemní smlouvě"</w:t>
      </w:r>
      <w:r w:rsidR="00F554E3">
        <w:rPr>
          <w:sz w:val="24"/>
        </w:rPr>
        <w:t>, která je přílohou a je nedílnou součástí této smlouvy.</w:t>
      </w:r>
    </w:p>
    <w:p w:rsidR="00F554E3" w:rsidRDefault="00F554E3">
      <w:pPr>
        <w:jc w:val="both"/>
        <w:rPr>
          <w:sz w:val="24"/>
        </w:rPr>
      </w:pPr>
    </w:p>
    <w:p w:rsidR="00F554E3" w:rsidRDefault="005014AF" w:rsidP="005014AF">
      <w:pPr>
        <w:ind w:left="392" w:hanging="392"/>
        <w:jc w:val="both"/>
        <w:rPr>
          <w:sz w:val="24"/>
        </w:rPr>
      </w:pPr>
      <w:r>
        <w:rPr>
          <w:sz w:val="24"/>
        </w:rPr>
        <w:t>1</w:t>
      </w:r>
      <w:r w:rsidR="004968E0">
        <w:rPr>
          <w:sz w:val="24"/>
        </w:rPr>
        <w:t>1</w:t>
      </w:r>
      <w:r>
        <w:rPr>
          <w:sz w:val="24"/>
        </w:rPr>
        <w:t xml:space="preserve">. </w:t>
      </w:r>
      <w:r w:rsidR="00F554E3">
        <w:rPr>
          <w:sz w:val="24"/>
        </w:rPr>
        <w:t xml:space="preserve">Nájemce nesmí používat okna ani jiné prostory </w:t>
      </w:r>
      <w:r w:rsidR="00CD70A9">
        <w:rPr>
          <w:sz w:val="24"/>
        </w:rPr>
        <w:t>(např. dveře)</w:t>
      </w:r>
      <w:r w:rsidR="00FF379A">
        <w:rPr>
          <w:sz w:val="24"/>
        </w:rPr>
        <w:t xml:space="preserve"> </w:t>
      </w:r>
      <w:r w:rsidR="00F554E3">
        <w:rPr>
          <w:sz w:val="24"/>
        </w:rPr>
        <w:t>bez souhlasu pronajímatele jako reklamní</w:t>
      </w:r>
      <w:r w:rsidR="00CD70A9">
        <w:rPr>
          <w:sz w:val="24"/>
        </w:rPr>
        <w:t xml:space="preserve"> plochu k nabídce svých služeb nebo jiné značení.</w:t>
      </w:r>
    </w:p>
    <w:p w:rsidR="00F554E3" w:rsidRDefault="00F554E3">
      <w:pPr>
        <w:jc w:val="both"/>
        <w:rPr>
          <w:sz w:val="24"/>
        </w:rPr>
      </w:pPr>
    </w:p>
    <w:p w:rsidR="00F554E3" w:rsidRDefault="005014AF">
      <w:pPr>
        <w:jc w:val="both"/>
        <w:rPr>
          <w:sz w:val="24"/>
        </w:rPr>
      </w:pPr>
      <w:r>
        <w:rPr>
          <w:sz w:val="24"/>
        </w:rPr>
        <w:t>1</w:t>
      </w:r>
      <w:r w:rsidR="004968E0">
        <w:rPr>
          <w:sz w:val="24"/>
        </w:rPr>
        <w:t>2</w:t>
      </w:r>
      <w:r>
        <w:rPr>
          <w:sz w:val="24"/>
        </w:rPr>
        <w:t xml:space="preserve">. </w:t>
      </w:r>
      <w:r w:rsidR="00F554E3">
        <w:rPr>
          <w:sz w:val="24"/>
        </w:rPr>
        <w:t>Nájemce nesmí používat přímotopy ani žádná jiná topná tělesa.</w:t>
      </w:r>
    </w:p>
    <w:p w:rsidR="00F554E3" w:rsidRDefault="00F554E3">
      <w:pPr>
        <w:jc w:val="both"/>
        <w:rPr>
          <w:sz w:val="24"/>
        </w:rPr>
      </w:pPr>
    </w:p>
    <w:p w:rsidR="00F554E3" w:rsidRDefault="001200D2" w:rsidP="00635734">
      <w:pPr>
        <w:ind w:left="426" w:hanging="426"/>
        <w:jc w:val="both"/>
        <w:rPr>
          <w:sz w:val="24"/>
        </w:rPr>
      </w:pPr>
      <w:r>
        <w:rPr>
          <w:sz w:val="24"/>
        </w:rPr>
        <w:t>1</w:t>
      </w:r>
      <w:r w:rsidR="004968E0">
        <w:rPr>
          <w:sz w:val="24"/>
        </w:rPr>
        <w:t>3</w:t>
      </w:r>
      <w:r>
        <w:rPr>
          <w:sz w:val="24"/>
        </w:rPr>
        <w:t xml:space="preserve">. </w:t>
      </w:r>
      <w:r w:rsidR="00F554E3">
        <w:rPr>
          <w:sz w:val="24"/>
        </w:rPr>
        <w:t>Manipulace a nakládání s odpady všech druhů a kategorií vzniklých při provádění prací v prostorách, objektech a na zařízeních, které jsou předmětem nájemní smlouvy je nájemce povinen provádět v souladu se zákonem o odpadech č. 185/2001 Sb. v plném znění a dalších souvisejících předpisů a nařízení. Nájemce je povinen odpad třídit do nádob a roztříděný ukládat na určená místa dle pokynů pronajímatele.</w:t>
      </w:r>
      <w:r w:rsidR="00635734">
        <w:rPr>
          <w:sz w:val="24"/>
        </w:rPr>
        <w:t xml:space="preserve"> </w:t>
      </w:r>
      <w:r w:rsidR="00F554E3">
        <w:rPr>
          <w:sz w:val="24"/>
        </w:rPr>
        <w:t xml:space="preserve">V případě nedodržení výše uvedených podmínek je pronajímatel oprávněn účtovat nájemci náklady vzniklé pronajímateli následným nakládáním a likvidací odpadů vzniklých při plnění nájemní </w:t>
      </w:r>
      <w:r w:rsidR="0062116C">
        <w:rPr>
          <w:sz w:val="24"/>
        </w:rPr>
        <w:t xml:space="preserve">smlouvy ze strany pronajímatele. </w:t>
      </w:r>
      <w:r w:rsidR="00F554E3">
        <w:rPr>
          <w:sz w:val="24"/>
        </w:rPr>
        <w:t>Nájemce se současně zavazuje uhradit pronajímateli škodu vzniklou v důsledku nedodržení těchto podmínek.</w:t>
      </w:r>
    </w:p>
    <w:p w:rsidR="00F554E3" w:rsidRDefault="00F554E3">
      <w:pPr>
        <w:jc w:val="both"/>
        <w:rPr>
          <w:sz w:val="24"/>
        </w:rPr>
      </w:pPr>
    </w:p>
    <w:p w:rsidR="00083B62" w:rsidRDefault="00E43525" w:rsidP="00E4352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  <w:r w:rsidR="00272C62">
        <w:rPr>
          <w:b/>
          <w:sz w:val="24"/>
        </w:rPr>
        <w:t>VIII</w:t>
      </w:r>
      <w:r w:rsidR="004968E0">
        <w:rPr>
          <w:b/>
          <w:sz w:val="24"/>
        </w:rPr>
        <w:t>.         Z</w:t>
      </w:r>
      <w:r w:rsidR="00083B62" w:rsidRPr="00083B62">
        <w:rPr>
          <w:b/>
          <w:sz w:val="24"/>
        </w:rPr>
        <w:t>ávěrečná ustanovení</w:t>
      </w:r>
    </w:p>
    <w:p w:rsidR="00083B62" w:rsidRPr="00083B62" w:rsidRDefault="00083B62" w:rsidP="00083B62">
      <w:pPr>
        <w:jc w:val="center"/>
        <w:rPr>
          <w:b/>
          <w:sz w:val="24"/>
        </w:rPr>
      </w:pPr>
    </w:p>
    <w:p w:rsidR="006F5B94" w:rsidRDefault="00083B62" w:rsidP="00083B62">
      <w:pPr>
        <w:ind w:left="322" w:hanging="322"/>
        <w:jc w:val="both"/>
        <w:rPr>
          <w:sz w:val="24"/>
        </w:rPr>
      </w:pPr>
      <w:r>
        <w:rPr>
          <w:sz w:val="24"/>
        </w:rPr>
        <w:t>1</w:t>
      </w:r>
      <w:r w:rsidR="006F5B94" w:rsidRPr="006F5B94">
        <w:rPr>
          <w:sz w:val="24"/>
        </w:rPr>
        <w:t>. Práva a povinnosti neupravené touto smlouvou se řídí občanským zákoníkem a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>právními předpisy souvisejícími, vše v platném a účinném znění.</w:t>
      </w:r>
    </w:p>
    <w:p w:rsidR="00083B62" w:rsidRPr="006F5B94" w:rsidRDefault="00083B62" w:rsidP="00083B62">
      <w:pPr>
        <w:ind w:left="322" w:hanging="322"/>
        <w:jc w:val="both"/>
        <w:rPr>
          <w:sz w:val="24"/>
        </w:rPr>
      </w:pPr>
    </w:p>
    <w:p w:rsidR="006F5B94" w:rsidRDefault="00083B62" w:rsidP="00083B62">
      <w:pPr>
        <w:ind w:left="284" w:hanging="284"/>
        <w:jc w:val="both"/>
        <w:rPr>
          <w:sz w:val="24"/>
        </w:rPr>
      </w:pPr>
      <w:r>
        <w:rPr>
          <w:sz w:val="24"/>
        </w:rPr>
        <w:t>2</w:t>
      </w:r>
      <w:r w:rsidR="006F5B94" w:rsidRPr="006F5B94">
        <w:rPr>
          <w:sz w:val="24"/>
        </w:rPr>
        <w:t>. Změny a doplňky této smlouvy je možné činit pouze po dohodě smluvních stran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>formou písemných dodatků.</w:t>
      </w:r>
    </w:p>
    <w:p w:rsidR="00083B62" w:rsidRPr="006F5B94" w:rsidRDefault="00083B62" w:rsidP="00083B62">
      <w:pPr>
        <w:ind w:left="284" w:hanging="284"/>
        <w:jc w:val="both"/>
        <w:rPr>
          <w:sz w:val="24"/>
        </w:rPr>
      </w:pPr>
    </w:p>
    <w:p w:rsidR="006F5B94" w:rsidRDefault="00083B62" w:rsidP="00083B62">
      <w:pPr>
        <w:ind w:left="284" w:hanging="284"/>
        <w:jc w:val="both"/>
        <w:rPr>
          <w:sz w:val="24"/>
        </w:rPr>
      </w:pPr>
      <w:r>
        <w:rPr>
          <w:sz w:val="24"/>
        </w:rPr>
        <w:t>3</w:t>
      </w:r>
      <w:r w:rsidR="006F5B94" w:rsidRPr="006F5B94">
        <w:rPr>
          <w:sz w:val="24"/>
        </w:rPr>
        <w:t xml:space="preserve">. Tato smlouva byla vypracována ve </w:t>
      </w:r>
      <w:r w:rsidR="00E318BD">
        <w:rPr>
          <w:sz w:val="24"/>
        </w:rPr>
        <w:t xml:space="preserve">čtyřech </w:t>
      </w:r>
      <w:r w:rsidR="006F5B94" w:rsidRPr="006F5B94">
        <w:rPr>
          <w:sz w:val="24"/>
        </w:rPr>
        <w:t>vyhotoveních, z nichž každý z</w:t>
      </w:r>
      <w:r w:rsidR="006F5B94">
        <w:rPr>
          <w:sz w:val="24"/>
        </w:rPr>
        <w:t> </w:t>
      </w:r>
      <w:r w:rsidR="006F5B94" w:rsidRPr="006F5B94">
        <w:rPr>
          <w:sz w:val="24"/>
        </w:rPr>
        <w:t>účastníků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 xml:space="preserve">obdrží </w:t>
      </w:r>
      <w:r w:rsidR="00E318BD">
        <w:rPr>
          <w:sz w:val="24"/>
        </w:rPr>
        <w:t>dvě</w:t>
      </w:r>
      <w:r w:rsidR="006F5B94" w:rsidRPr="006F5B94">
        <w:rPr>
          <w:sz w:val="24"/>
        </w:rPr>
        <w:t xml:space="preserve"> </w:t>
      </w:r>
      <w:r w:rsidR="00E318BD">
        <w:rPr>
          <w:sz w:val="24"/>
        </w:rPr>
        <w:t>vyhotovení</w:t>
      </w:r>
      <w:r w:rsidR="006F5B94" w:rsidRPr="006F5B94">
        <w:rPr>
          <w:sz w:val="24"/>
        </w:rPr>
        <w:t>.</w:t>
      </w:r>
    </w:p>
    <w:p w:rsidR="00E318BD" w:rsidRPr="006F5B94" w:rsidRDefault="00E318BD" w:rsidP="00083B62">
      <w:pPr>
        <w:ind w:left="284" w:hanging="284"/>
        <w:jc w:val="both"/>
        <w:rPr>
          <w:sz w:val="24"/>
        </w:rPr>
      </w:pPr>
    </w:p>
    <w:p w:rsidR="00F554E3" w:rsidRDefault="00E318BD" w:rsidP="00E318BD">
      <w:pPr>
        <w:ind w:left="284" w:hanging="284"/>
        <w:jc w:val="both"/>
        <w:rPr>
          <w:sz w:val="24"/>
        </w:rPr>
      </w:pPr>
      <w:r>
        <w:rPr>
          <w:sz w:val="24"/>
        </w:rPr>
        <w:t>4</w:t>
      </w:r>
      <w:r w:rsidR="006F5B94" w:rsidRPr="006F5B94">
        <w:rPr>
          <w:sz w:val="24"/>
        </w:rPr>
        <w:t>. Smluvní strany prohlašují, že tato smlouva odpovídá jejich pravé a svobodné vůli,</w:t>
      </w:r>
      <w:r>
        <w:rPr>
          <w:sz w:val="24"/>
        </w:rPr>
        <w:t xml:space="preserve"> </w:t>
      </w:r>
      <w:r w:rsidR="006F5B94" w:rsidRPr="006F5B94">
        <w:rPr>
          <w:sz w:val="24"/>
        </w:rPr>
        <w:t>seznámily se s jejím obsahem a na důkaz svého souhlasu ji podepisují.</w:t>
      </w:r>
    </w:p>
    <w:p w:rsidR="007E628A" w:rsidRDefault="007E628A">
      <w:pPr>
        <w:jc w:val="both"/>
        <w:rPr>
          <w:sz w:val="24"/>
        </w:rPr>
      </w:pPr>
    </w:p>
    <w:p w:rsidR="007E628A" w:rsidRDefault="007E628A">
      <w:pPr>
        <w:jc w:val="both"/>
        <w:rPr>
          <w:sz w:val="24"/>
        </w:rPr>
      </w:pPr>
    </w:p>
    <w:p w:rsidR="008E7216" w:rsidRDefault="008E7216">
      <w:pPr>
        <w:jc w:val="both"/>
        <w:rPr>
          <w:sz w:val="24"/>
        </w:rPr>
      </w:pPr>
    </w:p>
    <w:p w:rsidR="008E7216" w:rsidRDefault="008E7216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>V Chomutově dne</w:t>
      </w:r>
      <w:r w:rsidR="00AA257F">
        <w:rPr>
          <w:sz w:val="24"/>
        </w:rPr>
        <w:t>:</w:t>
      </w:r>
      <w:r>
        <w:rPr>
          <w:sz w:val="24"/>
        </w:rPr>
        <w:t xml:space="preserve"> </w:t>
      </w:r>
    </w:p>
    <w:p w:rsidR="00F554E3" w:rsidRDefault="00F554E3">
      <w:pPr>
        <w:jc w:val="both"/>
        <w:rPr>
          <w:sz w:val="24"/>
        </w:rPr>
      </w:pPr>
    </w:p>
    <w:p w:rsidR="008E7216" w:rsidRDefault="008E7216">
      <w:pPr>
        <w:jc w:val="both"/>
        <w:rPr>
          <w:sz w:val="24"/>
        </w:rPr>
      </w:pPr>
    </w:p>
    <w:p w:rsidR="008E7216" w:rsidRDefault="008E7216">
      <w:pPr>
        <w:jc w:val="both"/>
        <w:rPr>
          <w:sz w:val="24"/>
        </w:rPr>
      </w:pPr>
    </w:p>
    <w:p w:rsidR="008E7216" w:rsidRDefault="008E7216">
      <w:pPr>
        <w:jc w:val="both"/>
        <w:rPr>
          <w:sz w:val="24"/>
        </w:rPr>
      </w:pPr>
    </w:p>
    <w:p w:rsidR="008E7216" w:rsidRDefault="008E7216">
      <w:pPr>
        <w:jc w:val="both"/>
        <w:rPr>
          <w:sz w:val="24"/>
        </w:rPr>
      </w:pPr>
    </w:p>
    <w:p w:rsidR="00B204E8" w:rsidRDefault="00B204E8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887A9F" w:rsidRPr="00FF379A" w:rsidRDefault="00F554E3" w:rsidP="00FF379A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FF379A">
        <w:rPr>
          <w:sz w:val="24"/>
        </w:rPr>
        <w:t xml:space="preserve">    </w:t>
      </w:r>
      <w:r w:rsidR="00C65885">
        <w:rPr>
          <w:sz w:val="24"/>
        </w:rPr>
        <w:t>za p</w:t>
      </w:r>
      <w:r w:rsidR="00FF379A">
        <w:rPr>
          <w:sz w:val="24"/>
        </w:rPr>
        <w:t>ronajímatel</w:t>
      </w:r>
      <w:r w:rsidR="00E352F2">
        <w:rPr>
          <w:sz w:val="24"/>
        </w:rPr>
        <w:t>e</w:t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C65885">
        <w:rPr>
          <w:sz w:val="24"/>
        </w:rPr>
        <w:t>za ná</w:t>
      </w:r>
      <w:r w:rsidR="00FF379A">
        <w:rPr>
          <w:sz w:val="24"/>
        </w:rPr>
        <w:t>jemce</w:t>
      </w:r>
    </w:p>
    <w:p w:rsidR="00887A9F" w:rsidRDefault="00887A9F">
      <w:pPr>
        <w:widowControl w:val="0"/>
        <w:tabs>
          <w:tab w:val="left" w:pos="7654"/>
        </w:tabs>
        <w:jc w:val="center"/>
        <w:outlineLvl w:val="0"/>
        <w:rPr>
          <w:i/>
          <w:snapToGrid w:val="0"/>
        </w:rPr>
      </w:pPr>
    </w:p>
    <w:p w:rsidR="00E318BD" w:rsidRDefault="00E318BD" w:rsidP="00032C39">
      <w:pPr>
        <w:widowControl w:val="0"/>
        <w:tabs>
          <w:tab w:val="left" w:pos="7654"/>
        </w:tabs>
        <w:outlineLvl w:val="0"/>
        <w:rPr>
          <w:i/>
          <w:snapToGrid w:val="0"/>
        </w:rPr>
      </w:pPr>
    </w:p>
    <w:sectPr w:rsidR="00E318BD" w:rsidSect="00FF379A">
      <w:footerReference w:type="even" r:id="rId9"/>
      <w:footerReference w:type="default" r:id="rId10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F8" w:rsidRDefault="008065F8">
      <w:r>
        <w:separator/>
      </w:r>
    </w:p>
  </w:endnote>
  <w:endnote w:type="continuationSeparator" w:id="0">
    <w:p w:rsidR="008065F8" w:rsidRDefault="0080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1F7B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F8" w:rsidRDefault="008065F8">
      <w:r>
        <w:separator/>
      </w:r>
    </w:p>
  </w:footnote>
  <w:footnote w:type="continuationSeparator" w:id="0">
    <w:p w:rsidR="008065F8" w:rsidRDefault="00806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7128"/>
    <w:multiLevelType w:val="hybridMultilevel"/>
    <w:tmpl w:val="A3CE9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447A"/>
    <w:multiLevelType w:val="hybridMultilevel"/>
    <w:tmpl w:val="740ED348"/>
    <w:lvl w:ilvl="0" w:tplc="60D428BE">
      <w:start w:val="1"/>
      <w:numFmt w:val="upperRoman"/>
      <w:lvlText w:val="%1."/>
      <w:lvlJc w:val="left"/>
      <w:pPr>
        <w:ind w:left="354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900" w:hanging="360"/>
      </w:pPr>
    </w:lvl>
    <w:lvl w:ilvl="2" w:tplc="0405001B" w:tentative="1">
      <w:start w:val="1"/>
      <w:numFmt w:val="lowerRoman"/>
      <w:lvlText w:val="%3."/>
      <w:lvlJc w:val="right"/>
      <w:pPr>
        <w:ind w:left="4620" w:hanging="180"/>
      </w:pPr>
    </w:lvl>
    <w:lvl w:ilvl="3" w:tplc="0405000F" w:tentative="1">
      <w:start w:val="1"/>
      <w:numFmt w:val="decimal"/>
      <w:lvlText w:val="%4."/>
      <w:lvlJc w:val="left"/>
      <w:pPr>
        <w:ind w:left="5340" w:hanging="360"/>
      </w:pPr>
    </w:lvl>
    <w:lvl w:ilvl="4" w:tplc="04050019" w:tentative="1">
      <w:start w:val="1"/>
      <w:numFmt w:val="lowerLetter"/>
      <w:lvlText w:val="%5."/>
      <w:lvlJc w:val="left"/>
      <w:pPr>
        <w:ind w:left="6060" w:hanging="360"/>
      </w:pPr>
    </w:lvl>
    <w:lvl w:ilvl="5" w:tplc="0405001B" w:tentative="1">
      <w:start w:val="1"/>
      <w:numFmt w:val="lowerRoman"/>
      <w:lvlText w:val="%6."/>
      <w:lvlJc w:val="right"/>
      <w:pPr>
        <w:ind w:left="6780" w:hanging="180"/>
      </w:pPr>
    </w:lvl>
    <w:lvl w:ilvl="6" w:tplc="0405000F" w:tentative="1">
      <w:start w:val="1"/>
      <w:numFmt w:val="decimal"/>
      <w:lvlText w:val="%7."/>
      <w:lvlJc w:val="left"/>
      <w:pPr>
        <w:ind w:left="7500" w:hanging="360"/>
      </w:pPr>
    </w:lvl>
    <w:lvl w:ilvl="7" w:tplc="04050019" w:tentative="1">
      <w:start w:val="1"/>
      <w:numFmt w:val="lowerLetter"/>
      <w:lvlText w:val="%8."/>
      <w:lvlJc w:val="left"/>
      <w:pPr>
        <w:ind w:left="8220" w:hanging="360"/>
      </w:pPr>
    </w:lvl>
    <w:lvl w:ilvl="8" w:tplc="0405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2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362432CD"/>
    <w:multiLevelType w:val="hybridMultilevel"/>
    <w:tmpl w:val="BA468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50437"/>
    <w:multiLevelType w:val="hybridMultilevel"/>
    <w:tmpl w:val="F5B012B6"/>
    <w:lvl w:ilvl="0" w:tplc="E040755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0CB68E5"/>
    <w:multiLevelType w:val="hybridMultilevel"/>
    <w:tmpl w:val="7972A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46BB9"/>
    <w:multiLevelType w:val="hybridMultilevel"/>
    <w:tmpl w:val="B2A85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9">
    <w:nsid w:val="51C67170"/>
    <w:multiLevelType w:val="hybridMultilevel"/>
    <w:tmpl w:val="4976B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B304A"/>
    <w:multiLevelType w:val="hybridMultilevel"/>
    <w:tmpl w:val="E8546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1435A"/>
    <w:multiLevelType w:val="hybridMultilevel"/>
    <w:tmpl w:val="20B41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75F2F"/>
    <w:multiLevelType w:val="singleLevel"/>
    <w:tmpl w:val="63DA0A94"/>
    <w:lvl w:ilvl="0">
      <w:start w:val="1"/>
      <w:numFmt w:val="upperRoman"/>
      <w:pStyle w:val="Nadpis4"/>
      <w:lvlText w:val="%1."/>
      <w:lvlJc w:val="left"/>
      <w:pPr>
        <w:tabs>
          <w:tab w:val="num" w:pos="3414"/>
        </w:tabs>
        <w:ind w:left="3414" w:hanging="720"/>
      </w:pPr>
    </w:lvl>
  </w:abstractNum>
  <w:abstractNum w:abstractNumId="13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019"/>
    <w:rsid w:val="00003137"/>
    <w:rsid w:val="00005290"/>
    <w:rsid w:val="00017A60"/>
    <w:rsid w:val="00020E1C"/>
    <w:rsid w:val="00032C39"/>
    <w:rsid w:val="000334F7"/>
    <w:rsid w:val="000766EF"/>
    <w:rsid w:val="00083B62"/>
    <w:rsid w:val="00094921"/>
    <w:rsid w:val="000978BF"/>
    <w:rsid w:val="000A3BE2"/>
    <w:rsid w:val="000C5BED"/>
    <w:rsid w:val="000D3BF0"/>
    <w:rsid w:val="000E39DD"/>
    <w:rsid w:val="0011128B"/>
    <w:rsid w:val="001200D2"/>
    <w:rsid w:val="00135B83"/>
    <w:rsid w:val="00137F4B"/>
    <w:rsid w:val="00145FE6"/>
    <w:rsid w:val="00167E9B"/>
    <w:rsid w:val="00176F67"/>
    <w:rsid w:val="001934FF"/>
    <w:rsid w:val="001A12C7"/>
    <w:rsid w:val="001B1543"/>
    <w:rsid w:val="001C15B0"/>
    <w:rsid w:val="001C26E2"/>
    <w:rsid w:val="001C5593"/>
    <w:rsid w:val="001C668F"/>
    <w:rsid w:val="001D037C"/>
    <w:rsid w:val="001D3B6A"/>
    <w:rsid w:val="001E38FC"/>
    <w:rsid w:val="001F3CA1"/>
    <w:rsid w:val="001F5F80"/>
    <w:rsid w:val="00203CBD"/>
    <w:rsid w:val="00233629"/>
    <w:rsid w:val="00234426"/>
    <w:rsid w:val="00243EC5"/>
    <w:rsid w:val="0024551D"/>
    <w:rsid w:val="002465F9"/>
    <w:rsid w:val="00252184"/>
    <w:rsid w:val="00257895"/>
    <w:rsid w:val="0026544E"/>
    <w:rsid w:val="0027148F"/>
    <w:rsid w:val="00272C62"/>
    <w:rsid w:val="00277A6C"/>
    <w:rsid w:val="00280479"/>
    <w:rsid w:val="00282DCF"/>
    <w:rsid w:val="002A1185"/>
    <w:rsid w:val="002B71F3"/>
    <w:rsid w:val="002C5D13"/>
    <w:rsid w:val="002C747E"/>
    <w:rsid w:val="002F0A61"/>
    <w:rsid w:val="003034F9"/>
    <w:rsid w:val="003256FF"/>
    <w:rsid w:val="00325A18"/>
    <w:rsid w:val="00327A4C"/>
    <w:rsid w:val="00330664"/>
    <w:rsid w:val="00367F63"/>
    <w:rsid w:val="0037452E"/>
    <w:rsid w:val="00374725"/>
    <w:rsid w:val="00385070"/>
    <w:rsid w:val="0039470A"/>
    <w:rsid w:val="00395FE2"/>
    <w:rsid w:val="003B15DE"/>
    <w:rsid w:val="003B4E36"/>
    <w:rsid w:val="003D4704"/>
    <w:rsid w:val="003D4744"/>
    <w:rsid w:val="003E6077"/>
    <w:rsid w:val="004078F0"/>
    <w:rsid w:val="00411014"/>
    <w:rsid w:val="004128B6"/>
    <w:rsid w:val="0041765D"/>
    <w:rsid w:val="00422191"/>
    <w:rsid w:val="00426709"/>
    <w:rsid w:val="00426A86"/>
    <w:rsid w:val="00432BD5"/>
    <w:rsid w:val="00437479"/>
    <w:rsid w:val="00443F47"/>
    <w:rsid w:val="00444532"/>
    <w:rsid w:val="00446CFA"/>
    <w:rsid w:val="004531BB"/>
    <w:rsid w:val="004536E8"/>
    <w:rsid w:val="00454E34"/>
    <w:rsid w:val="00482C53"/>
    <w:rsid w:val="00482E0F"/>
    <w:rsid w:val="0048660D"/>
    <w:rsid w:val="004968E0"/>
    <w:rsid w:val="004B3B10"/>
    <w:rsid w:val="004B40C9"/>
    <w:rsid w:val="004B58C3"/>
    <w:rsid w:val="004C1853"/>
    <w:rsid w:val="004D114E"/>
    <w:rsid w:val="004F26E3"/>
    <w:rsid w:val="0050087B"/>
    <w:rsid w:val="0050132F"/>
    <w:rsid w:val="005014AF"/>
    <w:rsid w:val="005067D6"/>
    <w:rsid w:val="00514183"/>
    <w:rsid w:val="00514A20"/>
    <w:rsid w:val="00517878"/>
    <w:rsid w:val="00527A48"/>
    <w:rsid w:val="005438AD"/>
    <w:rsid w:val="005634A4"/>
    <w:rsid w:val="00572760"/>
    <w:rsid w:val="00586C90"/>
    <w:rsid w:val="00591225"/>
    <w:rsid w:val="00591A01"/>
    <w:rsid w:val="005929E9"/>
    <w:rsid w:val="005943A1"/>
    <w:rsid w:val="0059499E"/>
    <w:rsid w:val="00597628"/>
    <w:rsid w:val="005D1B15"/>
    <w:rsid w:val="005D71B1"/>
    <w:rsid w:val="0062116C"/>
    <w:rsid w:val="00630D13"/>
    <w:rsid w:val="0063261B"/>
    <w:rsid w:val="00635734"/>
    <w:rsid w:val="00637331"/>
    <w:rsid w:val="00643008"/>
    <w:rsid w:val="006455A7"/>
    <w:rsid w:val="006523F8"/>
    <w:rsid w:val="006900E2"/>
    <w:rsid w:val="006956F5"/>
    <w:rsid w:val="006B0FD2"/>
    <w:rsid w:val="006C4E19"/>
    <w:rsid w:val="006E4453"/>
    <w:rsid w:val="006F5B94"/>
    <w:rsid w:val="006F5E76"/>
    <w:rsid w:val="007165E4"/>
    <w:rsid w:val="007231A5"/>
    <w:rsid w:val="00773E3F"/>
    <w:rsid w:val="007746A9"/>
    <w:rsid w:val="00776F80"/>
    <w:rsid w:val="0078018B"/>
    <w:rsid w:val="007A043F"/>
    <w:rsid w:val="007B7997"/>
    <w:rsid w:val="007D1A07"/>
    <w:rsid w:val="007D728D"/>
    <w:rsid w:val="007E628A"/>
    <w:rsid w:val="007E72A1"/>
    <w:rsid w:val="008065F8"/>
    <w:rsid w:val="008127DE"/>
    <w:rsid w:val="008128CE"/>
    <w:rsid w:val="008168FF"/>
    <w:rsid w:val="00822C18"/>
    <w:rsid w:val="008301AE"/>
    <w:rsid w:val="008303BE"/>
    <w:rsid w:val="00855421"/>
    <w:rsid w:val="00860880"/>
    <w:rsid w:val="00875E78"/>
    <w:rsid w:val="00876DA4"/>
    <w:rsid w:val="00877898"/>
    <w:rsid w:val="00885129"/>
    <w:rsid w:val="00887883"/>
    <w:rsid w:val="00887A9F"/>
    <w:rsid w:val="008915D4"/>
    <w:rsid w:val="008A6541"/>
    <w:rsid w:val="008B7FA7"/>
    <w:rsid w:val="008C4AD0"/>
    <w:rsid w:val="008C5DD5"/>
    <w:rsid w:val="008E21A3"/>
    <w:rsid w:val="008E6933"/>
    <w:rsid w:val="008E7216"/>
    <w:rsid w:val="008F1659"/>
    <w:rsid w:val="008F5034"/>
    <w:rsid w:val="009139FD"/>
    <w:rsid w:val="0093068F"/>
    <w:rsid w:val="00930F51"/>
    <w:rsid w:val="00986392"/>
    <w:rsid w:val="009A4F7E"/>
    <w:rsid w:val="009C11D5"/>
    <w:rsid w:val="009E417E"/>
    <w:rsid w:val="009F5C9E"/>
    <w:rsid w:val="00A075A4"/>
    <w:rsid w:val="00A16669"/>
    <w:rsid w:val="00A20C10"/>
    <w:rsid w:val="00A20C91"/>
    <w:rsid w:val="00A352A0"/>
    <w:rsid w:val="00A47170"/>
    <w:rsid w:val="00A529F5"/>
    <w:rsid w:val="00A55E94"/>
    <w:rsid w:val="00A61240"/>
    <w:rsid w:val="00A644ED"/>
    <w:rsid w:val="00A76525"/>
    <w:rsid w:val="00A820E4"/>
    <w:rsid w:val="00A95C21"/>
    <w:rsid w:val="00A964C2"/>
    <w:rsid w:val="00A9660A"/>
    <w:rsid w:val="00AA1FE8"/>
    <w:rsid w:val="00AA257F"/>
    <w:rsid w:val="00AB245B"/>
    <w:rsid w:val="00AC71C8"/>
    <w:rsid w:val="00AD58DE"/>
    <w:rsid w:val="00AF0257"/>
    <w:rsid w:val="00AF05C4"/>
    <w:rsid w:val="00AF06C5"/>
    <w:rsid w:val="00AF4A59"/>
    <w:rsid w:val="00B204E8"/>
    <w:rsid w:val="00B2067A"/>
    <w:rsid w:val="00B23B6C"/>
    <w:rsid w:val="00B45240"/>
    <w:rsid w:val="00B5300A"/>
    <w:rsid w:val="00B53D8E"/>
    <w:rsid w:val="00B56B70"/>
    <w:rsid w:val="00B62CAF"/>
    <w:rsid w:val="00B66885"/>
    <w:rsid w:val="00B71B44"/>
    <w:rsid w:val="00B74EEB"/>
    <w:rsid w:val="00B75378"/>
    <w:rsid w:val="00B833E3"/>
    <w:rsid w:val="00BA1F7B"/>
    <w:rsid w:val="00BB4FCC"/>
    <w:rsid w:val="00BC10B7"/>
    <w:rsid w:val="00BC1633"/>
    <w:rsid w:val="00BE3EAA"/>
    <w:rsid w:val="00BE41E9"/>
    <w:rsid w:val="00BE5EE8"/>
    <w:rsid w:val="00C013D2"/>
    <w:rsid w:val="00C11711"/>
    <w:rsid w:val="00C12670"/>
    <w:rsid w:val="00C1295F"/>
    <w:rsid w:val="00C211C7"/>
    <w:rsid w:val="00C27116"/>
    <w:rsid w:val="00C42BA4"/>
    <w:rsid w:val="00C5475A"/>
    <w:rsid w:val="00C55F80"/>
    <w:rsid w:val="00C57E75"/>
    <w:rsid w:val="00C628AB"/>
    <w:rsid w:val="00C63CFC"/>
    <w:rsid w:val="00C65885"/>
    <w:rsid w:val="00C661D9"/>
    <w:rsid w:val="00C666E0"/>
    <w:rsid w:val="00C767A6"/>
    <w:rsid w:val="00C81D1A"/>
    <w:rsid w:val="00CA6547"/>
    <w:rsid w:val="00CB67E8"/>
    <w:rsid w:val="00CD43DD"/>
    <w:rsid w:val="00CD70A9"/>
    <w:rsid w:val="00CD75CB"/>
    <w:rsid w:val="00CF2969"/>
    <w:rsid w:val="00CF6235"/>
    <w:rsid w:val="00CF78AE"/>
    <w:rsid w:val="00D316C4"/>
    <w:rsid w:val="00D44798"/>
    <w:rsid w:val="00D51F4E"/>
    <w:rsid w:val="00D709C3"/>
    <w:rsid w:val="00DA4E17"/>
    <w:rsid w:val="00DF3749"/>
    <w:rsid w:val="00DF5A04"/>
    <w:rsid w:val="00E02E22"/>
    <w:rsid w:val="00E13641"/>
    <w:rsid w:val="00E15EB0"/>
    <w:rsid w:val="00E318BD"/>
    <w:rsid w:val="00E3415E"/>
    <w:rsid w:val="00E352F2"/>
    <w:rsid w:val="00E35C8B"/>
    <w:rsid w:val="00E42F59"/>
    <w:rsid w:val="00E43525"/>
    <w:rsid w:val="00E44551"/>
    <w:rsid w:val="00E56D37"/>
    <w:rsid w:val="00E822E7"/>
    <w:rsid w:val="00E85F4C"/>
    <w:rsid w:val="00EB1A32"/>
    <w:rsid w:val="00EB730E"/>
    <w:rsid w:val="00EC3AA9"/>
    <w:rsid w:val="00ED34BD"/>
    <w:rsid w:val="00ED37D9"/>
    <w:rsid w:val="00ED52E4"/>
    <w:rsid w:val="00ED5305"/>
    <w:rsid w:val="00ED54A7"/>
    <w:rsid w:val="00F10B00"/>
    <w:rsid w:val="00F20669"/>
    <w:rsid w:val="00F25399"/>
    <w:rsid w:val="00F44A64"/>
    <w:rsid w:val="00F50BA3"/>
    <w:rsid w:val="00F554E3"/>
    <w:rsid w:val="00F618A9"/>
    <w:rsid w:val="00F63712"/>
    <w:rsid w:val="00F6525C"/>
    <w:rsid w:val="00F716A5"/>
    <w:rsid w:val="00F740BD"/>
    <w:rsid w:val="00F84D8F"/>
    <w:rsid w:val="00F864FA"/>
    <w:rsid w:val="00F92724"/>
    <w:rsid w:val="00FA118E"/>
    <w:rsid w:val="00FB6580"/>
    <w:rsid w:val="00FD2973"/>
    <w:rsid w:val="00FD59B1"/>
    <w:rsid w:val="00FE584D"/>
    <w:rsid w:val="00FF3572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1B44"/>
    <w:pPr>
      <w:ind w:left="720"/>
      <w:contextualSpacing/>
    </w:pPr>
  </w:style>
  <w:style w:type="character" w:styleId="Siln">
    <w:name w:val="Strong"/>
    <w:basedOn w:val="Standardnpsmoodstavce"/>
    <w:qFormat/>
    <w:rsid w:val="004968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1B44"/>
    <w:pPr>
      <w:ind w:left="720"/>
      <w:contextualSpacing/>
    </w:pPr>
  </w:style>
  <w:style w:type="character" w:styleId="Siln">
    <w:name w:val="Strong"/>
    <w:basedOn w:val="Standardnpsmoodstavce"/>
    <w:qFormat/>
    <w:rsid w:val="00496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BED6-7BAF-4433-90FB-94DAF452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1859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Zpěváček Pavel</cp:lastModifiedBy>
  <cp:revision>5</cp:revision>
  <cp:lastPrinted>2014-01-10T06:29:00Z</cp:lastPrinted>
  <dcterms:created xsi:type="dcterms:W3CDTF">2014-09-08T08:35:00Z</dcterms:created>
  <dcterms:modified xsi:type="dcterms:W3CDTF">2019-11-27T07:43:00Z</dcterms:modified>
</cp:coreProperties>
</file>