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česká republika - Státní pozemkový úřad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sídlo: Husinecká 1024/11 a, 130 00 Praha 3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zastoupený Ing. Miroslavem Kučerou, ředitelem Krajského pozemkového úřadu prc Pardubický kraj,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adresa Boženy Němcové 231, 530 02 Pardubice IČO: 01312774 DIČ: CZ01312774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314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bankovní spojení: Česká národní banka číslo účtu: 160012-3723001/0710 (dále jen ,,propachtovatel“)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870" w:line="26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- na straně jedné -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FARMA RASL s.r.o.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sídlo: Pražská 53, 562 04 Ústí nad Orlicí - Kerhartice IČO: 287 83 344 DIČ: CZ28783344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zapsána v obchodním rejstříku vedeném Krajským soudem v Hradci Králové, oddí 270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310" w:line="278" w:lineRule="exact"/>
        <w:ind w:left="22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osoba oprávněná jednat za právnickou osobu: Petr Jiřík, jednatel (dále jen ,,pachtýř“)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282" w:line="266" w:lineRule="exact"/>
        <w:ind w:left="2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- na straně druhé -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311" w:line="288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uzavírají podle ustanovení § 2332 a násl. zákona č. 89/2012 Sb., občanský zákoní ,,NOZ“) tuto</w:t>
      </w:r>
    </w:p>
    <w:p>
      <w:pPr>
        <w:pStyle w:val="Style9"/>
        <w:widowControl w:val="0"/>
        <w:keepNext/>
        <w:keepLines/>
        <w:shd w:val="clear" w:color="auto" w:fill="auto"/>
        <w:bidi w:val="0"/>
        <w:spacing w:before="0" w:after="0"/>
        <w:ind w:left="0" w:right="112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PACHTOVNÍ SMLOUVU</w:t>
        <w:br/>
        <w:t>č. 209 N 14/50</w:t>
      </w:r>
      <w:bookmarkEnd w:id="0"/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269"/>
        <w:ind w:left="0" w:right="112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Č1.I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82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Propachtovatel je ve smyslu zákona č. 503/2012 Sb., o Státním pozemkc a o změně některých souvisejících zákonů, ve znění pozdějších předpisů, příslušný s těmito zemědělskými pozemky ve vlastnictví státu vedenými u Katastrálního Pardubický kraj. Katastrálního pracoviště Ústí nad Orlicí.</w:t>
      </w:r>
    </w:p>
    <w:tbl>
      <w:tblPr>
        <w:tblOverlap w:val="never"/>
        <w:tblLayout w:type="fixed"/>
        <w:jc w:val="center"/>
      </w:tblPr>
      <w:tblGrid>
        <w:gridCol w:w="1632"/>
        <w:gridCol w:w="1704"/>
        <w:gridCol w:w="1555"/>
        <w:gridCol w:w="1238"/>
        <w:gridCol w:w="1166"/>
        <w:gridCol w:w="739"/>
      </w:tblGrid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0" w:firstLine="0"/>
            </w:pPr>
            <w:r>
              <w:rPr>
                <w:rStyle w:val="CharStyle15"/>
              </w:rPr>
              <w:t>obec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320" w:right="0" w:firstLine="0"/>
            </w:pPr>
            <w:r>
              <w:rPr>
                <w:rStyle w:val="CharStyle15"/>
              </w:rPr>
              <w:t>kat. území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0" w:firstLine="0"/>
            </w:pPr>
            <w:r>
              <w:rPr>
                <w:rStyle w:val="CharStyle15"/>
              </w:rPr>
              <w:t>druh</w:t>
            </w:r>
          </w:p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0" w:firstLine="0"/>
            </w:pPr>
            <w:r>
              <w:rPr>
                <w:rStyle w:val="CharStyle15"/>
              </w:rPr>
              <w:t>evidence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140" w:right="0" w:firstLine="0"/>
            </w:pPr>
            <w:r>
              <w:rPr>
                <w:rStyle w:val="CharStyle15"/>
              </w:rPr>
              <w:t>parcela č.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200" w:right="0" w:firstLine="0"/>
            </w:pPr>
            <w:r>
              <w:rPr>
                <w:rStyle w:val="CharStyle15"/>
              </w:rPr>
              <w:t>výměra</w:t>
            </w:r>
          </w:p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0" w:firstLine="0"/>
            </w:pPr>
            <w:r>
              <w:rPr>
                <w:rStyle w:val="CharStyle15"/>
              </w:rPr>
              <w:t>m^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200" w:right="0" w:firstLine="0"/>
            </w:pPr>
            <w:r>
              <w:rPr>
                <w:rStyle w:val="CharStyle15"/>
              </w:rPr>
              <w:t>druh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Ústí nad Orlicí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Gerhartice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140" w:right="0" w:firstLine="0"/>
            </w:pPr>
            <w:r>
              <w:rPr>
                <w:rStyle w:val="CharStyle16"/>
              </w:rPr>
              <w:t>83/64 ěást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3792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2" w:lineRule="exact"/>
              <w:ind w:left="0" w:right="0" w:firstLine="0"/>
            </w:pPr>
            <w:r>
              <w:rPr>
                <w:rStyle w:val="CharStyle17"/>
              </w:rPr>
              <w:t>Zi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Ústí nad Orlicí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Gerhartice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83/3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11061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03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Ústí nad Orlicí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Gerhartice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135/1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60398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03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Ústí nad Orlicí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Gerhartice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135/4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15390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03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Ústí nad Orlicí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Ústí nad Orlicí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300" w:right="0" w:firstLine="0"/>
            </w:pPr>
            <w:r>
              <w:rPr>
                <w:rStyle w:val="CharStyle16"/>
              </w:rPr>
              <w:t>2272/1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803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4612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03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3"/>
        <w:framePr w:w="803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Pozemky byly pronajaty do 30. listopadu 2014 nájemní smlouvou ě. 362N02/50.</w:t>
      </w:r>
    </w:p>
    <w:p>
      <w:pPr>
        <w:framePr w:w="803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8"/>
        <w:widowControl w:val="0"/>
        <w:keepNext/>
        <w:keepLines/>
        <w:shd w:val="clear" w:color="auto" w:fill="auto"/>
        <w:bidi w:val="0"/>
        <w:spacing w:before="331" w:after="273"/>
        <w:ind w:left="0" w:right="112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II</w:t>
      </w:r>
      <w:bookmarkEnd w:id="1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70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Propachtovatel přenechává pachtýři pozemky uvedené v čl. I této smlouv) za účelem:</w:t>
      </w:r>
    </w:p>
    <w:p>
      <w:pPr>
        <w:pStyle w:val="Style7"/>
        <w:tabs>
          <w:tab w:leader="none" w:pos="15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220" w:right="0" w:firstLine="0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62" w:h="16872"/>
          <w:pgMar w:top="1041" w:left="3734" w:right="78" w:bottom="669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-</w:t>
        <w:tab/>
      </w:r>
      <w:r>
        <w:rPr>
          <w:rStyle w:val="CharStyle20"/>
          <w:b w:val="0"/>
          <w:bCs w:val="0"/>
        </w:rPr>
        <w:t>i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zemědělské výroby.</w:t>
      </w:r>
    </w:p>
    <w:p>
      <w:pPr>
        <w:pStyle w:val="Style18"/>
        <w:widowControl w:val="0"/>
        <w:keepNext/>
        <w:keepLines/>
        <w:shd w:val="clear" w:color="auto" w:fill="auto"/>
        <w:bidi w:val="0"/>
        <w:jc w:val="left"/>
        <w:spacing w:before="0" w:after="0"/>
        <w:ind w:left="2820" w:right="0" w:firstLine="0"/>
      </w:pPr>
      <w:bookmarkStart w:id="2" w:name="bookmark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Cl. </w:t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Ill</w:t>
      </w:r>
      <w:bookmarkEnd w:id="2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266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1.85pt;margin-top:-55.45pt;width:124.3pt;height:109.9pt;z-index:-125829376;mso-wrap-distance-left:5.pt;mso-wrap-distance-right:5.pt;mso-wrap-distance-bottom:0.5pt;mso-position-horizontal-relative:margin" wrapcoords="0 0 21600 0 21600 21600 0 21600 0 0">
            <v:imagedata r:id="rId6" r:href="rId7"/>
            <w10:wrap type="square" anchorx="margin"/>
          </v:shape>
        </w:pict>
      </w:r>
      <w:r>
        <w:rPr>
          <w:rStyle w:val="CharStyle21"/>
        </w:rPr>
        <w:t xml:space="preserve">Pachtýř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je povinen:</w:t>
      </w:r>
    </w:p>
    <w:p>
      <w:pPr>
        <w:pStyle w:val="Style7"/>
        <w:numPr>
          <w:ilvl w:val="0"/>
          <w:numId w:val="1"/>
        </w:numPr>
        <w:tabs>
          <w:tab w:leader="none" w:pos="9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užívat pozemky řádně v souladu s 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>
      <w:pPr>
        <w:pStyle w:val="Style7"/>
        <w:numPr>
          <w:ilvl w:val="0"/>
          <w:numId w:val="1"/>
        </w:numPr>
        <w:tabs>
          <w:tab w:leader="none" w:pos="92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dodržovat povinnosti vyplývající ze zákona č. 326/2004 Sb., o rostlinolékařské péči a o změně některých souvisejících zákonů, ve znění pozdějších předpisů,</w:t>
      </w:r>
    </w:p>
    <w:p>
      <w:pPr>
        <w:pStyle w:val="Style7"/>
        <w:numPr>
          <w:ilvl w:val="0"/>
          <w:numId w:val="1"/>
        </w:numPr>
        <w:tabs>
          <w:tab w:leader="none" w:pos="9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dodržovat zákaz hospodářské činnosti vyvolávající erozi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7"/>
        <w:numPr>
          <w:ilvl w:val="0"/>
          <w:numId w:val="1"/>
        </w:numPr>
        <w:tabs>
          <w:tab w:leader="none" w:pos="9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umožnit propachtovateli provádění kontroly k bodům a) až c) formou nahlédnutí do evidence rozborů a vstupem na pozemky,</w:t>
      </w:r>
    </w:p>
    <w:p>
      <w:pPr>
        <w:pStyle w:val="Style7"/>
        <w:numPr>
          <w:ilvl w:val="0"/>
          <w:numId w:val="1"/>
        </w:numPr>
        <w:tabs>
          <w:tab w:leader="none" w:pos="9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dodržovat povinnosti vyplývající ze zákona č. 449/2001 Sb., o myslivosti, ve znění pozdějších předpisů,</w:t>
      </w:r>
    </w:p>
    <w:p>
      <w:pPr>
        <w:pStyle w:val="Style7"/>
        <w:numPr>
          <w:ilvl w:val="0"/>
          <w:numId w:val="1"/>
        </w:numPr>
        <w:tabs>
          <w:tab w:leader="none" w:pos="10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provádět podle podmínek sběr kamene,</w:t>
      </w:r>
    </w:p>
    <w:p>
      <w:pPr>
        <w:pStyle w:val="Style7"/>
        <w:numPr>
          <w:ilvl w:val="0"/>
          <w:numId w:val="1"/>
        </w:numPr>
        <w:tabs>
          <w:tab w:leader="none" w:pos="9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vyžádat si souhlas propachtovatele při realizaci zúrodňovacích opatření a zakládání trvalých porostů na pozemcích nebo při provádění změny druhu pozemku,</w:t>
      </w:r>
    </w:p>
    <w:p>
      <w:pPr>
        <w:pStyle w:val="Style7"/>
        <w:numPr>
          <w:ilvl w:val="0"/>
          <w:numId w:val="1"/>
        </w:numPr>
        <w:tabs>
          <w:tab w:leader="none" w:pos="9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trpět věcná břemena, resp. služebnosti spojené s pozemky, jež jsou předmětem pachtu,</w:t>
      </w:r>
    </w:p>
    <w:p>
      <w:pPr>
        <w:pStyle w:val="Style7"/>
        <w:numPr>
          <w:ilvl w:val="0"/>
          <w:numId w:val="1"/>
        </w:numPr>
        <w:tabs>
          <w:tab w:leader="none" w:pos="9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31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platit v souladu se zákonnou úpravou daň z nemovitých věcí za propachtované pozemky, jež jsou předmětem pachtu.</w:t>
      </w:r>
    </w:p>
    <w:p>
      <w:pPr>
        <w:pStyle w:val="Style18"/>
        <w:widowControl w:val="0"/>
        <w:keepNext/>
        <w:keepLines/>
        <w:shd w:val="clear" w:color="auto" w:fill="auto"/>
        <w:bidi w:val="0"/>
        <w:spacing w:before="0" w:after="273"/>
        <w:ind w:left="40" w:right="0" w:firstLine="0"/>
      </w:pPr>
      <w:bookmarkStart w:id="3" w:name="bookmark3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Cl. IV</w:t>
      </w:r>
      <w:bookmarkEnd w:id="3"/>
    </w:p>
    <w:p>
      <w:pPr>
        <w:pStyle w:val="Style7"/>
        <w:numPr>
          <w:ilvl w:val="0"/>
          <w:numId w:val="3"/>
        </w:numPr>
        <w:tabs>
          <w:tab w:leader="none" w:pos="9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Tato smlouva se uzavírá od </w:t>
      </w:r>
      <w:r>
        <w:rPr>
          <w:rStyle w:val="CharStyle22"/>
        </w:rPr>
        <w:t xml:space="preserve">1. prosince 2014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dobu neurčitou.</w:t>
      </w:r>
    </w:p>
    <w:p>
      <w:pPr>
        <w:pStyle w:val="Style7"/>
        <w:numPr>
          <w:ilvl w:val="0"/>
          <w:numId w:val="3"/>
        </w:numPr>
        <w:tabs>
          <w:tab w:leader="none" w:pos="9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Právní vztah založený touto smlouvou lze ukončit dohodou nebo písemnou výpovědí.</w:t>
      </w:r>
    </w:p>
    <w:p>
      <w:pPr>
        <w:pStyle w:val="Style7"/>
        <w:numPr>
          <w:ilvl w:val="0"/>
          <w:numId w:val="3"/>
        </w:numPr>
        <w:tabs>
          <w:tab w:leader="none" w:pos="9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 lze v souladu s ustanovením § 2347 NOZ vypovědět v dvanáctiměsíční výpovědní době, a to vždy jen k 1. říjnu běžného roku.</w:t>
      </w:r>
    </w:p>
    <w:p>
      <w:pPr>
        <w:pStyle w:val="Style7"/>
        <w:numPr>
          <w:ilvl w:val="0"/>
          <w:numId w:val="3"/>
        </w:numPr>
        <w:tabs>
          <w:tab w:leader="none" w:pos="9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Stane-li se pachtýř ze zdravotních důvodů nezpůsobilý na pozemku hospodařit, má dle ustanovení § 2348 NOZ právo vypovědět pacht v tříměsíční výpovědní době.</w:t>
      </w:r>
    </w:p>
    <w:p>
      <w:pPr>
        <w:pStyle w:val="Style7"/>
        <w:numPr>
          <w:ilvl w:val="0"/>
          <w:numId w:val="3"/>
        </w:numPr>
        <w:tabs>
          <w:tab w:leader="none" w:pos="9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28" w:line="278" w:lineRule="exact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Propachtovatel může v souladu s ustanovením § 2334 NOZ vypovědět pacht bez výpovědní doby, jestliže pachtýř propachtuje propachtované pozemky jinému, přenechá-li je k užívání nebo změní-li hospodářské určení pozemků, anebo způsob jejich užívání nebo požívání bez propachtovatelova předchozího souhlasu.</w:t>
      </w:r>
    </w:p>
    <w:p>
      <w:pPr>
        <w:pStyle w:val="Style18"/>
        <w:widowControl w:val="0"/>
        <w:keepNext/>
        <w:keepLines/>
        <w:shd w:val="clear" w:color="auto" w:fill="auto"/>
        <w:bidi w:val="0"/>
        <w:spacing w:before="0" w:after="269"/>
        <w:ind w:left="40" w:right="0" w:firstLine="0"/>
      </w:pPr>
      <w:bookmarkStart w:id="4" w:name="bookmark4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V</w:t>
      </w:r>
      <w:bookmarkEnd w:id="4"/>
    </w:p>
    <w:p>
      <w:pPr>
        <w:pStyle w:val="Style7"/>
        <w:numPr>
          <w:ilvl w:val="0"/>
          <w:numId w:val="5"/>
        </w:numPr>
        <w:tabs>
          <w:tab w:leader="none" w:pos="9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Pachtýř je povinen platit propachtovateli pachtovné.</w:t>
      </w:r>
    </w:p>
    <w:p>
      <w:pPr>
        <w:pStyle w:val="Style7"/>
        <w:numPr>
          <w:ilvl w:val="0"/>
          <w:numId w:val="5"/>
        </w:numPr>
        <w:tabs>
          <w:tab w:leader="none" w:pos="99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Pachtovné se platí </w:t>
      </w:r>
      <w:r>
        <w:rPr>
          <w:rStyle w:val="CharStyle23"/>
        </w:rPr>
        <w:t>ročně pozadu</w:t>
      </w:r>
      <w:r>
        <w:rPr>
          <w:rStyle w:val="CharStyle22"/>
        </w:rPr>
        <w:t xml:space="preserve">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vždy k 1. 10. běžného roku.</w:t>
      </w:r>
    </w:p>
    <w:p>
      <w:pPr>
        <w:pStyle w:val="Style7"/>
        <w:numPr>
          <w:ilvl w:val="0"/>
          <w:numId w:val="5"/>
        </w:numPr>
        <w:tabs>
          <w:tab w:leader="none" w:pos="91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266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Roční pachtovné se stanovuje dohodou ve výši 12 333,- Kč (slovy: dvanácttisíctřistatřicettři korun českých).</w:t>
      </w:r>
    </w:p>
    <w:p>
      <w:pPr>
        <w:pStyle w:val="Style7"/>
        <w:numPr>
          <w:ilvl w:val="0"/>
          <w:numId w:val="5"/>
        </w:numPr>
        <w:tabs>
          <w:tab w:leader="none" w:pos="9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Pachtovné bude hrazeno převodem na účet propachtovatele vedený u České národní banky, číslo účtu 160012-3723001/0710, variabilní symbol 20911450.</w:t>
      </w:r>
    </w:p>
    <w:p>
      <w:pPr>
        <w:pStyle w:val="Style7"/>
        <w:numPr>
          <w:ilvl w:val="0"/>
          <w:numId w:val="5"/>
        </w:numPr>
        <w:tabs>
          <w:tab w:leader="none" w:pos="9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Pachtovné za období od účinnosti smlouvy do 30. 9. 2015 včetně činí 10 272,- Kč (slovy: desettisícdvěstěsedmdesátdva korun českých) a bude uhrazeno k 1. říjnu 2015.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4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Zaplacením se rozumí připsání placené částky na účet propachtovatele.</w:t>
      </w:r>
    </w:p>
    <w:p>
      <w:pPr>
        <w:pStyle w:val="Style7"/>
        <w:numPr>
          <w:ilvl w:val="0"/>
          <w:numId w:val="5"/>
        </w:numPr>
        <w:tabs>
          <w:tab w:leader="none" w:pos="9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Nedodrží-li pachtýř lhůtu pro úhradu pachtovného, je povinen podle ustanovení § 1970 NOZ zaplatit propachtovateli úrok z prodlení, a to na účet propachtovatele vedený u České národní banky, číslo účtu 180013-3723001/0710, variabilní symbol </w:t>
      </w:r>
      <w:r>
        <w:rPr>
          <w:rStyle w:val="CharStyle24"/>
          <w:b w:val="0"/>
          <w:bCs w:val="0"/>
        </w:rPr>
        <w:t>&lt;^‘ň\450.</w:t>
      </w:r>
    </w:p>
    <w:p>
      <w:pPr>
        <w:pStyle w:val="Style7"/>
        <w:numPr>
          <w:ilvl w:val="0"/>
          <w:numId w:val="5"/>
        </w:numPr>
        <w:tabs>
          <w:tab w:leader="none" w:pos="10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80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Prodlení pachtýře s úhradou pachtovného delší než 60 dnů se považuje za porušení smlouvy, které zakládá právo propachtovatele smlouvu vypovědět bez výpovědní doby (ustanovení § 2228 odst. 4 NOZ).</w:t>
      </w:r>
      <w:r>
        <w:br w:type="page"/>
      </w:r>
    </w:p>
    <w:p>
      <w:pPr>
        <w:pStyle w:val="Style18"/>
        <w:widowControl w:val="0"/>
        <w:keepNext/>
        <w:keepLines/>
        <w:shd w:val="clear" w:color="auto" w:fill="auto"/>
        <w:bidi w:val="0"/>
        <w:spacing w:before="0" w:after="233"/>
        <w:ind w:left="0" w:right="0" w:firstLine="0"/>
      </w:pPr>
      <w:bookmarkStart w:id="5" w:name="bookmark5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Cl. VI</w:t>
      </w:r>
      <w:bookmarkEnd w:id="5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302" w:lineRule="exact"/>
        <w:ind w:left="0" w:right="0" w:firstLine="82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Pokud jsou na propachtovaných pozemcích zřízena melíorační zařízení, pachtýř se zavazuje:</w:t>
      </w:r>
    </w:p>
    <w:p>
      <w:pPr>
        <w:pStyle w:val="Style7"/>
        <w:numPr>
          <w:ilvl w:val="0"/>
          <w:numId w:val="7"/>
        </w:numPr>
        <w:tabs>
          <w:tab w:leader="none" w:pos="133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94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 melíoračních zařízení umístěných pod povrchem půdy zajistit jejich údržbu,</w:t>
      </w:r>
    </w:p>
    <w:p>
      <w:pPr>
        <w:pStyle w:val="Style7"/>
        <w:numPr>
          <w:ilvl w:val="0"/>
          <w:numId w:val="7"/>
        </w:numPr>
        <w:tabs>
          <w:tab w:leader="none" w:pos="133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8" w:line="266" w:lineRule="exact"/>
        <w:ind w:left="94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 hlavním melioračním zařízením umožnit přístup za účelem provedení údržby.</w:t>
      </w:r>
    </w:p>
    <w:p>
      <w:pPr>
        <w:pStyle w:val="Style18"/>
        <w:widowControl w:val="0"/>
        <w:keepNext/>
        <w:keepLines/>
        <w:shd w:val="clear" w:color="auto" w:fill="auto"/>
        <w:bidi w:val="0"/>
        <w:spacing w:before="0" w:after="249"/>
        <w:ind w:left="0" w:right="0" w:firstLine="0"/>
      </w:pPr>
      <w:bookmarkStart w:id="6" w:name="bookmark6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VII</w:t>
      </w:r>
      <w:bookmarkEnd w:id="6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82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Pachtýř bere na vědomí a je srozuměn s tím, že pozemky, které jsou předmětem pachtu dle této smlouvy, mohou být propachtovatelem převedeny na třetí osoby v souladu s jeho dispoziěním oprávněním. V případě změny vlastnictví platí ustanovení § 2221 a § 2222 NOZ.</w:t>
      </w:r>
    </w:p>
    <w:p>
      <w:pPr>
        <w:pStyle w:val="Style18"/>
        <w:widowControl w:val="0"/>
        <w:keepNext/>
        <w:keepLines/>
        <w:shd w:val="clear" w:color="auto" w:fill="auto"/>
        <w:bidi w:val="0"/>
        <w:spacing w:before="0" w:after="280" w:line="283" w:lineRule="exact"/>
        <w:ind w:left="0" w:right="0" w:firstLine="0"/>
      </w:pPr>
      <w:bookmarkStart w:id="7" w:name="bookmark7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VIII</w:t>
      </w:r>
      <w:bookmarkEnd w:id="7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82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Pachtýř je oprávněn propachtované pozemky, některé z nich nebo jejich části propachtovat nebo dát do užívání třetí osobě jen s předchozím písemným souhlasem propachtovatele.</w:t>
      </w:r>
    </w:p>
    <w:p>
      <w:pPr>
        <w:pStyle w:val="Style18"/>
        <w:widowControl w:val="0"/>
        <w:keepNext/>
        <w:keepLines/>
        <w:shd w:val="clear" w:color="auto" w:fill="auto"/>
        <w:bidi w:val="0"/>
        <w:spacing w:before="0" w:after="280" w:line="283" w:lineRule="exact"/>
        <w:ind w:left="0" w:right="0" w:firstLine="0"/>
      </w:pPr>
      <w:bookmarkStart w:id="8" w:name="bookmark8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Č1.IX</w:t>
      </w:r>
      <w:bookmarkEnd w:id="8"/>
    </w:p>
    <w:p>
      <w:pPr>
        <w:pStyle w:val="Style7"/>
        <w:numPr>
          <w:ilvl w:val="0"/>
          <w:numId w:val="9"/>
        </w:numPr>
        <w:tabs>
          <w:tab w:leader="none" w:pos="10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82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se dohodly, že jakékoliv změny a doplňky této smlouvy jsou možné pouze písemnou formou dodatku k této smlouvě, a to na základě dohody smluvních stran.</w:t>
      </w:r>
    </w:p>
    <w:p>
      <w:pPr>
        <w:pStyle w:val="Style7"/>
        <w:numPr>
          <w:ilvl w:val="0"/>
          <w:numId w:val="9"/>
        </w:numPr>
        <w:tabs>
          <w:tab w:leader="none" w:pos="10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82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jsou povinny se vzájemně informovat o jakékoli změně údajů týkajících se jejich specifikace jako smluvní strany této smlouvy, a to nej později do 30 dnů ode dne změny.</w:t>
      </w:r>
    </w:p>
    <w:p>
      <w:pPr>
        <w:pStyle w:val="Style18"/>
        <w:widowControl w:val="0"/>
        <w:keepNext/>
        <w:keepLines/>
        <w:shd w:val="clear" w:color="auto" w:fill="auto"/>
        <w:bidi w:val="0"/>
        <w:spacing w:before="0" w:after="276" w:line="283" w:lineRule="exact"/>
        <w:ind w:left="0" w:right="0" w:firstLine="0"/>
      </w:pPr>
      <w:bookmarkStart w:id="9" w:name="bookmark9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Č1.X</w:t>
      </w:r>
      <w:bookmarkEnd w:id="9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61" w:line="288" w:lineRule="exact"/>
        <w:ind w:left="0" w:right="0" w:firstLine="68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smlouvaje vyhotovena ve dvou stejnopisech, z nichž každý má platnost originálu. Jeden stejnopis přebírá pachtýř a jeden je určen pro propachtovatele.</w:t>
      </w:r>
    </w:p>
    <w:p>
      <w:pPr>
        <w:pStyle w:val="Style18"/>
        <w:widowControl w:val="0"/>
        <w:keepNext/>
        <w:keepLines/>
        <w:shd w:val="clear" w:color="auto" w:fill="auto"/>
        <w:bidi w:val="0"/>
        <w:spacing w:before="0" w:after="0" w:line="562" w:lineRule="exact"/>
        <w:ind w:left="0" w:right="0" w:firstLine="0"/>
      </w:pPr>
      <w:bookmarkStart w:id="10" w:name="bookmark1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Č1.XI</w:t>
      </w:r>
      <w:bookmarkEnd w:id="10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562" w:lineRule="exact"/>
        <w:ind w:left="0" w:right="0" w:firstLine="68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 nabývá platnosti dnem jejího podpisu smluvními stranami.</w:t>
      </w:r>
    </w:p>
    <w:p>
      <w:pPr>
        <w:pStyle w:val="Style18"/>
        <w:widowControl w:val="0"/>
        <w:keepNext/>
        <w:keepLines/>
        <w:shd w:val="clear" w:color="auto" w:fill="auto"/>
        <w:bidi w:val="0"/>
        <w:spacing w:before="0" w:after="0" w:line="562" w:lineRule="exact"/>
        <w:ind w:left="0" w:right="0" w:firstLine="0"/>
      </w:pPr>
      <w:bookmarkStart w:id="11" w:name="bookmark1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XII</w:t>
      </w:r>
      <w:bookmarkEnd w:id="11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68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266" w:lineRule="exact"/>
        <w:ind w:left="0" w:right="0" w:firstLine="82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Pardubicích dne 1. nmsinnp oni a</w:t>
      </w:r>
    </w:p>
    <w:sectPr>
      <w:headerReference w:type="default" r:id="rId8"/>
      <w:pgSz w:w="12067" w:h="16949"/>
      <w:pgMar w:top="938" w:left="1301" w:right="1539" w:bottom="976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3.25pt;margin-top:112.85pt;width:15.35pt;height:7.7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  <w:b/>
                    <w:bCs/>
                  </w:rPr>
                  <w:t>í 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u w:val="none"/>
      <w:strike w:val="0"/>
      <w:smallCaps w:val="0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u w:val="none"/>
      <w:strike w:val="0"/>
      <w:smallCaps w:val="0"/>
      <w:sz w:val="17"/>
      <w:szCs w:val="17"/>
    </w:rPr>
  </w:style>
  <w:style w:type="character" w:customStyle="1" w:styleId="CharStyle6">
    <w:name w:val="Char Style 6"/>
    <w:basedOn w:val="CharStyle5"/>
    <w:rPr>
      <w:lang w:val="cs-CZ" w:eastAsia="cs-CZ" w:bidi="cs-CZ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10">
    <w:name w:val="Char Style 10"/>
    <w:basedOn w:val="DefaultParagraphFont"/>
    <w:link w:val="Style9"/>
    <w:rPr>
      <w:b/>
      <w:bCs/>
      <w:i w:val="0"/>
      <w:iCs w:val="0"/>
      <w:u w:val="none"/>
      <w:strike w:val="0"/>
      <w:smallCaps w:val="0"/>
      <w:sz w:val="32"/>
      <w:szCs w:val="32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15">
    <w:name w:val="Char Style 15"/>
    <w:basedOn w:val="CharStyle8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6">
    <w:name w:val="Char Style 16"/>
    <w:basedOn w:val="CharStyle8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7">
    <w:name w:val="Char Style 17"/>
    <w:basedOn w:val="CharStyle8"/>
    <w:rPr>
      <w:lang w:val="cs-CZ" w:eastAsia="cs-CZ" w:bidi="cs-CZ"/>
      <w:sz w:val="10"/>
      <w:szCs w:val="1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20">
    <w:name w:val="Char Style 20"/>
    <w:basedOn w:val="CharStyle8"/>
    <w:rPr>
      <w:lang w:val="cs-CZ" w:eastAsia="cs-CZ" w:bidi="cs-CZ"/>
      <w:b/>
      <w:bCs/>
      <w:i/>
      <w:i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1">
    <w:name w:val="Char Style 21"/>
    <w:basedOn w:val="CharStyle8"/>
    <w:rPr>
      <w:lang w:val="cs-CZ" w:eastAsia="cs-CZ" w:bidi="cs-CZ"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2">
    <w:name w:val="Char Style 22"/>
    <w:basedOn w:val="CharStyle8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3">
    <w:name w:val="Char Style 23"/>
    <w:basedOn w:val="CharStyle8"/>
    <w:rPr>
      <w:lang w:val="cs-CZ" w:eastAsia="cs-CZ" w:bidi="cs-CZ"/>
      <w:b/>
      <w:bCs/>
      <w:u w:val="single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4">
    <w:name w:val="Char Style 24"/>
    <w:basedOn w:val="CharStyle8"/>
    <w:rPr>
      <w:lang w:val="cs-CZ" w:eastAsia="cs-CZ" w:bidi="cs-CZ"/>
      <w:b/>
      <w:bCs/>
      <w:i/>
      <w:i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83" w:lineRule="exact"/>
      <w:ind w:hanging="220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188" w:lineRule="exact"/>
    </w:pPr>
    <w:rPr>
      <w:b/>
      <w:bCs/>
      <w:i w:val="0"/>
      <w:iCs w:val="0"/>
      <w:u w:val="none"/>
      <w:strike w:val="0"/>
      <w:smallCaps w:val="0"/>
      <w:sz w:val="17"/>
      <w:szCs w:val="17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83" w:lineRule="exact"/>
      <w:ind w:hanging="220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jc w:val="center"/>
      <w:outlineLvl w:val="0"/>
      <w:spacing w:before="380" w:line="374" w:lineRule="exact"/>
    </w:pPr>
    <w:rPr>
      <w:b/>
      <w:bCs/>
      <w:i w:val="0"/>
      <w:iCs w:val="0"/>
      <w:u w:val="none"/>
      <w:strike w:val="0"/>
      <w:smallCaps w:val="0"/>
      <w:sz w:val="32"/>
      <w:szCs w:val="32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jc w:val="center"/>
      <w:spacing w:after="300"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line="266" w:lineRule="exact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jc w:val="center"/>
      <w:outlineLvl w:val="1"/>
      <w:spacing w:before="300" w:after="300"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header" Target="header2.xml"/></Relationships>
</file>