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1019770502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67BA3" w:rsidRDefault="00267BA3" w:rsidP="00267BA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267BA3" w:rsidRPr="00132A69" w:rsidRDefault="00267BA3" w:rsidP="00267BA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AA0D4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267BA3" w:rsidRPr="00D87E4D" w:rsidRDefault="00267BA3" w:rsidP="00267BA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1019770502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23.6.2005 kupní smlouvu č. 1019770502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400 000,00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203 974,00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 stě tři tisíce devět set sedmdesát čtyři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1.7.2025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6 534,00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30.6.2035</w:t>
      </w:r>
      <w:r>
        <w:rPr>
          <w:rFonts w:ascii="Arial" w:hAnsi="Arial" w:cs="Arial"/>
          <w:sz w:val="22"/>
          <w:szCs w:val="22"/>
        </w:rPr>
        <w:tab/>
        <w:t>6 540,00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6 540,00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267BA3">
        <w:rPr>
          <w:rFonts w:ascii="Arial" w:hAnsi="Arial" w:cs="Arial"/>
          <w:sz w:val="22"/>
          <w:szCs w:val="22"/>
        </w:rPr>
        <w:t>295.450,00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267BA3">
        <w:rPr>
          <w:rFonts w:ascii="Arial" w:hAnsi="Arial" w:cs="Arial"/>
          <w:sz w:val="22"/>
          <w:szCs w:val="22"/>
        </w:rPr>
        <w:t>dvěstědevadesátpěttisícčtyřistapadesát</w:t>
      </w:r>
      <w:proofErr w:type="spellEnd"/>
      <w:r w:rsidR="00267BA3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267BA3">
        <w:rPr>
          <w:rFonts w:ascii="Arial" w:hAnsi="Arial" w:cs="Arial"/>
          <w:b w:val="0"/>
          <w:sz w:val="22"/>
          <w:szCs w:val="22"/>
        </w:rPr>
        <w:t>104.550,00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267BA3">
        <w:rPr>
          <w:rFonts w:ascii="Arial" w:hAnsi="Arial" w:cs="Arial"/>
          <w:b w:val="0"/>
          <w:sz w:val="22"/>
          <w:szCs w:val="22"/>
        </w:rPr>
        <w:t>jednostočtyřitísícepětsetpadesát</w:t>
      </w:r>
      <w:proofErr w:type="spellEnd"/>
      <w:r w:rsidR="00267BA3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267BA3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BA3" w:rsidRDefault="00267BA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BA3" w:rsidRDefault="00267BA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BA3" w:rsidRDefault="00267BA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BA3" w:rsidRPr="00D87E4D" w:rsidRDefault="00267BA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AA0D42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AA0D42">
        <w:rPr>
          <w:rFonts w:ascii="Arial" w:hAnsi="Arial" w:cs="Arial"/>
          <w:sz w:val="22"/>
          <w:szCs w:val="22"/>
        </w:rPr>
        <w:t>7.11.2019</w:t>
      </w:r>
      <w:bookmarkStart w:id="0" w:name="_GoBack"/>
      <w:bookmarkEnd w:id="0"/>
    </w:p>
    <w:p w:rsidR="00267BA3" w:rsidRPr="00D87E4D" w:rsidRDefault="00267BA3" w:rsidP="00267BA3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7BA3" w:rsidRDefault="00267BA3" w:rsidP="00267BA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67BA3" w:rsidRDefault="00267BA3" w:rsidP="00267BA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67BA3" w:rsidRDefault="00267BA3" w:rsidP="00267BA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67BA3" w:rsidRPr="00D87E4D" w:rsidRDefault="00267BA3" w:rsidP="00267BA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267BA3" w:rsidRPr="00D87E4D" w:rsidRDefault="00267BA3" w:rsidP="00267BA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AA0D4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267BA3" w:rsidRPr="00D87E4D" w:rsidRDefault="00267BA3" w:rsidP="00267BA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267BA3" w:rsidRPr="00D87E4D" w:rsidRDefault="00267BA3" w:rsidP="00267BA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267BA3" w:rsidRPr="00D87E4D" w:rsidRDefault="00267BA3" w:rsidP="00267BA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267BA3" w:rsidRPr="00D87E4D" w:rsidRDefault="00267BA3" w:rsidP="00267BA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267BA3" w:rsidRPr="00D87E4D" w:rsidRDefault="00267BA3" w:rsidP="00267BA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267BA3" w:rsidRPr="00D87E4D" w:rsidRDefault="00267BA3" w:rsidP="00267BA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267BA3" w:rsidRPr="00D87E4D" w:rsidRDefault="00267BA3" w:rsidP="00267BA3">
      <w:pPr>
        <w:widowControl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67BA3" w:rsidRPr="00D87E4D" w:rsidRDefault="00267BA3" w:rsidP="00267BA3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267BA3" w:rsidRPr="00D87E4D" w:rsidRDefault="00267BA3" w:rsidP="00267BA3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267BA3" w:rsidRPr="00D87E4D" w:rsidRDefault="00267BA3" w:rsidP="00267BA3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67BA3" w:rsidRPr="00D87E4D" w:rsidRDefault="00267BA3" w:rsidP="00267BA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267BA3" w:rsidRPr="00D87E4D" w:rsidRDefault="00267BA3" w:rsidP="00267BA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A0D42" w:rsidRDefault="00AA0D42" w:rsidP="00267BA3">
      <w:pPr>
        <w:jc w:val="both"/>
        <w:rPr>
          <w:rFonts w:ascii="Arial" w:hAnsi="Arial" w:cs="Arial"/>
          <w:sz w:val="22"/>
          <w:szCs w:val="22"/>
        </w:rPr>
      </w:pPr>
    </w:p>
    <w:p w:rsidR="00AA0D42" w:rsidRDefault="00AA0D42" w:rsidP="00267BA3">
      <w:pPr>
        <w:jc w:val="both"/>
        <w:rPr>
          <w:rFonts w:ascii="Arial" w:hAnsi="Arial" w:cs="Arial"/>
          <w:sz w:val="22"/>
          <w:szCs w:val="22"/>
        </w:rPr>
      </w:pPr>
    </w:p>
    <w:p w:rsidR="00AA0D42" w:rsidRDefault="00AA0D42" w:rsidP="00267BA3">
      <w:pPr>
        <w:jc w:val="both"/>
        <w:rPr>
          <w:rFonts w:ascii="Arial" w:hAnsi="Arial" w:cs="Arial"/>
          <w:sz w:val="22"/>
          <w:szCs w:val="22"/>
        </w:rPr>
      </w:pPr>
    </w:p>
    <w:p w:rsidR="00AA0D42" w:rsidRDefault="00AA0D42" w:rsidP="00267BA3">
      <w:pPr>
        <w:jc w:val="both"/>
        <w:rPr>
          <w:rFonts w:ascii="Arial" w:hAnsi="Arial" w:cs="Arial"/>
          <w:sz w:val="22"/>
          <w:szCs w:val="22"/>
        </w:rPr>
      </w:pPr>
    </w:p>
    <w:p w:rsidR="00AA0D42" w:rsidRDefault="00AA0D42" w:rsidP="00267BA3">
      <w:pPr>
        <w:jc w:val="both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267BA3" w:rsidRPr="00D87E4D" w:rsidRDefault="00267BA3" w:rsidP="00267BA3">
      <w:pPr>
        <w:jc w:val="both"/>
        <w:rPr>
          <w:rFonts w:ascii="Arial" w:hAnsi="Arial" w:cs="Arial"/>
          <w:i/>
          <w:sz w:val="22"/>
          <w:szCs w:val="22"/>
        </w:rPr>
      </w:pP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267BA3" w:rsidRDefault="00267BA3" w:rsidP="00267BA3">
      <w:pPr>
        <w:jc w:val="both"/>
        <w:rPr>
          <w:rFonts w:ascii="Arial" w:hAnsi="Arial" w:cs="Arial"/>
          <w:sz w:val="22"/>
          <w:szCs w:val="22"/>
        </w:rPr>
      </w:pPr>
    </w:p>
    <w:p w:rsidR="00267BA3" w:rsidRDefault="00267BA3" w:rsidP="00267B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67BA3" w:rsidRDefault="00267BA3" w:rsidP="00267B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</w:p>
    <w:p w:rsidR="00267BA3" w:rsidRPr="00D87E4D" w:rsidRDefault="00267BA3" w:rsidP="00267BA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67BA3" w:rsidRPr="00D87E4D" w:rsidRDefault="00267BA3" w:rsidP="00267BA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267BA3" w:rsidRPr="00D87E4D" w:rsidRDefault="00267BA3" w:rsidP="00267BA3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267BA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4E48E6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7CA" w:rsidRDefault="00DE07CA">
      <w:r>
        <w:separator/>
      </w:r>
    </w:p>
  </w:endnote>
  <w:endnote w:type="continuationSeparator" w:id="0">
    <w:p w:rsidR="00DE07CA" w:rsidRDefault="00DE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7CA" w:rsidRDefault="00DE07CA">
      <w:r>
        <w:separator/>
      </w:r>
    </w:p>
  </w:footnote>
  <w:footnote w:type="continuationSeparator" w:id="0">
    <w:p w:rsidR="00DE07CA" w:rsidRDefault="00DE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67BA3"/>
    <w:rsid w:val="002A33F8"/>
    <w:rsid w:val="00341145"/>
    <w:rsid w:val="003511C8"/>
    <w:rsid w:val="00362161"/>
    <w:rsid w:val="003862E6"/>
    <w:rsid w:val="00477E2F"/>
    <w:rsid w:val="00490212"/>
    <w:rsid w:val="004935BD"/>
    <w:rsid w:val="004E48E6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3162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A0D42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E07CA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801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48E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E48E6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E48E6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4E48E6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4E48E6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4E48E6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4E48E6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4E48E6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4E48E6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4E48E6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E48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E48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E48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E48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E48E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4E48E6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E48E6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E48E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E48E6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4E48E6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E48E6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E48E6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E48E6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E48E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E48E6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4E48E6"/>
    <w:pPr>
      <w:ind w:left="708"/>
    </w:pPr>
  </w:style>
  <w:style w:type="paragraph" w:customStyle="1" w:styleId="text">
    <w:name w:val="text"/>
    <w:basedOn w:val="Normln"/>
    <w:uiPriority w:val="99"/>
    <w:rsid w:val="004E48E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4E48E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4E48E6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4E48E6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4E48E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4E48E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4E48E6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4E48E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E48E6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E48E6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1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2019-11-27T12:01:00Z</dcterms:created>
  <dcterms:modified xsi:type="dcterms:W3CDTF">2019-11-27T12:01:00Z</dcterms:modified>
</cp:coreProperties>
</file>