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97" w:rsidRDefault="00741997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Ev. číslo smlouvy: </w:t>
      </w:r>
      <w:r w:rsidR="00EB402F" w:rsidRPr="00EB402F">
        <w:rPr>
          <w:rFonts w:ascii="Times New Roman" w:hAnsi="Times New Roman" w:cs="Times New Roman"/>
          <w:sz w:val="22"/>
          <w:szCs w:val="22"/>
          <w:lang w:val="cs-CZ"/>
        </w:rPr>
        <w:t>KK03586/2019</w:t>
      </w:r>
    </w:p>
    <w:p w:rsidR="00741997" w:rsidRDefault="00741997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C50B4A" w:rsidRDefault="00E02B1D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32"/>
          <w:szCs w:val="22"/>
          <w:lang w:val="cs-CZ"/>
        </w:rPr>
      </w:pPr>
      <w:r>
        <w:rPr>
          <w:rFonts w:ascii="Times New Roman" w:hAnsi="Times New Roman" w:cs="Times New Roman"/>
          <w:b/>
          <w:sz w:val="32"/>
          <w:szCs w:val="22"/>
          <w:lang w:val="cs-CZ"/>
        </w:rPr>
        <w:t xml:space="preserve">  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S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M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L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O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U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V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A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O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V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> 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Ý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P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Ů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J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Č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C</w:t>
      </w:r>
      <w:r w:rsidR="00570DD7" w:rsidRPr="00C50B4A">
        <w:rPr>
          <w:rFonts w:ascii="Times New Roman" w:hAnsi="Times New Roman" w:cs="Times New Roman"/>
          <w:b/>
          <w:sz w:val="32"/>
          <w:szCs w:val="22"/>
          <w:lang w:val="cs-CZ"/>
        </w:rPr>
        <w:t xml:space="preserve"> </w:t>
      </w:r>
      <w:r w:rsidR="00393E0E" w:rsidRPr="00C50B4A">
        <w:rPr>
          <w:rFonts w:ascii="Times New Roman" w:hAnsi="Times New Roman" w:cs="Times New Roman"/>
          <w:b/>
          <w:sz w:val="32"/>
          <w:szCs w:val="22"/>
          <w:lang w:val="cs-CZ"/>
        </w:rPr>
        <w:t>E</w:t>
      </w:r>
    </w:p>
    <w:p w:rsidR="00393E0E" w:rsidRDefault="00393E0E" w:rsidP="007419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:rsidR="00570DD7" w:rsidRDefault="00570DD7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Pr="00570DD7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Auto Eder, s. r. o.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sídlo: Chebská 392/116B, Dvory, 360 06 Karlovy Vary 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IČO: 290 66 476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zastoupený: Jan Eder, jednatel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zapsaná: v obchodním rejstříku vedeném Krajským soudem v Plzni,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sp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zn. C 23147 </w:t>
      </w:r>
    </w:p>
    <w:p w:rsidR="00570DD7" w:rsidRDefault="00570DD7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(dále jen jako „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")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a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Karlovarský kraj</w:t>
      </w:r>
    </w:p>
    <w:p w:rsidR="00393E0E" w:rsidRDefault="00570DD7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ídlo: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  <w:t>Závodní 353/88, 360 06  Karlovy Vary – Dvory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Identifikační číslo: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70891168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DIČ: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CZ70891168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Zastoupený: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Ing. Jaroslav Bradáč, člen Rady Karlovarského kraje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Bankovní spojení: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Komerční banka, a.s.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Číslo účtu: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8543F3">
        <w:rPr>
          <w:rFonts w:ascii="Times New Roman" w:hAnsi="Times New Roman" w:cs="Times New Roman"/>
          <w:sz w:val="22"/>
          <w:szCs w:val="22"/>
          <w:lang w:val="cs-CZ"/>
        </w:rPr>
        <w:t>xxx</w:t>
      </w:r>
      <w:proofErr w:type="spellEnd"/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Bankovní spojení: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Československá obchodní banka, a.s.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Číslo účtu: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8543F3">
        <w:rPr>
          <w:rFonts w:ascii="Times New Roman" w:hAnsi="Times New Roman" w:cs="Times New Roman"/>
          <w:sz w:val="22"/>
          <w:szCs w:val="22"/>
          <w:lang w:val="cs-CZ"/>
        </w:rPr>
        <w:t>xxx</w:t>
      </w:r>
      <w:proofErr w:type="spellEnd"/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Bankovní spojení: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Česká spořitelna, a.s.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Číslo účtu: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8543F3">
        <w:rPr>
          <w:rFonts w:ascii="Times New Roman" w:hAnsi="Times New Roman" w:cs="Times New Roman"/>
          <w:sz w:val="22"/>
          <w:szCs w:val="22"/>
          <w:lang w:val="cs-CZ"/>
        </w:rPr>
        <w:t>xxx</w:t>
      </w:r>
      <w:proofErr w:type="spellEnd"/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Bankovní spojení: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PPF banka a.s.</w:t>
      </w:r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Číslo účtu: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8543F3">
        <w:rPr>
          <w:rFonts w:ascii="Times New Roman" w:hAnsi="Times New Roman" w:cs="Times New Roman"/>
          <w:sz w:val="22"/>
          <w:szCs w:val="22"/>
          <w:lang w:val="cs-CZ"/>
        </w:rPr>
        <w:t>xxx</w:t>
      </w:r>
      <w:proofErr w:type="spellEnd"/>
    </w:p>
    <w:p w:rsidR="00393E0E" w:rsidRDefault="00393E0E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Datová schránka: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siqbxt2</w:t>
      </w:r>
    </w:p>
    <w:p w:rsidR="00570DD7" w:rsidRDefault="00570DD7" w:rsidP="00C50B4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570DD7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„vypůjčitel")</w:t>
      </w:r>
    </w:p>
    <w:p w:rsidR="00C50B4A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(společně dále jen „smluvní strany")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uzavřeli níže uvedeného dne, měsíce a roku v souladu s ustanovením § 2193 a násl. zák. č. 89/2012 Sb., občanského zákoníku, tuto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SMLOUVU O VÝPŮJČCE</w:t>
      </w:r>
    </w:p>
    <w:p w:rsidR="00393E0E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(dále jen „smlouva"):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570D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I.</w:t>
      </w:r>
    </w:p>
    <w:p w:rsidR="00393E0E" w:rsidRP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Předmět smlouvy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prohlašuje, že je výlučným vlastníkem následujících motorových vozidel: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(i) Motorové vozidlo TOYOTA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Model: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Proace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Panel Van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>R. Z.</w:t>
      </w:r>
      <w:r w:rsidR="00570DD7" w:rsidRPr="00570DD7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4K6 3785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VIN: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YARVFAHKKGZ15</w:t>
      </w:r>
      <w:r w:rsidR="00A82D9D">
        <w:rPr>
          <w:rFonts w:ascii="Times New Roman" w:hAnsi="Times New Roman" w:cs="Times New Roman"/>
          <w:sz w:val="22"/>
          <w:szCs w:val="22"/>
          <w:lang w:val="cs-CZ"/>
        </w:rPr>
        <w:t>xxxx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Číslo TP</w:t>
      </w:r>
      <w:r w:rsidR="00570DD7">
        <w:rPr>
          <w:rFonts w:ascii="Times New Roman" w:hAnsi="Times New Roman" w:cs="Times New Roman"/>
          <w:b/>
          <w:sz w:val="22"/>
          <w:szCs w:val="22"/>
          <w:lang w:val="cs-CZ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UK 281210</w:t>
      </w:r>
    </w:p>
    <w:p w:rsid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570DD7" w:rsidRDefault="00570DD7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P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(</w:t>
      </w:r>
      <w:proofErr w:type="spellStart"/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ii</w:t>
      </w:r>
      <w:proofErr w:type="spellEnd"/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) Motorové</w:t>
      </w:r>
      <w:r w:rsidR="00570DD7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vozidlo TOYOTA</w:t>
      </w:r>
    </w:p>
    <w:p w:rsid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Model: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proofErr w:type="spellStart"/>
      <w:r w:rsidR="00570DD7">
        <w:rPr>
          <w:rFonts w:ascii="Times New Roman" w:hAnsi="Times New Roman" w:cs="Times New Roman"/>
          <w:sz w:val="22"/>
          <w:szCs w:val="22"/>
          <w:lang w:val="cs-CZ"/>
        </w:rPr>
        <w:t>Proace</w:t>
      </w:r>
      <w:proofErr w:type="spellEnd"/>
      <w:r w:rsidR="00570DD7">
        <w:rPr>
          <w:rFonts w:ascii="Times New Roman" w:hAnsi="Times New Roman" w:cs="Times New Roman"/>
          <w:sz w:val="22"/>
          <w:szCs w:val="22"/>
          <w:lang w:val="cs-CZ"/>
        </w:rPr>
        <w:t xml:space="preserve"> Panel Van </w:t>
      </w:r>
    </w:p>
    <w:p w:rsid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R. Z.</w:t>
      </w:r>
      <w:r w:rsidR="00570DD7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 w:rsidR="00570DD7">
        <w:rPr>
          <w:rFonts w:ascii="Times New Roman" w:hAnsi="Times New Roman" w:cs="Times New Roman"/>
          <w:sz w:val="22"/>
          <w:szCs w:val="22"/>
          <w:lang w:val="cs-CZ"/>
        </w:rPr>
        <w:t>4K4 4937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VIN:</w:t>
      </w:r>
      <w:r w:rsidR="00570DD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YARVFAHKKGZ15</w:t>
      </w:r>
      <w:r w:rsidR="00A82D9D">
        <w:rPr>
          <w:rFonts w:ascii="Times New Roman" w:hAnsi="Times New Roman" w:cs="Times New Roman"/>
          <w:sz w:val="22"/>
          <w:szCs w:val="22"/>
          <w:lang w:val="cs-CZ"/>
        </w:rPr>
        <w:t>xxxx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Číslo TP</w:t>
      </w:r>
      <w:r w:rsidR="00570DD7" w:rsidRPr="00570DD7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 w:rsidR="00570DD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UK 281209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70DD7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(</w:t>
      </w:r>
      <w:proofErr w:type="spellStart"/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iii</w:t>
      </w:r>
      <w:proofErr w:type="spellEnd"/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)</w:t>
      </w: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ab/>
        <w:t>Motorové vozidlo TOYOTA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Model: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RAV4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R. Z.</w:t>
      </w:r>
      <w:r w:rsidR="00570DD7">
        <w:rPr>
          <w:rFonts w:ascii="Times New Roman" w:hAnsi="Times New Roman" w:cs="Times New Roman"/>
          <w:sz w:val="22"/>
          <w:szCs w:val="22"/>
          <w:lang w:val="cs-CZ"/>
        </w:rPr>
        <w:t>:</w:t>
      </w:r>
      <w:r w:rsidRPr="00570DD7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4K4 5328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VIN: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JTMD43FV30D0</w:t>
      </w:r>
      <w:r w:rsidR="00A82D9D">
        <w:rPr>
          <w:rFonts w:ascii="Times New Roman" w:hAnsi="Times New Roman" w:cs="Times New Roman"/>
          <w:sz w:val="22"/>
          <w:szCs w:val="22"/>
          <w:lang w:val="cs-CZ"/>
        </w:rPr>
        <w:t>xxxx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70DD7">
        <w:rPr>
          <w:rFonts w:ascii="Times New Roman" w:hAnsi="Times New Roman" w:cs="Times New Roman"/>
          <w:b/>
          <w:sz w:val="22"/>
          <w:szCs w:val="22"/>
          <w:lang w:val="cs-CZ"/>
        </w:rPr>
        <w:t>Číslo TP</w:t>
      </w:r>
      <w:r w:rsidR="00570DD7" w:rsidRPr="00570DD7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  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UK 281207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(</w:t>
      </w:r>
      <w:proofErr w:type="spellStart"/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iv</w:t>
      </w:r>
      <w:proofErr w:type="spellEnd"/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)</w:t>
      </w: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ab/>
        <w:t>Motorové vozidlo TOYOTA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Model: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 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 xml:space="preserve">  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RAV4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R. Z.</w:t>
      </w:r>
      <w:r w:rsidR="00224D18" w:rsidRPr="00224D18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4K4 5329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VIN: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JTMD43FV40D50</w:t>
      </w:r>
      <w:r w:rsidR="00A82D9D">
        <w:rPr>
          <w:rFonts w:ascii="Times New Roman" w:hAnsi="Times New Roman" w:cs="Times New Roman"/>
          <w:sz w:val="22"/>
          <w:szCs w:val="22"/>
          <w:lang w:val="cs-CZ"/>
        </w:rPr>
        <w:t>xxxx</w:t>
      </w:r>
      <w:bookmarkStart w:id="0" w:name="_GoBack"/>
      <w:bookmarkEnd w:id="0"/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Číslo TP</w:t>
      </w:r>
      <w:r w:rsidR="00224D18" w:rsidRPr="00224D18">
        <w:rPr>
          <w:rFonts w:ascii="Times New Roman" w:hAnsi="Times New Roman" w:cs="Times New Roman"/>
          <w:b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>UK 281208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(společně dále také jen „vozidla" nebo „předmět výpůjčky"). Podrobná specifikace vozidel je uvedena v příloze Předávací protokol této smlouvy.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Vozidla specifikovaná v odst. 1.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touto smlouvou přenechává vypůjčiteli k dočasnému bezplatnému užívání, a to na dobu a za podmínek v této smlouvě uvedených a vypůjčitel tato vozidla do dočasného bezplatného užívání přijímá.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 na tom, že předmět výpůjčky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přenechává vypůjčiteli pouze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tomuto způsobu užívání: jako přepravní prostředek pro přepravu osob a věcí v souladu s účelovým určením vozidla, a to pouze za účelem jeho užívání při zajišťování a organizaci sportovní akce „Hry IX. zimní olympiády dětí a mládeže 2020" pořádané vypůjčitelem ve spolupráci s Českým olympijským výborem v termínu </w:t>
      </w:r>
      <w:proofErr w:type="gramStart"/>
      <w:r>
        <w:rPr>
          <w:rFonts w:ascii="Times New Roman" w:hAnsi="Times New Roman" w:cs="Times New Roman"/>
          <w:sz w:val="22"/>
          <w:szCs w:val="22"/>
          <w:lang w:val="cs-CZ"/>
        </w:rPr>
        <w:t>19.01.2020</w:t>
      </w:r>
      <w:proofErr w:type="gramEnd"/>
      <w:r>
        <w:rPr>
          <w:rFonts w:ascii="Times New Roman" w:hAnsi="Times New Roman" w:cs="Times New Roman"/>
          <w:sz w:val="22"/>
          <w:szCs w:val="22"/>
          <w:lang w:val="cs-CZ"/>
        </w:rPr>
        <w:t xml:space="preserve"> - 24.01.2020 (dále jen „akce").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dohodly, že vozidla budou polepena reklamním polepem obsahujícím logo akce (Olympiáda dětí a mládeže ODM 2020 Karlovarský kraj 19. - 24. 1. 2020) a logo zn. TOYOTA,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a to v podobě uvedené v příloze Manuál polepů této smlouvy. Vypůjčitel se zavazuje předmětný polep na vozidlech ponechat a udržovat po celou dobu trvání výpůjčky a není oprávněn jej odstranit ani žádným způsobem upravit.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lastRenderedPageBreak/>
        <w:t>II.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Doba trvání výpůjčky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EB402F">
      <w:pPr>
        <w:pStyle w:val="Normal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709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Tato smlouva je uzavřena na dobu určitou, a to na dobu od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>20. 11. 2019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do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>31. 1. 2020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III.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Běžné náklady spojené s provozem vozidel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sám nese náklady spojené s běžným provozem vozidel, se spotřebou pohonných hmot a destilované vody, příp. nemrznoucí kapaliny používané do ostřikovačů skel, s opravami defektů pneumatik, příp. škodami způsobenými na pneumatikách a discích. Vypůjčitel dále nese náklady spojené s pravidelnými servisními prohlídkami vozidla ve značkovém servisu.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IV.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Předání a převzetí vozidla</w:t>
      </w:r>
    </w:p>
    <w:p w:rsidR="00224D18" w:rsidRP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K předání vozidel, včetně příslušných dokladů vztahujících se k vozidlům,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a jeho převzetí vypůjčitelem dojde pod </w:t>
      </w:r>
      <w:r w:rsidR="00224D18">
        <w:rPr>
          <w:rFonts w:ascii="Times New Roman" w:hAnsi="Times New Roman" w:cs="Times New Roman"/>
          <w:sz w:val="22"/>
          <w:szCs w:val="22"/>
          <w:lang w:val="cs-CZ"/>
        </w:rPr>
        <w:t xml:space="preserve">k podpisu smlouvy v místě adresy </w:t>
      </w:r>
      <w:proofErr w:type="spellStart"/>
      <w:r w:rsidR="00224D18">
        <w:rPr>
          <w:rFonts w:ascii="Times New Roman" w:hAnsi="Times New Roman" w:cs="Times New Roman"/>
          <w:sz w:val="22"/>
          <w:szCs w:val="22"/>
          <w:lang w:val="cs-CZ"/>
        </w:rPr>
        <w:t>p</w:t>
      </w:r>
      <w:r>
        <w:rPr>
          <w:rFonts w:ascii="Times New Roman" w:hAnsi="Times New Roman" w:cs="Times New Roman"/>
          <w:sz w:val="22"/>
          <w:szCs w:val="22"/>
          <w:lang w:val="cs-CZ"/>
        </w:rPr>
        <w:t>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O předání a převzetí vozidla sepíší smluvní strany předávací protokol, ve kterém bude uveden stav vozidel včetně informace o počtu ujetých kilometrů a specifikováno jejich vybavení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příslušenství. Protokol bude též obsahovat údaje o předaných dokladech vztahujících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se k vozidlům. Tento protokol podepsaný předávající i přejímající stranou bude tvořit Přílohu této smlouvy a jako takový bude její nedílnou součástí, přičemž každá ze smluvních stran obdrží jedno vyhotovení předávacího protokolu.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skončení výpůjčky je vypůjčitel povinen vrátit vozidlo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 stavu, v jakém je převzal, a to na místo, které určí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O vrácení vozidla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předávající a přejímající stranou sepsán protokol, na jehož obsah a náležitosti se použije přiměřeně odst. 2. tohoto článku.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Práva a povinnosti vypůjčitele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5C4B2A" w:rsidRPr="00224D18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oprávněn předmět výpůjčky užívat pouze k účelu sjednanému v čl. I. odst. 3. této smlouvy.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se dohodly, že vozidla mohou být užívána představiteli a zaměstnanci vypůjčitele a spolupracující agenturou Müller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Production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, s.r.o., kteří se podílejí na zajišťování a organizaci akce. Vypůjčitel není oprávněn přenechat předmět výpůjčky do užívání jiné právnické či fyzické osobě než v tomto článku uvedené bez souhlasu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. Vypůjčitel se zavazuje zajistit, že osoby, kterým přenechal vozidla do užívání, budou plnit závazky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a povinnosti stanovené pro vypůjčitele touto smlouvou ve stejném rozsahu. V případě užívání vozidel jakoukoli třetí osobou dle tohoto článku, odpovídá vypůjčitel za případné škody, jako by vozidla užíval sám.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užívat předmět výpůjčky řádně a udržovat jej ve stavu, v jakém vozidla převzal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, s přihlédnutím k obvyklému opotřebení.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pečovat o to, aby na předmětu výpůjčky nevznikla škoda. Vypůjčitel odpovídá za poškození vozidel nad míru obvyklého opotřebení, přičemž pro účely této smlouvy se obvyklým opotřebením rozumí taková změna stavu vozidla a jeho příslušenství, která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obvyklá při běžném užívání vozidla na pozemních komunikacích určených k jízdě,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to při dodržení platných právních předpisů vztahujících se k provozu motorových vozidel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na pozemních komunikacích. Vypůjčitel dále odpovídá za škodu způsobenou vozidlem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z důvodů na jeho straně, příp. osoby, které vozidlo svěřil.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Dojde-li k jakékoli dopravní nehodě nebo zranění osob při provozu vozidel, či jiné škodné události s vozidly související (např. krádeži vozidla), je vypůjčitel povinen bezprostředně poté, kdy ji zjistí, oznámit tuto skutečnost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Případné nároky druhého účastníka nehody není vypůjčitel oprávněn uznat. Vypůjčitel je povinen postupovat tak, aby škoda byla minimalizována a aby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měl možnost uplatnit své nároky u pojistitele, třetí osoby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nebo příslušného správního či jiného státního orgánu. Vypůjčitel je povinen dbát práv vlastníka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vozidlu a chránit je proti případným zásahům třetích osob. Pokud by k takovým zásahům došlo (např. obstavení, zabavení vozidla), neprodleně je ohlásí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 škodní události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vypůjčitel povinen uhradit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škodu, která nebude uhrazena příslušnou pojišťovnou </w:t>
      </w:r>
      <w:r w:rsidR="005C4B2A">
        <w:rPr>
          <w:rFonts w:ascii="Times New Roman" w:hAnsi="Times New Roman" w:cs="Times New Roman"/>
          <w:sz w:val="22"/>
          <w:szCs w:val="22"/>
          <w:lang w:val="cs-CZ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(tj. zejména spoluúčast).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na základě písemné výzvy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umožnit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kontrolu stavu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způsobu užívání vozidel. Tuto výzvu 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povinen doručit vypůjčiteli nejméně pět (5) dní předem. Bude-li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vyzván příslušnými orgány ke kontrole vozidla nebo jeho technické prohlídce, je vypůjčitel povinen tuto kontrolu nebo prohlídku umožnit, k čemuž poskytne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přiměřenou součinnost.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Potřebu oprav přesahujících rámec běžné údržby je vypůjčitel povinen neprodleně oznámit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Náklady na opravy vad v rámci záruky je povinen nést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Vypůjčitel je povinen dodržovat termíny záručních prohlídek a záruční podmínky, se kterými byl vypůjčitel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seznámen. Vypůjčitel je povinen předem nahlásit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potřebu záruční prohlídky a příslušné vozidlo pak dle instrukcí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k záruční prohlídce na své náklady přistavit. Odstranění veškerých vad, které vzniknou na vozidlech během výpůjčky, a záruční servis (prohlídky),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povinen zajistit u autorizovaného servisu TOYOTA. Vypůjčitel nese po dobu výpůjčky náklady na odstranění vad a škod na vozidlech v rámci běžné údržby vyjma nákladů na odstranění vad v rámci záruky a nákladů spojených se záručním servisem (prohlídkami).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zajistit, že ve vozidlech se nebude kouřit. V případě porušení tohoto závazku zaplatí vypůjčitel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smluvní pokutu ve výši 20.000 Kč. Sjednáním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ani zaplacením smluvní pokuty není dotčen nárok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 plnou náhradu újmy vedle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a nad rámec smluvní pokuty.</w:t>
      </w:r>
    </w:p>
    <w:p w:rsidR="00224D18" w:rsidRDefault="00224D18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Vozidla je vypůjčitel povinen užívat a udržovat v souladu s návodem k obsluze vozidla,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který mu byl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předán současně s vozidlem a se kterým byl seznámen. Vypůjčitel nesmí vozidla a) užívat k účasti na akcích typu závodů, soutěží apod., b) užívat k přepravě snadno vznětlivých, radioaktivních, jedovatých a jiných nebezpečných látek, c) přenechat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k užívání jiné osobě s výjimkou uvedenou v čl. V. odst. 2. této smlouvy, d) užívat mimo území ČR bez předchozího souhlasu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>, jehož udělení nebude bezdůvodně odepřeno.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V případě jakýchkoliv problémů s vozidlem technického rázu podá vypůjčitel bezodkladně zprávu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a postupuje dále dle jeho pokynů.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povinen udržovat vozidla na své náklady v řádném stavu a čistá.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 povinen zajistit při řízení vozidla dodržování veškerých povinností řidiče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pravidel provozu na pozemních komunikacích stanovené zákonem č. 361/2000 Sb. o silničním provozu (dále jen Zákon). Vypůjčitel je povinen v případě spáchání přestupku s vozidlem sdělit Policii ČR, nebo jinému orgánu vyšetřujícímu přestupek, skutečnosti potřebné k určení totožnosti řidiče, který v době spáchání přestupku (nebo jiného porušení zákona) řídil, resp. měl vozidlo k dispozici, a dále je vypůjčitel povinen zajistit, aby se tento řidič dostavil k projednání přestupku dle předvolání. Kopii předvolání vypůjčitel zašle předem doporučenou poštou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nucen uhradit sankci za porušení dopravních předpisů, vypůjčitel se zavazuje takovou sankci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nahradit. Vypůjčitel souhlasí s tím, aby v případě spáchání dopravního přestupku s vozidlem v době, kdy má vozidlo k dispozici,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uhradil příslušnému správnímu orgánu na jeho výzvu určenou částku, ve smyslu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§ 125h Zákona,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a to až do výše 5.000 Kč a zavazuje se takto určenou částku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zaplatit na jeho první výzvu.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je povinen řádně zabezpečit vozidla proti krádeži, zneužití a jakémukoliv poškození nebo zničení.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škodách krytých ze sjednaného pojištění je vypůjčitel povinen postupovat podle pokynů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V případě, že není vzniklá škoda pojišťovnou uhrazena v plné výši, tj. pojistné plnění je nižší než výše doložené škody, příp. pojišťovna odmítne plnit z nějakého důvodu (např. škoda způsobená pod vlivem alkoholu nebo jiných omamných látek), je vypůjčitel povinen uhradit nevyplacenou škodu pojišťovnou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 lhůtě 30 dnů od vydání stanoviska pojišťovny </w:t>
      </w:r>
      <w:r w:rsidR="00AA25FE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>v jakém rozsahu bude, resp. nebude plnit.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 případě,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bude nucen uhradit j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akékoli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třetí osobě škodu nebo j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inou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újmu, která vznikla v souvislosti s provozem jakéhokoli vozidla a tato škoda či jiná újma nebude uhrazena z pojištění vozidla, vypůjčitel se zavazuje tuto škodu či jinou újmu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nahradit.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prohlašuje, že je srozuměn s tím, že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nenese odpovědnost za žádné škody či jiné újmy na životě a zdraví vypůjčitele a třetích osob v důsledku jednání vypůjčitele. Vypůjčitel prohlašuje, že byl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půjčitelem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podrobně seznámen a poučen o užívání a ovládání vozidel (návodem k obsluze), pravidlech silničního provozu a užívání vozidel na pozemních komunikacích, plně jim porozuměl a zavazuje se veškerá pravidla a návod k obsluze vozidla respektovat a dodržovat.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vrátit vozidla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dle pokynu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nejpozději poslední den výpůjčky. V případě prodlení vypůjčitele s vrácením vozidla, je vypůjčitel povinen uhradit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vedle úplné škody smluvní pokutu ve výši 2.000 Kč za každý započatý den prodlení s vrácením vozidla. Sjednáním ani zaplacením smluvní pokuty není dotčen nárok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na plnou náhradu újmy vedle a nad rámec smluvní pokuty.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A25FE" w:rsidRDefault="00AA25F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A25FE" w:rsidRDefault="00AA25F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se zavazuje vrátit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vozidla umytá a uklizená, a to ve stavu, v jakém vozidla převzal s přihlédnutím k obvyklému opotřebení způsobenému obvyklým užíváním vozidla; pokud vypůjčitel tuto povinnost poruší, je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oprávněn zajistit nezbytné opravy, umytí a vyčištění vozidla a vypůjčitel se zavazuje uhradit náklady s tímto spojené.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Při vrácení vozidel i v případě odcizení je vypůjčitel povinen vrátit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půjčiteli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veškeré doklady a příslušenství, které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převzal, a to zejména klíče od vozidel, OTP, doklady o pojištění + zelené karty, návody k obsluze vozidla a další doklady a věci, které od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převzal.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Maximální povolený počet najetých kilometrů na každém vozidle je ve výši 15000. Každý další najetý kilometr nad tuto povolenou hranici bude účtován Vypůjčiteli za částku 5,- Kč bez DPH.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VI.</w:t>
      </w: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 xml:space="preserve">Práva a povinnosti </w:t>
      </w:r>
      <w:proofErr w:type="spellStart"/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půjčitele</w:t>
      </w:r>
      <w:proofErr w:type="spellEnd"/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se zavazuje, že předá vypůjčiteli vozidla specifikovaná v čl. I odst. 1. této smlouvy včetně příslušenství a všech příslušných dokladů v době určené v čl. IV. odst. 1. této smlouvy.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Půjčitel se zavazuje zajistit předání předmětu výpůjčky v takovém technickém stavu, aby byl způsobilý k provozu a k užívání, k němuž je určen.</w:t>
      </w: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393E0E" w:rsidRPr="005C4B2A" w:rsidRDefault="00393E0E" w:rsidP="005C4B2A">
      <w:pPr>
        <w:pStyle w:val="Normal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C4B2A">
        <w:rPr>
          <w:rFonts w:ascii="Times New Roman" w:hAnsi="Times New Roman" w:cs="Times New Roman"/>
          <w:sz w:val="22"/>
          <w:szCs w:val="22"/>
          <w:lang w:val="cs-CZ"/>
        </w:rPr>
        <w:t>Půjčitel je povinen zajistit na svůj náklad odpovídající pojištění předmětu výpůjčky, tj. pojištění odpovědnosti za škodu způsobenou provozem vozidla, jakož i pojištění pro případ havárie, živelní pohromy a odcizení.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224D18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VII.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224D18">
        <w:rPr>
          <w:rFonts w:ascii="Times New Roman" w:hAnsi="Times New Roman" w:cs="Times New Roman"/>
          <w:b/>
          <w:sz w:val="22"/>
          <w:szCs w:val="22"/>
          <w:lang w:val="cs-CZ"/>
        </w:rPr>
        <w:t>Skončení výpůjčky</w:t>
      </w:r>
    </w:p>
    <w:p w:rsidR="00224D18" w:rsidRDefault="00224D18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5C4B2A" w:rsidRPr="00224D18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Výpůjčka zaniká uplynutím doby výpůjčky uvedené v čl. II odst. 1.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Smlouva dále může být ukončena dohodou smluvních stran, zánikem předmětu výpůjčky či výpovědí smlouvy za podmínek stanovených níže.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sz w:val="22"/>
          <w:szCs w:val="22"/>
          <w:lang w:val="cs-CZ"/>
        </w:rPr>
        <w:t>Půjčitel může tuto smlouvu písemně vypovědět bez výpovědní doby s účinky doručení výpovědi vypůjčiteli, poruší-li vypůjčitel hrubě své zákonné či smluvní povinnosti.</w:t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Pr="00C50B4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1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709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Za hrubé porušení smluvních povinností ze strany vypůjčitele se pro účely této smlouvy považují zejména případy, kdy: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393E0E" w:rsidP="005C4B2A">
      <w:pPr>
        <w:pStyle w:val="Normal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vypůjčitel jedná přes opakované písemné upozornění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tak, že na předmětu výpůjčky vzniká škoda nebo vznik škody hrozí,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5C4B2A" w:rsidRDefault="00393E0E" w:rsidP="005C4B2A">
      <w:pPr>
        <w:pStyle w:val="Normal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C4B2A">
        <w:rPr>
          <w:rFonts w:ascii="Times New Roman" w:hAnsi="Times New Roman" w:cs="Times New Roman"/>
          <w:sz w:val="22"/>
          <w:szCs w:val="22"/>
          <w:lang w:val="cs-CZ"/>
        </w:rPr>
        <w:t>užívá vozidla v rozporu s účelem výpůjčky.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Potřebuje-li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půjčitel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 jakékoli z vozidel nevyhnutelně dříve z důvodu, který nemohl při uzavření</w:t>
      </w:r>
    </w:p>
    <w:p w:rsidR="00393E0E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smlouvy předvídat, může se domáhat jeho předčasného vrácení.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Pr="00C50B4A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b/>
          <w:sz w:val="22"/>
          <w:szCs w:val="22"/>
          <w:lang w:val="cs-CZ"/>
        </w:rPr>
        <w:t>VIII.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50B4A">
        <w:rPr>
          <w:rFonts w:ascii="Times New Roman" w:hAnsi="Times New Roman" w:cs="Times New Roman"/>
          <w:b/>
          <w:sz w:val="22"/>
          <w:szCs w:val="22"/>
          <w:lang w:val="cs-CZ"/>
        </w:rPr>
        <w:t>Závěrečná ustanovení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5C4B2A" w:rsidRPr="00C50B4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Tato smlouva nabývá platnosti dnem podpisu oběma smluvními stranami a účinnosti dne 20. 11. 2019.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Ukáže-li se některé ustanovení této smlouvy neplatné nebo nevykonatelné, neovlivňuje tato skutečnost platnost smlouvy jako celku. Smluvní strany se v takovém případě zavazují nahradit takovéto ustanovení ustanovením platným a vykonatelným, které bude nejlépe odpovídat účelu původního ustanovení. K tomu se smluvní strany zavazují vyvíjet potřebnou součinnost.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Vztahy touto smlouvou neupravené se řídí právním řádem České republiky, především ustanoveními zákona č. 89/2012 Sb., občanský zákoník, ve znění pozdějších předpisů.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Změny a dodatky této smlouvy mohou být provedeny pouze písemně a se souhlasem obou smluvních stran.</w:t>
      </w:r>
    </w:p>
    <w:p w:rsidR="00C50B4A" w:rsidRDefault="00C50B4A" w:rsidP="005C4B2A">
      <w:pPr>
        <w:pStyle w:val="Odstavecseseznamem"/>
        <w:rPr>
          <w:sz w:val="22"/>
          <w:szCs w:val="22"/>
        </w:rPr>
      </w:pPr>
    </w:p>
    <w:p w:rsidR="005C4B2A" w:rsidRDefault="005C4B2A" w:rsidP="005C4B2A">
      <w:pPr>
        <w:pStyle w:val="Odstavecseseznamem"/>
        <w:rPr>
          <w:sz w:val="22"/>
          <w:szCs w:val="22"/>
        </w:rPr>
      </w:pPr>
    </w:p>
    <w:p w:rsidR="00C50B4A" w:rsidRPr="005C4B2A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5C4B2A">
        <w:rPr>
          <w:rFonts w:ascii="Times New Roman" w:hAnsi="Times New Roman" w:cs="Times New Roman"/>
          <w:sz w:val="22"/>
          <w:szCs w:val="22"/>
          <w:lang w:val="cs-CZ"/>
        </w:rPr>
        <w:t>Smluvní strany se dohodly, že uveřejnění smlouvy a případných dodatků ke smlouvě v registru smluv provede vypůjčitel, kontakt na doručení oznámení o vkladu smluvní protistraně: datová schránka:</w:t>
      </w:r>
      <w:r w:rsidR="00C50B4A" w:rsidRPr="005C4B2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5C4B2A" w:rsidRPr="005C4B2A">
        <w:rPr>
          <w:rFonts w:ascii="Times New Roman" w:hAnsi="Times New Roman" w:cs="Times New Roman"/>
          <w:sz w:val="22"/>
          <w:szCs w:val="22"/>
          <w:lang w:val="cs-CZ"/>
        </w:rPr>
        <w:t>z8epb42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Nedílnou součástí smlouvy jsou přílohy - Předávací protokol a Manuál polepů.</w:t>
      </w:r>
    </w:p>
    <w:p w:rsidR="00393E0E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Tato smlouva je sepsána ve dvou (2) vyhotoveních, přičemž každá ze smluvních stran obdrží po jednom vyhotovení.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Vypůjčitel na sebe bere nebezpečí změny okolností.</w:t>
      </w: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Smluvní strany vylučují na tuto Smlouvu aplikaci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ust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§ 1798 - 1800 </w:t>
      </w:r>
      <w:proofErr w:type="spellStart"/>
      <w:r>
        <w:rPr>
          <w:rFonts w:ascii="Times New Roman" w:hAnsi="Times New Roman" w:cs="Times New Roman"/>
          <w:sz w:val="22"/>
          <w:szCs w:val="22"/>
          <w:lang w:val="cs-CZ"/>
        </w:rPr>
        <w:t>obč</w:t>
      </w:r>
      <w:proofErr w:type="spellEnd"/>
      <w:r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  <w:lang w:val="cs-CZ"/>
        </w:rPr>
        <w:t>zák.</w:t>
      </w:r>
      <w:proofErr w:type="gramEnd"/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5C4B2A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>Smluvní strany prohlašují, že si tuto smlouvu před jejím podpisem přečetly, plně ji porozuměly, že byla uzavřena podle jejich pravé a svobodné vůle, určitě, vážně a srozumitelně a na důkaz toho připojují níže své podpisy.</w:t>
      </w: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C95118">
      <w:pPr>
        <w:pStyle w:val="Normal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Smlouva byla schválena usnesením Rady Karlovarského kraje č. </w:t>
      </w:r>
      <w:r w:rsidR="00C95118" w:rsidRPr="00C95118">
        <w:rPr>
          <w:rFonts w:ascii="Times New Roman" w:hAnsi="Times New Roman" w:cs="Times New Roman"/>
          <w:sz w:val="22"/>
          <w:szCs w:val="22"/>
          <w:lang w:val="cs-CZ"/>
        </w:rPr>
        <w:t>RK 1407/11/19</w:t>
      </w:r>
      <w:r w:rsidR="00C95118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ze dne </w:t>
      </w:r>
      <w:proofErr w:type="gramStart"/>
      <w:r w:rsidR="00C95118">
        <w:rPr>
          <w:rFonts w:ascii="Times New Roman" w:hAnsi="Times New Roman" w:cs="Times New Roman"/>
          <w:sz w:val="22"/>
          <w:szCs w:val="22"/>
          <w:lang w:val="cs-CZ"/>
        </w:rPr>
        <w:t>20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C95118">
        <w:rPr>
          <w:rFonts w:ascii="Times New Roman" w:hAnsi="Times New Roman" w:cs="Times New Roman"/>
          <w:sz w:val="22"/>
          <w:szCs w:val="22"/>
          <w:lang w:val="cs-CZ"/>
        </w:rPr>
        <w:t>11</w:t>
      </w:r>
      <w:r>
        <w:rPr>
          <w:rFonts w:ascii="Times New Roman" w:hAnsi="Times New Roman" w:cs="Times New Roman"/>
          <w:sz w:val="22"/>
          <w:szCs w:val="22"/>
          <w:lang w:val="cs-CZ"/>
        </w:rPr>
        <w:t>. 2019</w:t>
      </w:r>
      <w:proofErr w:type="gramEnd"/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393E0E" w:rsidRDefault="00393E0E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50B4A" w:rsidRDefault="00C50B4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5C4B2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C50B4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Karlovy Vary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dne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…………………..…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 xml:space="preserve">Karlovy Vary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dne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……………………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AE4306" w:rsidRDefault="00AE4306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C95118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…………………………………………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………………………………………..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Půjčitel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Vypůjčitel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        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Auto Eder s.r.o.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   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Karlovarský kraj</w:t>
      </w:r>
    </w:p>
    <w:p w:rsidR="00E02B1D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Jan Eder </w:t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 xml:space="preserve">     </w:t>
      </w:r>
      <w:r w:rsidRPr="00E02B1D">
        <w:rPr>
          <w:rFonts w:ascii="Times New Roman" w:hAnsi="Times New Roman" w:cs="Times New Roman"/>
          <w:sz w:val="22"/>
          <w:szCs w:val="22"/>
          <w:lang w:val="cs-CZ"/>
        </w:rPr>
        <w:t>Ing.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J</w:t>
      </w:r>
      <w:r w:rsidRPr="00E02B1D">
        <w:rPr>
          <w:rFonts w:ascii="Times New Roman" w:hAnsi="Times New Roman" w:cs="Times New Roman"/>
          <w:sz w:val="22"/>
          <w:szCs w:val="22"/>
          <w:lang w:val="cs-CZ"/>
        </w:rPr>
        <w:t>aroslav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Bradáč</w:t>
      </w:r>
    </w:p>
    <w:p w:rsidR="00393E0E" w:rsidRDefault="00E02B1D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               J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>ednatel</w:t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93E0E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 w:rsidR="00C50B4A">
        <w:rPr>
          <w:rFonts w:ascii="Times New Roman" w:hAnsi="Times New Roman" w:cs="Times New Roman"/>
          <w:sz w:val="22"/>
          <w:szCs w:val="22"/>
          <w:lang w:val="cs-CZ"/>
        </w:rPr>
        <w:tab/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         člen Rady Karlovarského kraje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5C4B2A" w:rsidRDefault="005C4B2A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Přílohy:</w:t>
      </w:r>
    </w:p>
    <w:p w:rsidR="00393E0E" w:rsidRDefault="00393E0E" w:rsidP="00393E0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1. Předávací protokol</w:t>
      </w:r>
    </w:p>
    <w:p w:rsidR="0047516E" w:rsidRDefault="00393E0E" w:rsidP="00393E0E">
      <w:pPr>
        <w:rPr>
          <w:sz w:val="22"/>
          <w:szCs w:val="22"/>
        </w:rPr>
      </w:pPr>
      <w:r>
        <w:rPr>
          <w:sz w:val="22"/>
          <w:szCs w:val="22"/>
        </w:rPr>
        <w:t>2. Manuál polepů</w:t>
      </w: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D2BF0" w:rsidRDefault="005D2BF0" w:rsidP="00393E0E">
      <w:pPr>
        <w:rPr>
          <w:sz w:val="22"/>
          <w:szCs w:val="22"/>
        </w:rPr>
      </w:pPr>
    </w:p>
    <w:p w:rsidR="005C4B2A" w:rsidRDefault="005C4B2A" w:rsidP="00393E0E">
      <w:pPr>
        <w:rPr>
          <w:sz w:val="22"/>
          <w:szCs w:val="22"/>
        </w:rPr>
      </w:pPr>
    </w:p>
    <w:sectPr w:rsidR="005C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B2"/>
    <w:multiLevelType w:val="hybridMultilevel"/>
    <w:tmpl w:val="9A0094B0"/>
    <w:lvl w:ilvl="0" w:tplc="AC62B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E3E56"/>
    <w:multiLevelType w:val="hybridMultilevel"/>
    <w:tmpl w:val="4D02D0F2"/>
    <w:lvl w:ilvl="0" w:tplc="A4643E2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B58"/>
    <w:multiLevelType w:val="hybridMultilevel"/>
    <w:tmpl w:val="94786A1E"/>
    <w:lvl w:ilvl="0" w:tplc="ED965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46834"/>
    <w:multiLevelType w:val="multilevel"/>
    <w:tmpl w:val="DD7C605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B35FA5"/>
    <w:multiLevelType w:val="multilevel"/>
    <w:tmpl w:val="CD3C1AAA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8619E"/>
    <w:multiLevelType w:val="hybridMultilevel"/>
    <w:tmpl w:val="BBE61C4E"/>
    <w:lvl w:ilvl="0" w:tplc="593CC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C260B"/>
    <w:multiLevelType w:val="hybridMultilevel"/>
    <w:tmpl w:val="5BE27DC0"/>
    <w:lvl w:ilvl="0" w:tplc="59965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2CDC"/>
    <w:multiLevelType w:val="hybridMultilevel"/>
    <w:tmpl w:val="7924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4AD5"/>
    <w:multiLevelType w:val="hybridMultilevel"/>
    <w:tmpl w:val="6F625AAE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14F42"/>
    <w:multiLevelType w:val="hybridMultilevel"/>
    <w:tmpl w:val="D99CEC22"/>
    <w:lvl w:ilvl="0" w:tplc="A4C6EED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631F"/>
    <w:multiLevelType w:val="hybridMultilevel"/>
    <w:tmpl w:val="F586A90C"/>
    <w:lvl w:ilvl="0" w:tplc="A4643E2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B7138A"/>
    <w:multiLevelType w:val="hybridMultilevel"/>
    <w:tmpl w:val="AF8862EC"/>
    <w:lvl w:ilvl="0" w:tplc="A4C6EED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17D47"/>
    <w:multiLevelType w:val="hybridMultilevel"/>
    <w:tmpl w:val="C2CA68C4"/>
    <w:lvl w:ilvl="0" w:tplc="0405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FFB4450"/>
    <w:multiLevelType w:val="hybridMultilevel"/>
    <w:tmpl w:val="A24C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730"/>
    <w:multiLevelType w:val="hybridMultilevel"/>
    <w:tmpl w:val="49D4CDA2"/>
    <w:lvl w:ilvl="0" w:tplc="59965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601A76"/>
    <w:multiLevelType w:val="hybridMultilevel"/>
    <w:tmpl w:val="0C80FB5E"/>
    <w:lvl w:ilvl="0" w:tplc="AC62B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728"/>
    <w:multiLevelType w:val="hybridMultilevel"/>
    <w:tmpl w:val="7FF091AC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7283A"/>
    <w:multiLevelType w:val="hybridMultilevel"/>
    <w:tmpl w:val="C8D8AD3C"/>
    <w:lvl w:ilvl="0" w:tplc="AC62B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6D43"/>
    <w:multiLevelType w:val="multilevel"/>
    <w:tmpl w:val="0EBEE4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694207"/>
    <w:multiLevelType w:val="hybridMultilevel"/>
    <w:tmpl w:val="70A4B11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CF2190D"/>
    <w:multiLevelType w:val="hybridMultilevel"/>
    <w:tmpl w:val="7FF091AC"/>
    <w:lvl w:ilvl="0" w:tplc="2E42F58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16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0E"/>
    <w:rsid w:val="00224D18"/>
    <w:rsid w:val="00393E0E"/>
    <w:rsid w:val="0047516E"/>
    <w:rsid w:val="00570DD7"/>
    <w:rsid w:val="005C4B2A"/>
    <w:rsid w:val="005D2BF0"/>
    <w:rsid w:val="00741997"/>
    <w:rsid w:val="008543F3"/>
    <w:rsid w:val="00A82D9D"/>
    <w:rsid w:val="00AA25FE"/>
    <w:rsid w:val="00AE4306"/>
    <w:rsid w:val="00C50B4A"/>
    <w:rsid w:val="00C95118"/>
    <w:rsid w:val="00E02B1D"/>
    <w:rsid w:val="00E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C8C"/>
  <w15:chartTrackingRefBased/>
  <w15:docId w15:val="{AED35015-D864-47B2-B918-A89B506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393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D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75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30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Stráská Lydie</dc:creator>
  <cp:keywords/>
  <dc:description/>
  <cp:lastModifiedBy>Dušková Martina</cp:lastModifiedBy>
  <cp:revision>2</cp:revision>
  <cp:lastPrinted>2019-11-21T10:39:00Z</cp:lastPrinted>
  <dcterms:created xsi:type="dcterms:W3CDTF">2019-11-26T08:34:00Z</dcterms:created>
  <dcterms:modified xsi:type="dcterms:W3CDTF">2019-11-26T08:34:00Z</dcterms:modified>
</cp:coreProperties>
</file>