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EE0" w:rsidRDefault="00851C89">
      <w:pPr>
        <w:pStyle w:val="Bodytext20"/>
        <w:framePr w:wrap="none" w:vAnchor="page" w:hAnchor="page" w:x="1359" w:y="1320"/>
        <w:shd w:val="clear" w:color="auto" w:fill="auto"/>
        <w:spacing w:after="0"/>
        <w:ind w:firstLine="0"/>
      </w:pPr>
      <w:r>
        <w:t>Níže uvedeného dne, měsíce a roku</w:t>
      </w:r>
    </w:p>
    <w:p w:rsidR="00607EE0" w:rsidRDefault="00851C89">
      <w:pPr>
        <w:pStyle w:val="Heading10"/>
        <w:framePr w:w="9134" w:h="1319" w:hRule="exact" w:wrap="none" w:vAnchor="page" w:hAnchor="page" w:x="1359" w:y="1810"/>
        <w:shd w:val="clear" w:color="auto" w:fill="auto"/>
        <w:spacing w:before="0"/>
      </w:pPr>
      <w:bookmarkStart w:id="0" w:name="bookmark0"/>
      <w:r>
        <w:t>TOPTRANS EU a.s.</w:t>
      </w:r>
      <w:bookmarkEnd w:id="0"/>
    </w:p>
    <w:p w:rsidR="00607EE0" w:rsidRDefault="00851C89">
      <w:pPr>
        <w:pStyle w:val="Bodytext20"/>
        <w:framePr w:w="9134" w:h="1319" w:hRule="exact" w:wrap="none" w:vAnchor="page" w:hAnchor="page" w:x="1359" w:y="1810"/>
        <w:shd w:val="clear" w:color="auto" w:fill="auto"/>
        <w:spacing w:after="305" w:line="250" w:lineRule="exact"/>
        <w:ind w:right="3100" w:firstLine="0"/>
      </w:pPr>
      <w:r>
        <w:t>Na Priehon</w:t>
      </w:r>
      <w:r w:rsidR="00CC4F61">
        <w:t>u</w:t>
      </w:r>
      <w:r>
        <w:t xml:space="preserve"> 50, 949 01 Nitra, Slovenská republika </w:t>
      </w:r>
      <w:r w:rsidR="00CC4F61">
        <w:t xml:space="preserve">                                            </w:t>
      </w:r>
      <w:r>
        <w:t>IČO: 36703923</w:t>
      </w:r>
    </w:p>
    <w:p w:rsidR="00607EE0" w:rsidRDefault="00851C89">
      <w:pPr>
        <w:pStyle w:val="Bodytext20"/>
        <w:framePr w:w="9134" w:h="1319" w:hRule="exact" w:wrap="none" w:vAnchor="page" w:hAnchor="page" w:x="1359" w:y="1810"/>
        <w:shd w:val="clear" w:color="auto" w:fill="auto"/>
        <w:spacing w:after="0"/>
        <w:ind w:firstLine="0"/>
      </w:pPr>
      <w:r>
        <w:t>podnikající v České republice prostřednictvím</w:t>
      </w:r>
    </w:p>
    <w:p w:rsidR="00607EE0" w:rsidRDefault="00851C89">
      <w:pPr>
        <w:pStyle w:val="Heading10"/>
        <w:framePr w:w="9134" w:h="2947" w:hRule="exact" w:wrap="none" w:vAnchor="page" w:hAnchor="page" w:x="1359" w:y="3575"/>
        <w:shd w:val="clear" w:color="auto" w:fill="auto"/>
        <w:spacing w:before="0" w:line="288" w:lineRule="exact"/>
      </w:pPr>
      <w:bookmarkStart w:id="1" w:name="bookmark1"/>
      <w:r>
        <w:t>TOPTRANS EU a.s, organizační složka</w:t>
      </w:r>
      <w:bookmarkEnd w:id="1"/>
    </w:p>
    <w:p w:rsidR="00607EE0" w:rsidRDefault="00851C89">
      <w:pPr>
        <w:pStyle w:val="Bodytext20"/>
        <w:framePr w:w="9134" w:h="2947" w:hRule="exact" w:wrap="none" w:vAnchor="page" w:hAnchor="page" w:x="1359" w:y="3575"/>
        <w:shd w:val="clear" w:color="auto" w:fill="auto"/>
        <w:spacing w:after="0" w:line="288" w:lineRule="exact"/>
        <w:ind w:right="3100" w:firstLine="0"/>
      </w:pPr>
      <w:r>
        <w:t xml:space="preserve">Opravářská 944/2, 102 00 Praha 10 - Hostivař </w:t>
      </w:r>
      <w:r w:rsidR="00CC4F61">
        <w:t xml:space="preserve">                                              </w:t>
      </w:r>
      <w:r>
        <w:t xml:space="preserve">IČO: 28202376 </w:t>
      </w:r>
      <w:r w:rsidR="00CC4F61">
        <w:t xml:space="preserve">                                                                                           </w:t>
      </w:r>
      <w:r>
        <w:t>DIČ: CZ28202376</w:t>
      </w:r>
    </w:p>
    <w:p w:rsidR="00607EE0" w:rsidRDefault="00851C89">
      <w:pPr>
        <w:pStyle w:val="Bodytext20"/>
        <w:framePr w:w="9134" w:h="2947" w:hRule="exact" w:wrap="none" w:vAnchor="page" w:hAnchor="page" w:x="1359" w:y="3575"/>
        <w:shd w:val="clear" w:color="auto" w:fill="auto"/>
        <w:spacing w:after="335" w:line="288" w:lineRule="exact"/>
        <w:ind w:right="3100" w:firstLine="0"/>
      </w:pPr>
      <w:r>
        <w:t xml:space="preserve">bankovní spojení: ČSOB, a.s., číslo účtu: 123948176/0300 </w:t>
      </w:r>
      <w:r w:rsidR="00CC4F61">
        <w:t xml:space="preserve">                                           </w:t>
      </w:r>
      <w:r>
        <w:t xml:space="preserve">Zápis v </w:t>
      </w:r>
      <w:r>
        <w:rPr>
          <w:lang w:val="en-US" w:eastAsia="en-US" w:bidi="en-US"/>
        </w:rPr>
        <w:t xml:space="preserve">OR: </w:t>
      </w:r>
      <w:r>
        <w:t xml:space="preserve">MS v Praze, </w:t>
      </w:r>
      <w:r>
        <w:rPr>
          <w:lang w:val="en-US" w:eastAsia="en-US" w:bidi="en-US"/>
        </w:rPr>
        <w:t xml:space="preserve">odd. </w:t>
      </w:r>
      <w:r>
        <w:t>A, vložka 59349</w:t>
      </w:r>
    </w:p>
    <w:p w:rsidR="00607EE0" w:rsidRDefault="00851C89">
      <w:pPr>
        <w:pStyle w:val="Bodytext20"/>
        <w:framePr w:w="9134" w:h="2947" w:hRule="exact" w:wrap="none" w:vAnchor="page" w:hAnchor="page" w:x="1359" w:y="3575"/>
        <w:shd w:val="clear" w:color="auto" w:fill="auto"/>
        <w:ind w:firstLine="0"/>
      </w:pPr>
      <w:r>
        <w:t>zastoupená: paní Danielou Koryntovou, vedoucí odštěpného závodu</w:t>
      </w:r>
    </w:p>
    <w:p w:rsidR="00607EE0" w:rsidRDefault="00851C89">
      <w:pPr>
        <w:pStyle w:val="Bodytext20"/>
        <w:framePr w:w="9134" w:h="2947" w:hRule="exact" w:wrap="none" w:vAnchor="page" w:hAnchor="page" w:x="1359" w:y="3575"/>
        <w:shd w:val="clear" w:color="auto" w:fill="auto"/>
        <w:spacing w:after="0"/>
        <w:ind w:right="3100" w:firstLine="0"/>
      </w:pPr>
      <w:r>
        <w:t>(dále jako „nájemce")</w:t>
      </w:r>
    </w:p>
    <w:p w:rsidR="00607EE0" w:rsidRDefault="00851C89">
      <w:pPr>
        <w:pStyle w:val="Bodytext20"/>
        <w:framePr w:wrap="none" w:vAnchor="page" w:hAnchor="page" w:x="1359" w:y="7205"/>
        <w:shd w:val="clear" w:color="auto" w:fill="auto"/>
        <w:spacing w:after="0"/>
        <w:ind w:right="3100" w:firstLine="0"/>
      </w:pPr>
      <w:r>
        <w:rPr>
          <w:rStyle w:val="Bodytext21"/>
        </w:rPr>
        <w:t>a</w:t>
      </w:r>
    </w:p>
    <w:p w:rsidR="00607EE0" w:rsidRDefault="00851C89">
      <w:pPr>
        <w:pStyle w:val="Heading10"/>
        <w:framePr w:w="9134" w:h="585" w:hRule="exact" w:wrap="none" w:vAnchor="page" w:hAnchor="page" w:x="1359" w:y="7992"/>
        <w:shd w:val="clear" w:color="auto" w:fill="auto"/>
        <w:spacing w:before="0" w:line="244" w:lineRule="exact"/>
      </w:pPr>
      <w:bookmarkStart w:id="2" w:name="bookmark2"/>
      <w:r>
        <w:t>Hudební divadlo v Karl</w:t>
      </w:r>
      <w:r w:rsidR="00CC4F61">
        <w:t>í</w:t>
      </w:r>
      <w:r>
        <w:t>ně, příspěvková organizace</w:t>
      </w:r>
      <w:bookmarkEnd w:id="2"/>
    </w:p>
    <w:p w:rsidR="00607EE0" w:rsidRDefault="00851C89">
      <w:pPr>
        <w:pStyle w:val="Bodytext20"/>
        <w:framePr w:w="9134" w:h="585" w:hRule="exact" w:wrap="none" w:vAnchor="page" w:hAnchor="page" w:x="1359" w:y="7992"/>
        <w:shd w:val="clear" w:color="auto" w:fill="auto"/>
        <w:tabs>
          <w:tab w:val="left" w:pos="1356"/>
        </w:tabs>
        <w:spacing w:after="0"/>
        <w:ind w:left="460"/>
        <w:jc w:val="both"/>
      </w:pPr>
      <w:r>
        <w:t>se sídlem:</w:t>
      </w:r>
      <w:r>
        <w:tab/>
        <w:t>Křižíkova 10, 186 00 Praha 8</w:t>
      </w:r>
    </w:p>
    <w:p w:rsidR="00607EE0" w:rsidRDefault="00851C89">
      <w:pPr>
        <w:pStyle w:val="Bodytext20"/>
        <w:framePr w:w="9134" w:h="926" w:hRule="exact" w:wrap="none" w:vAnchor="page" w:hAnchor="page" w:x="1359" w:y="8533"/>
        <w:shd w:val="clear" w:color="auto" w:fill="auto"/>
        <w:tabs>
          <w:tab w:val="left" w:pos="1356"/>
        </w:tabs>
        <w:spacing w:after="0" w:line="288" w:lineRule="exact"/>
        <w:ind w:left="460"/>
        <w:jc w:val="both"/>
      </w:pPr>
      <w:r>
        <w:t>IČ:</w:t>
      </w:r>
      <w:r>
        <w:tab/>
      </w:r>
      <w:r w:rsidR="00CC4F61">
        <w:t xml:space="preserve">                </w:t>
      </w:r>
      <w:r>
        <w:t>00064335</w:t>
      </w:r>
    </w:p>
    <w:p w:rsidR="00607EE0" w:rsidRDefault="00851C89">
      <w:pPr>
        <w:pStyle w:val="Bodytext20"/>
        <w:framePr w:w="9134" w:h="926" w:hRule="exact" w:wrap="none" w:vAnchor="page" w:hAnchor="page" w:x="1359" w:y="8533"/>
        <w:shd w:val="clear" w:color="auto" w:fill="auto"/>
        <w:tabs>
          <w:tab w:val="left" w:pos="1356"/>
        </w:tabs>
        <w:spacing w:after="0" w:line="288" w:lineRule="exact"/>
        <w:ind w:left="460"/>
        <w:jc w:val="both"/>
      </w:pPr>
      <w:r>
        <w:t>DIČ:</w:t>
      </w:r>
      <w:r>
        <w:tab/>
      </w:r>
      <w:r w:rsidR="00CC4F61">
        <w:t xml:space="preserve">                </w:t>
      </w:r>
      <w:r>
        <w:t>CZ00064335</w:t>
      </w:r>
    </w:p>
    <w:p w:rsidR="00607EE0" w:rsidRDefault="00851C89">
      <w:pPr>
        <w:pStyle w:val="Bodytext20"/>
        <w:framePr w:w="9134" w:h="926" w:hRule="exact" w:wrap="none" w:vAnchor="page" w:hAnchor="page" w:x="1359" w:y="8533"/>
        <w:shd w:val="clear" w:color="auto" w:fill="auto"/>
        <w:tabs>
          <w:tab w:val="left" w:pos="1356"/>
        </w:tabs>
        <w:spacing w:after="0" w:line="288" w:lineRule="exact"/>
        <w:ind w:left="460"/>
        <w:jc w:val="both"/>
      </w:pPr>
      <w:r>
        <w:t>zastoupená:</w:t>
      </w:r>
      <w:r>
        <w:tab/>
        <w:t>Bc. Egonem Kulhánkem, ředitelem</w:t>
      </w:r>
    </w:p>
    <w:p w:rsidR="00607EE0" w:rsidRDefault="00851C89">
      <w:pPr>
        <w:pStyle w:val="Bodytext20"/>
        <w:framePr w:w="9134" w:h="1766" w:hRule="exact" w:wrap="none" w:vAnchor="page" w:hAnchor="page" w:x="1359" w:y="9729"/>
        <w:shd w:val="clear" w:color="auto" w:fill="auto"/>
        <w:ind w:left="460"/>
        <w:jc w:val="both"/>
      </w:pPr>
      <w:r>
        <w:t>(dále také „podnájemce</w:t>
      </w:r>
      <w:r w:rsidR="00CC4F61">
        <w:t>“</w:t>
      </w:r>
      <w:r>
        <w:t>)</w:t>
      </w:r>
    </w:p>
    <w:p w:rsidR="00607EE0" w:rsidRDefault="00851C89">
      <w:pPr>
        <w:pStyle w:val="Bodytext20"/>
        <w:framePr w:w="9134" w:h="1766" w:hRule="exact" w:wrap="none" w:vAnchor="page" w:hAnchor="page" w:x="1359" w:y="9729"/>
        <w:shd w:val="clear" w:color="auto" w:fill="auto"/>
        <w:spacing w:after="261"/>
        <w:ind w:left="460"/>
        <w:jc w:val="both"/>
      </w:pPr>
      <w:r>
        <w:t>(společně rovněž jen jako „smluvní strany</w:t>
      </w:r>
      <w:r w:rsidR="00CC4F61">
        <w:t>“</w:t>
      </w:r>
      <w:r>
        <w:t>)</w:t>
      </w:r>
    </w:p>
    <w:p w:rsidR="00607EE0" w:rsidRDefault="00851C89">
      <w:pPr>
        <w:pStyle w:val="Bodytext20"/>
        <w:framePr w:w="9134" w:h="1766" w:hRule="exact" w:wrap="none" w:vAnchor="page" w:hAnchor="page" w:x="1359" w:y="9729"/>
        <w:shd w:val="clear" w:color="auto" w:fill="auto"/>
        <w:spacing w:after="0" w:line="293" w:lineRule="exact"/>
        <w:ind w:firstLine="0"/>
        <w:jc w:val="both"/>
      </w:pPr>
      <w:r>
        <w:t xml:space="preserve">uzavírají podle ustanovení § 2215 a násl. Zák. č. 89/2012 Sb., občanského </w:t>
      </w:r>
      <w:r>
        <w:t>zákoníku, v platném znění následující</w:t>
      </w:r>
    </w:p>
    <w:p w:rsidR="00607EE0" w:rsidRDefault="00851C89">
      <w:pPr>
        <w:pStyle w:val="Heading10"/>
        <w:framePr w:w="9134" w:h="2167" w:hRule="exact" w:wrap="none" w:vAnchor="page" w:hAnchor="page" w:x="1359" w:y="11793"/>
        <w:shd w:val="clear" w:color="auto" w:fill="auto"/>
        <w:spacing w:before="0" w:line="485" w:lineRule="exact"/>
        <w:jc w:val="center"/>
      </w:pPr>
      <w:bookmarkStart w:id="3" w:name="bookmark3"/>
      <w:r>
        <w:t>PODNÁJEMNÍ SMLOUVU</w:t>
      </w:r>
      <w:r>
        <w:br/>
        <w:t>Článek 1</w:t>
      </w:r>
      <w:bookmarkEnd w:id="3"/>
    </w:p>
    <w:p w:rsidR="00607EE0" w:rsidRDefault="00851C89">
      <w:pPr>
        <w:pStyle w:val="Bodytext30"/>
        <w:framePr w:w="9134" w:h="2167" w:hRule="exact" w:wrap="none" w:vAnchor="page" w:hAnchor="page" w:x="1359" w:y="11793"/>
        <w:shd w:val="clear" w:color="auto" w:fill="auto"/>
        <w:spacing w:after="132"/>
      </w:pPr>
      <w:r>
        <w:t>Předmět podnájmu</w:t>
      </w:r>
    </w:p>
    <w:p w:rsidR="00607EE0" w:rsidRDefault="00851C89">
      <w:pPr>
        <w:pStyle w:val="Bodytext20"/>
        <w:framePr w:w="9134" w:h="2167" w:hRule="exact" w:wrap="none" w:vAnchor="page" w:hAnchor="page" w:x="1359" w:y="11793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254" w:lineRule="exact"/>
        <w:ind w:left="460"/>
        <w:jc w:val="both"/>
      </w:pPr>
      <w:r>
        <w:t xml:space="preserve">Nájemce je na základě nájemní smlouvy ze dne 14. listopadu 2008 uzavřené se společností Tukový průmysl Praha, a.s. IČO 25135881, se sídlem Koubova 79, 196 00 Praha 9 (dále </w:t>
      </w:r>
      <w:r>
        <w:t>jen „Nájemní smlouva) mimo jiné oprávněným uživatelem následující nemovitosti:</w:t>
      </w:r>
    </w:p>
    <w:p w:rsidR="00607EE0" w:rsidRDefault="00851C89">
      <w:pPr>
        <w:pStyle w:val="Bodytext20"/>
        <w:framePr w:wrap="none" w:vAnchor="page" w:hAnchor="page" w:x="1359" w:y="14174"/>
        <w:shd w:val="clear" w:color="auto" w:fill="auto"/>
        <w:spacing w:after="0"/>
        <w:ind w:left="740" w:firstLine="0"/>
      </w:pPr>
      <w:r>
        <w:t>administrativní objekt o ploše 510 m2 umístěné na pozemku pare. 3067/8</w:t>
      </w:r>
    </w:p>
    <w:p w:rsidR="00607EE0" w:rsidRDefault="00607EE0">
      <w:pPr>
        <w:rPr>
          <w:sz w:val="2"/>
          <w:szCs w:val="2"/>
        </w:rPr>
        <w:sectPr w:rsidR="00607E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7EE0" w:rsidRDefault="00851C89">
      <w:pPr>
        <w:pStyle w:val="Bodytext20"/>
        <w:framePr w:w="9158" w:h="566" w:hRule="exact" w:wrap="none" w:vAnchor="page" w:hAnchor="page" w:x="1347" w:y="1312"/>
        <w:shd w:val="clear" w:color="auto" w:fill="auto"/>
        <w:spacing w:after="0" w:line="254" w:lineRule="exact"/>
        <w:ind w:left="640" w:right="1020" w:firstLine="0"/>
      </w:pPr>
      <w:r>
        <w:lastRenderedPageBreak/>
        <w:t>vše zapsáno pro obec Praha, katastrální území Michle na LV č. 1860, u Katastrálníh</w:t>
      </w:r>
      <w:r>
        <w:t>o úřadu pro hl.m. Prahu, Katastrální pracoviště Praha.</w:t>
      </w:r>
    </w:p>
    <w:p w:rsidR="00607EE0" w:rsidRDefault="00851C89">
      <w:pPr>
        <w:pStyle w:val="Bodytext20"/>
        <w:framePr w:w="9158" w:h="2194" w:hRule="exact" w:wrap="none" w:vAnchor="page" w:hAnchor="page" w:x="1347" w:y="2198"/>
        <w:numPr>
          <w:ilvl w:val="0"/>
          <w:numId w:val="1"/>
        </w:numPr>
        <w:shd w:val="clear" w:color="auto" w:fill="auto"/>
        <w:tabs>
          <w:tab w:val="left" w:pos="420"/>
        </w:tabs>
        <w:spacing w:after="120" w:line="250" w:lineRule="exact"/>
        <w:ind w:left="460"/>
        <w:jc w:val="both"/>
      </w:pPr>
      <w:r>
        <w:t>V souladu se souhlasem Pronajímatele je Nájemce oprávněn dát předmětné nemovitosti (i jejich části) do podnájmu třetí osobě.</w:t>
      </w:r>
    </w:p>
    <w:p w:rsidR="00607EE0" w:rsidRDefault="00851C89">
      <w:pPr>
        <w:pStyle w:val="Bodytext20"/>
        <w:framePr w:w="9158" w:h="2194" w:hRule="exact" w:wrap="none" w:vAnchor="page" w:hAnchor="page" w:x="1347" w:y="2198"/>
        <w:numPr>
          <w:ilvl w:val="0"/>
          <w:numId w:val="1"/>
        </w:numPr>
        <w:shd w:val="clear" w:color="auto" w:fill="auto"/>
        <w:tabs>
          <w:tab w:val="left" w:pos="420"/>
        </w:tabs>
        <w:spacing w:after="0" w:line="250" w:lineRule="exact"/>
        <w:ind w:left="460"/>
        <w:jc w:val="both"/>
      </w:pPr>
      <w:r>
        <w:t>Nájemce podnajímá na základě této smlouvy Podnájemci nebytové prostory určen</w:t>
      </w:r>
      <w:r>
        <w:t xml:space="preserve">é pro skladování v administrativním objektu a to místnosti </w:t>
      </w:r>
      <w:r w:rsidR="00CC4F61">
        <w:t>č</w:t>
      </w:r>
      <w:r>
        <w:t>. 1.13, 1.14 s 1.15 (</w:t>
      </w:r>
      <w:r>
        <w:t>64 m2</w:t>
      </w:r>
      <w:r>
        <w:t>)</w:t>
      </w:r>
      <w:r w:rsidR="00CC4F61">
        <w:t>,</w:t>
      </w:r>
      <w:r>
        <w:t xml:space="preserve"> vyznačené na situačním plánku (</w:t>
      </w:r>
      <w:r>
        <w:t>viz</w:t>
      </w:r>
      <w:r>
        <w:t xml:space="preserve"> vyznačené plochy v grafické příloze č.</w:t>
      </w:r>
      <w:r w:rsidR="00CC4F61">
        <w:t xml:space="preserve"> 1</w:t>
      </w:r>
      <w:r>
        <w:t>), které se nacházejí v nemovitosti specifikované v čl. 1 odst. 1 této smlouvy a podnáje</w:t>
      </w:r>
      <w:r>
        <w:t>mce se zavazuje za níže uvedených podmínek hradit podnájemné a služby. Plochy vyznačené v grafické příloze č. 1 dále jako „Předmět podnájmu</w:t>
      </w:r>
      <w:r w:rsidR="00CC4F61">
        <w:t>“</w:t>
      </w:r>
      <w:r>
        <w:t>. Grafická příloha č. 1 tvoří nedílnou součást této smlouvy.</w:t>
      </w:r>
    </w:p>
    <w:p w:rsidR="00607EE0" w:rsidRDefault="00851C89" w:rsidP="00CC4F61">
      <w:pPr>
        <w:pStyle w:val="Bodytext20"/>
        <w:framePr w:w="9158" w:h="2356" w:hRule="exact" w:wrap="none" w:vAnchor="page" w:hAnchor="page" w:x="1347" w:y="4833"/>
        <w:numPr>
          <w:ilvl w:val="0"/>
          <w:numId w:val="1"/>
        </w:numPr>
        <w:shd w:val="clear" w:color="auto" w:fill="auto"/>
        <w:tabs>
          <w:tab w:val="left" w:pos="420"/>
        </w:tabs>
        <w:spacing w:after="0" w:line="250" w:lineRule="exact"/>
        <w:ind w:left="460"/>
        <w:jc w:val="both"/>
      </w:pPr>
      <w:r>
        <w:t xml:space="preserve">Podnájemce podpisem této smlouvy bere na vědomí, že na </w:t>
      </w:r>
      <w:r>
        <w:t>základě usnesení Vrchního soudu v Praze ze dne 14. 06. 2019, sp</w:t>
      </w:r>
      <w:r w:rsidR="00CC4F61">
        <w:t>.</w:t>
      </w:r>
      <w:r>
        <w:t>zn. 3 To 20/2019, došlo ve smyslu ustanovení § 101 odst. 2 písm. e) trestního zákoníku k pravomocnému zabrání Předmětu podnájmu, na základě kterého společnost Tukový průmysl Praha, a.s. přesta</w:t>
      </w:r>
      <w:r>
        <w:t xml:space="preserve">la být vlastníkem Předmětu podnájmu; uvedená skutečnost může mít vliv na účinnost nájemní smlouvy specifikované v </w:t>
      </w:r>
      <w:r w:rsidR="00CC4F61">
        <w:t>čl</w:t>
      </w:r>
      <w:r>
        <w:t>. 1 odst. 1 této smlouvy, jejíž účinnost je podmínkou účinnosti této podnájemní smlouvy. Podnájemce se veškerých svých existujících nároků v</w:t>
      </w:r>
      <w:r>
        <w:t>ůči Nájemci (anebo nároků které mu vzniknou) z důvodů souvisejících s existencí usnesení Vrchního soudu v Praze ze dne 14. 06. 2019, sp.zn. 3 To 20/2019, výslovně vzdává.</w:t>
      </w:r>
    </w:p>
    <w:p w:rsidR="00607EE0" w:rsidRDefault="00851C89">
      <w:pPr>
        <w:pStyle w:val="Heading10"/>
        <w:framePr w:w="9158" w:h="7555" w:hRule="exact" w:wrap="none" w:vAnchor="page" w:hAnchor="page" w:x="1347" w:y="7484"/>
        <w:shd w:val="clear" w:color="auto" w:fill="auto"/>
        <w:spacing w:before="0" w:after="284" w:line="278" w:lineRule="exact"/>
        <w:jc w:val="center"/>
      </w:pPr>
      <w:bookmarkStart w:id="4" w:name="bookmark4"/>
      <w:r>
        <w:t>Článek 2</w:t>
      </w:r>
      <w:r>
        <w:br/>
        <w:t>Účel podnájmu</w:t>
      </w:r>
      <w:bookmarkEnd w:id="4"/>
    </w:p>
    <w:p w:rsidR="00607EE0" w:rsidRDefault="00851C89">
      <w:pPr>
        <w:pStyle w:val="Bodytext20"/>
        <w:framePr w:w="9158" w:h="7555" w:hRule="exact" w:wrap="none" w:vAnchor="page" w:hAnchor="page" w:x="1347" w:y="7484"/>
        <w:numPr>
          <w:ilvl w:val="0"/>
          <w:numId w:val="2"/>
        </w:numPr>
        <w:shd w:val="clear" w:color="auto" w:fill="auto"/>
        <w:tabs>
          <w:tab w:val="left" w:pos="420"/>
        </w:tabs>
        <w:spacing w:after="280" w:line="274" w:lineRule="exact"/>
        <w:ind w:left="460"/>
        <w:jc w:val="both"/>
      </w:pPr>
      <w:r>
        <w:t>Předmět podnájmu se Podnájemce zavazuje užívat jako skladový p</w:t>
      </w:r>
      <w:r>
        <w:t>rostor pro zajištění vlastních provozních činností.</w:t>
      </w:r>
    </w:p>
    <w:p w:rsidR="00607EE0" w:rsidRDefault="00851C89">
      <w:pPr>
        <w:pStyle w:val="Bodytext20"/>
        <w:framePr w:w="9158" w:h="7555" w:hRule="exact" w:wrap="none" w:vAnchor="page" w:hAnchor="page" w:x="1347" w:y="7484"/>
        <w:numPr>
          <w:ilvl w:val="0"/>
          <w:numId w:val="2"/>
        </w:numPr>
        <w:shd w:val="clear" w:color="auto" w:fill="auto"/>
        <w:tabs>
          <w:tab w:val="left" w:pos="420"/>
        </w:tabs>
        <w:spacing w:after="276" w:line="274" w:lineRule="exact"/>
        <w:ind w:left="460"/>
        <w:jc w:val="both"/>
      </w:pPr>
      <w:r>
        <w:t>Podnájemce se zavazuje obstarat na vlastní náklad veškerá případná úřední i jiná povolení, která jsou k výše uvedenému způsobu užívání nutná.</w:t>
      </w:r>
    </w:p>
    <w:p w:rsidR="00607EE0" w:rsidRDefault="00851C89">
      <w:pPr>
        <w:pStyle w:val="Bodytext20"/>
        <w:framePr w:w="9158" w:h="7555" w:hRule="exact" w:wrap="none" w:vAnchor="page" w:hAnchor="page" w:x="1347" w:y="7484"/>
        <w:numPr>
          <w:ilvl w:val="0"/>
          <w:numId w:val="2"/>
        </w:numPr>
        <w:shd w:val="clear" w:color="auto" w:fill="auto"/>
        <w:tabs>
          <w:tab w:val="left" w:pos="420"/>
        </w:tabs>
        <w:spacing w:after="308" w:line="278" w:lineRule="exact"/>
        <w:ind w:left="460"/>
        <w:jc w:val="both"/>
      </w:pPr>
      <w:r>
        <w:t>Podnájemce prohlašuje, že je mu faktický i právní stav Předmět</w:t>
      </w:r>
      <w:r>
        <w:t>u podnájmu znám (včetně skutečnosti uvedené v článku 1 odst. 4 této smlouvy) a dnem počátku podnájmu je podnajímá od Nájemce v souladu s touto smlouvou a obecně závaznými právními předpisy.</w:t>
      </w:r>
    </w:p>
    <w:p w:rsidR="00607EE0" w:rsidRDefault="00851C89">
      <w:pPr>
        <w:pStyle w:val="Heading10"/>
        <w:framePr w:w="9158" w:h="7555" w:hRule="exact" w:wrap="none" w:vAnchor="page" w:hAnchor="page" w:x="1347" w:y="7484"/>
        <w:shd w:val="clear" w:color="auto" w:fill="auto"/>
        <w:spacing w:before="0" w:line="244" w:lineRule="exact"/>
        <w:jc w:val="center"/>
      </w:pPr>
      <w:bookmarkStart w:id="5" w:name="bookmark5"/>
      <w:r>
        <w:t>Článek 3</w:t>
      </w:r>
      <w:bookmarkEnd w:id="5"/>
    </w:p>
    <w:p w:rsidR="00607EE0" w:rsidRDefault="00851C89">
      <w:pPr>
        <w:pStyle w:val="Bodytext30"/>
        <w:framePr w:w="9158" w:h="7555" w:hRule="exact" w:wrap="none" w:vAnchor="page" w:hAnchor="page" w:x="1347" w:y="7484"/>
        <w:shd w:val="clear" w:color="auto" w:fill="auto"/>
        <w:spacing w:after="253"/>
      </w:pPr>
      <w:r>
        <w:t>Podnájemné a služby</w:t>
      </w:r>
    </w:p>
    <w:p w:rsidR="00607EE0" w:rsidRDefault="00851C89">
      <w:pPr>
        <w:pStyle w:val="Bodytext20"/>
        <w:framePr w:w="9158" w:h="7555" w:hRule="exact" w:wrap="none" w:vAnchor="page" w:hAnchor="page" w:x="1347" w:y="7484"/>
        <w:numPr>
          <w:ilvl w:val="0"/>
          <w:numId w:val="3"/>
        </w:numPr>
        <w:shd w:val="clear" w:color="auto" w:fill="auto"/>
        <w:tabs>
          <w:tab w:val="left" w:pos="420"/>
        </w:tabs>
        <w:spacing w:after="280" w:line="278" w:lineRule="exact"/>
        <w:ind w:left="460"/>
        <w:jc w:val="both"/>
      </w:pPr>
      <w:r>
        <w:t xml:space="preserve">Smluvní strany se dohodly na </w:t>
      </w:r>
      <w:r>
        <w:t>podnájemném ve výši 5.120,- Kč (slovy: pěttisícstodvacet korunčeských) bez DPH měsíčně. K částce ve výši 5.120,- Kč bude ještě připočteno zákonné DPH, jehož je nájemce plátcem.</w:t>
      </w:r>
    </w:p>
    <w:p w:rsidR="00607EE0" w:rsidRDefault="00851C89">
      <w:pPr>
        <w:pStyle w:val="Bodytext20"/>
        <w:framePr w:w="9158" w:h="7555" w:hRule="exact" w:wrap="none" w:vAnchor="page" w:hAnchor="page" w:x="1347" w:y="7484"/>
        <w:numPr>
          <w:ilvl w:val="0"/>
          <w:numId w:val="3"/>
        </w:numPr>
        <w:shd w:val="clear" w:color="auto" w:fill="auto"/>
        <w:tabs>
          <w:tab w:val="left" w:pos="420"/>
        </w:tabs>
        <w:spacing w:after="284" w:line="278" w:lineRule="exact"/>
        <w:ind w:left="460"/>
        <w:jc w:val="both"/>
      </w:pPr>
      <w:r>
        <w:t>Smluvní strany se dohodly, že Podnájemce bude hradit Podnájemné měsíčně na zákl</w:t>
      </w:r>
      <w:r>
        <w:t>adě faktury vystavené Nájemcem vždy 1. kalendářní den příslušného kalendářního měsíce, pro který se podnájemné platí, se splatností 10 dnů. Tento den se také považuje za den zdanitelného plnění.</w:t>
      </w:r>
    </w:p>
    <w:p w:rsidR="00607EE0" w:rsidRDefault="00851C89">
      <w:pPr>
        <w:pStyle w:val="Bodytext20"/>
        <w:framePr w:w="9158" w:h="7555" w:hRule="exact" w:wrap="none" w:vAnchor="page" w:hAnchor="page" w:x="1347" w:y="7484"/>
        <w:numPr>
          <w:ilvl w:val="0"/>
          <w:numId w:val="3"/>
        </w:numPr>
        <w:shd w:val="clear" w:color="auto" w:fill="auto"/>
        <w:tabs>
          <w:tab w:val="left" w:pos="420"/>
        </w:tabs>
        <w:spacing w:after="0" w:line="274" w:lineRule="exact"/>
        <w:ind w:left="460"/>
        <w:jc w:val="both"/>
      </w:pPr>
      <w:r>
        <w:t>Smluvní strany se dále dohodly, že Nájemce je oprávněn sjedna</w:t>
      </w:r>
      <w:r>
        <w:t>nou výši podnájemného v každém dalším kalendářním roce, počínaje rokem 2020, zvýšit až o 100% indexu nárůstu spotřebitelských cen, dle sdělení Českého statistického úřadu.</w:t>
      </w:r>
    </w:p>
    <w:p w:rsidR="00607EE0" w:rsidRDefault="00607EE0">
      <w:pPr>
        <w:rPr>
          <w:sz w:val="2"/>
          <w:szCs w:val="2"/>
        </w:rPr>
        <w:sectPr w:rsidR="00607E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7EE0" w:rsidRDefault="00851C89">
      <w:pPr>
        <w:pStyle w:val="Bodytext20"/>
        <w:framePr w:w="9158" w:h="969" w:hRule="exact" w:wrap="none" w:vAnchor="page" w:hAnchor="page" w:x="1347" w:y="1288"/>
        <w:numPr>
          <w:ilvl w:val="0"/>
          <w:numId w:val="3"/>
        </w:numPr>
        <w:shd w:val="clear" w:color="auto" w:fill="auto"/>
        <w:tabs>
          <w:tab w:val="left" w:pos="419"/>
        </w:tabs>
        <w:spacing w:after="0" w:line="302" w:lineRule="exact"/>
        <w:ind w:left="460"/>
        <w:jc w:val="both"/>
      </w:pPr>
      <w:r>
        <w:lastRenderedPageBreak/>
        <w:t xml:space="preserve">Ve sjednaném podnájemném za užívání uvedených prostor je </w:t>
      </w:r>
      <w:r>
        <w:t>zahrnuta úhrada za dodávku veškerých energií, vodné a stočné, odvoz odpadu, jakož i veškeré další úplaty spojené s užíváním uvedeného prostoru.</w:t>
      </w:r>
    </w:p>
    <w:p w:rsidR="00607EE0" w:rsidRDefault="00851C89">
      <w:pPr>
        <w:pStyle w:val="Bodytext20"/>
        <w:framePr w:w="9158" w:h="8675" w:hRule="exact" w:wrap="none" w:vAnchor="page" w:hAnchor="page" w:x="1347" w:y="2756"/>
        <w:numPr>
          <w:ilvl w:val="0"/>
          <w:numId w:val="3"/>
        </w:numPr>
        <w:shd w:val="clear" w:color="auto" w:fill="auto"/>
        <w:tabs>
          <w:tab w:val="left" w:pos="419"/>
        </w:tabs>
        <w:spacing w:after="308" w:line="278" w:lineRule="exact"/>
        <w:ind w:left="460"/>
        <w:jc w:val="both"/>
      </w:pPr>
      <w:r>
        <w:t>Veškeré platby ve prospěch Nájemce na základě této smlouvy se provádějí bezhotovostně na účet Nájemce, a to vždy</w:t>
      </w:r>
      <w:r>
        <w:t xml:space="preserve"> na základě faktur nastavených Nájemcem.</w:t>
      </w:r>
    </w:p>
    <w:p w:rsidR="00607EE0" w:rsidRDefault="00851C89">
      <w:pPr>
        <w:pStyle w:val="Heading10"/>
        <w:framePr w:w="9158" w:h="8675" w:hRule="exact" w:wrap="none" w:vAnchor="page" w:hAnchor="page" w:x="1347" w:y="2756"/>
        <w:shd w:val="clear" w:color="auto" w:fill="auto"/>
        <w:spacing w:before="0" w:line="244" w:lineRule="exact"/>
        <w:ind w:left="3700"/>
      </w:pPr>
      <w:bookmarkStart w:id="6" w:name="bookmark6"/>
      <w:r>
        <w:t>Článek 4</w:t>
      </w:r>
      <w:bookmarkEnd w:id="6"/>
    </w:p>
    <w:p w:rsidR="00607EE0" w:rsidRDefault="00851C89">
      <w:pPr>
        <w:pStyle w:val="Bodytext30"/>
        <w:framePr w:w="9158" w:h="8675" w:hRule="exact" w:wrap="none" w:vAnchor="page" w:hAnchor="page" w:x="1347" w:y="2756"/>
        <w:shd w:val="clear" w:color="auto" w:fill="auto"/>
        <w:spacing w:after="253"/>
        <w:ind w:left="20"/>
      </w:pPr>
      <w:r>
        <w:t>Práva a povinnosti Nájemce a Podnájemce</w:t>
      </w:r>
    </w:p>
    <w:p w:rsidR="00607EE0" w:rsidRDefault="00851C89">
      <w:pPr>
        <w:pStyle w:val="Bodytext20"/>
        <w:framePr w:w="9158" w:h="8675" w:hRule="exact" w:wrap="none" w:vAnchor="page" w:hAnchor="page" w:x="1347" w:y="2756"/>
        <w:numPr>
          <w:ilvl w:val="0"/>
          <w:numId w:val="4"/>
        </w:numPr>
        <w:shd w:val="clear" w:color="auto" w:fill="auto"/>
        <w:tabs>
          <w:tab w:val="left" w:pos="419"/>
        </w:tabs>
        <w:spacing w:after="280" w:line="278" w:lineRule="exact"/>
        <w:ind w:left="460"/>
        <w:jc w:val="both"/>
      </w:pPr>
      <w:r>
        <w:t>Podnájemce je povinen Předmět podnájmu užívat v souladu se všemi právními předpisy a závaznými normami. Podnájemce se zejména zavazuje dodržovat bezpečnostní, protipo</w:t>
      </w:r>
      <w:r>
        <w:t>žární, hygienické a pořádkové předpisy a řádně o nich poučit své zaměstnance i jiné osoby, které se budou v Předmětu podnájmu s jeho souhlasem nacházet. Podnájemce nesmí provádět stavební práce či jiné podstatné změny bez předchozího písemného souhlasu Náj</w:t>
      </w:r>
      <w:r>
        <w:t>emce.</w:t>
      </w:r>
    </w:p>
    <w:p w:rsidR="00607EE0" w:rsidRDefault="00851C89">
      <w:pPr>
        <w:pStyle w:val="Bodytext20"/>
        <w:framePr w:w="9158" w:h="8675" w:hRule="exact" w:wrap="none" w:vAnchor="page" w:hAnchor="page" w:x="1347" w:y="2756"/>
        <w:numPr>
          <w:ilvl w:val="0"/>
          <w:numId w:val="4"/>
        </w:numPr>
        <w:shd w:val="clear" w:color="auto" w:fill="auto"/>
        <w:tabs>
          <w:tab w:val="left" w:pos="419"/>
        </w:tabs>
        <w:spacing w:after="280" w:line="278" w:lineRule="exact"/>
        <w:ind w:left="460"/>
        <w:jc w:val="both"/>
      </w:pPr>
      <w:r>
        <w:t>Před skončením podnájmu je Podnájemce povinen přizvat Nájemce nebo jejich určeného zástupce ke kontrole stavu Předmětu podnájmu.</w:t>
      </w:r>
    </w:p>
    <w:p w:rsidR="00607EE0" w:rsidRDefault="00851C89">
      <w:pPr>
        <w:pStyle w:val="Bodytext20"/>
        <w:framePr w:w="9158" w:h="8675" w:hRule="exact" w:wrap="none" w:vAnchor="page" w:hAnchor="page" w:x="1347" w:y="2756"/>
        <w:numPr>
          <w:ilvl w:val="0"/>
          <w:numId w:val="4"/>
        </w:numPr>
        <w:shd w:val="clear" w:color="auto" w:fill="auto"/>
        <w:tabs>
          <w:tab w:val="left" w:pos="419"/>
        </w:tabs>
        <w:spacing w:after="280" w:line="278" w:lineRule="exact"/>
        <w:ind w:left="460"/>
        <w:jc w:val="both"/>
      </w:pPr>
      <w:r>
        <w:t>Podnájemce je povinen pečovat o Předmět podnájmu s péčí řádného hospodáře a zejména dbát, aby nebyl</w:t>
      </w:r>
      <w:r>
        <w:t xml:space="preserve"> poškozován</w:t>
      </w:r>
      <w:r>
        <w:t xml:space="preserve"> nebo nad</w:t>
      </w:r>
      <w:r>
        <w:t>měrně opotřebován.</w:t>
      </w:r>
    </w:p>
    <w:p w:rsidR="00607EE0" w:rsidRDefault="00851C89">
      <w:pPr>
        <w:pStyle w:val="Bodytext20"/>
        <w:framePr w:w="9158" w:h="8675" w:hRule="exact" w:wrap="none" w:vAnchor="page" w:hAnchor="page" w:x="1347" w:y="2756"/>
        <w:numPr>
          <w:ilvl w:val="0"/>
          <w:numId w:val="4"/>
        </w:numPr>
        <w:shd w:val="clear" w:color="auto" w:fill="auto"/>
        <w:tabs>
          <w:tab w:val="left" w:pos="419"/>
        </w:tabs>
        <w:spacing w:after="280" w:line="278" w:lineRule="exact"/>
        <w:ind w:left="460"/>
        <w:jc w:val="both"/>
      </w:pPr>
      <w:r>
        <w:t>Podnájemce je povinen na vlastní náklady uzavřít pojistnou smlouvu, jejímž předmětem je pojištění vlastního majetku a odpovědnosti za škodu a zavazuje se, že pojistná smlouva zůstane v platnosti po celou dobu platnosti podnájemní smlouvy</w:t>
      </w:r>
      <w:r>
        <w:t>.</w:t>
      </w:r>
    </w:p>
    <w:p w:rsidR="00607EE0" w:rsidRDefault="00851C89">
      <w:pPr>
        <w:pStyle w:val="Bodytext20"/>
        <w:framePr w:w="9158" w:h="8675" w:hRule="exact" w:wrap="none" w:vAnchor="page" w:hAnchor="page" w:x="1347" w:y="2756"/>
        <w:numPr>
          <w:ilvl w:val="0"/>
          <w:numId w:val="4"/>
        </w:numPr>
        <w:shd w:val="clear" w:color="auto" w:fill="auto"/>
        <w:tabs>
          <w:tab w:val="left" w:pos="419"/>
        </w:tabs>
        <w:spacing w:after="280" w:line="278" w:lineRule="exact"/>
        <w:ind w:left="460"/>
        <w:jc w:val="both"/>
      </w:pPr>
      <w:r>
        <w:t>Podnájemce si v Předmětu podnájmu provede na vlastní náklady drobné stavební úpravy, sloužící k zajištění jeho provozních činností. Rozsah těchto drobných stavebních úprav musí být předem odsouhlasen Nájemcem.</w:t>
      </w:r>
    </w:p>
    <w:p w:rsidR="00607EE0" w:rsidRDefault="00851C89">
      <w:pPr>
        <w:pStyle w:val="Bodytext20"/>
        <w:framePr w:w="9158" w:h="8675" w:hRule="exact" w:wrap="none" w:vAnchor="page" w:hAnchor="page" w:x="1347" w:y="2756"/>
        <w:numPr>
          <w:ilvl w:val="0"/>
          <w:numId w:val="4"/>
        </w:numPr>
        <w:shd w:val="clear" w:color="auto" w:fill="auto"/>
        <w:tabs>
          <w:tab w:val="left" w:pos="419"/>
        </w:tabs>
        <w:spacing w:after="276" w:line="278" w:lineRule="exact"/>
        <w:ind w:left="460"/>
        <w:jc w:val="both"/>
      </w:pPr>
      <w:r>
        <w:t xml:space="preserve">Podnájemce může po projednání a s písemným </w:t>
      </w:r>
      <w:r>
        <w:t>souhlasem Nájemce přenechat část Předmětu podnájmu třetí osobě.</w:t>
      </w:r>
    </w:p>
    <w:p w:rsidR="00607EE0" w:rsidRDefault="00851C89">
      <w:pPr>
        <w:pStyle w:val="Bodytext20"/>
        <w:framePr w:w="9158" w:h="8675" w:hRule="exact" w:wrap="none" w:vAnchor="page" w:hAnchor="page" w:x="1347" w:y="2756"/>
        <w:numPr>
          <w:ilvl w:val="0"/>
          <w:numId w:val="4"/>
        </w:numPr>
        <w:shd w:val="clear" w:color="auto" w:fill="auto"/>
        <w:tabs>
          <w:tab w:val="left" w:pos="419"/>
        </w:tabs>
        <w:spacing w:after="0" w:line="283" w:lineRule="exact"/>
        <w:ind w:left="460"/>
        <w:jc w:val="both"/>
      </w:pPr>
      <w:r>
        <w:t>Podnájemce je povinen nejpozději poslední den trvání nájemního vztahu Předmět podnájmu vyklidit a v původním stavuje předat Nájemci.</w:t>
      </w:r>
    </w:p>
    <w:p w:rsidR="00607EE0" w:rsidRDefault="00851C89">
      <w:pPr>
        <w:pStyle w:val="Heading10"/>
        <w:framePr w:w="9158" w:h="2833" w:hRule="exact" w:wrap="none" w:vAnchor="page" w:hAnchor="page" w:x="1347" w:y="11909"/>
        <w:shd w:val="clear" w:color="auto" w:fill="auto"/>
        <w:spacing w:before="0" w:after="304" w:line="274" w:lineRule="exact"/>
        <w:ind w:left="20"/>
        <w:jc w:val="center"/>
      </w:pPr>
      <w:bookmarkStart w:id="7" w:name="bookmark7"/>
      <w:r>
        <w:t>Článek 5</w:t>
      </w:r>
      <w:r>
        <w:br/>
        <w:t>Trvání podnájmu</w:t>
      </w:r>
      <w:bookmarkEnd w:id="7"/>
    </w:p>
    <w:p w:rsidR="00607EE0" w:rsidRDefault="00851C89">
      <w:pPr>
        <w:pStyle w:val="Bodytext20"/>
        <w:framePr w:w="9158" w:h="2833" w:hRule="exact" w:wrap="none" w:vAnchor="page" w:hAnchor="page" w:x="1347" w:y="11909"/>
        <w:numPr>
          <w:ilvl w:val="0"/>
          <w:numId w:val="5"/>
        </w:numPr>
        <w:shd w:val="clear" w:color="auto" w:fill="auto"/>
        <w:tabs>
          <w:tab w:val="left" w:pos="419"/>
        </w:tabs>
        <w:spacing w:after="253"/>
        <w:ind w:left="460"/>
        <w:jc w:val="both"/>
      </w:pPr>
      <w:r>
        <w:t>Tento podnájemní vztah se sjednává</w:t>
      </w:r>
      <w:r>
        <w:t xml:space="preserve"> na dobu neurčitou s účinností od 1.11.2019.</w:t>
      </w:r>
    </w:p>
    <w:p w:rsidR="00607EE0" w:rsidRDefault="00851C89">
      <w:pPr>
        <w:pStyle w:val="Bodytext20"/>
        <w:framePr w:w="9158" w:h="2833" w:hRule="exact" w:wrap="none" w:vAnchor="page" w:hAnchor="page" w:x="1347" w:y="11909"/>
        <w:numPr>
          <w:ilvl w:val="0"/>
          <w:numId w:val="5"/>
        </w:numPr>
        <w:shd w:val="clear" w:color="auto" w:fill="auto"/>
        <w:tabs>
          <w:tab w:val="left" w:pos="419"/>
        </w:tabs>
        <w:spacing w:after="280" w:line="278" w:lineRule="exact"/>
        <w:ind w:left="460"/>
        <w:jc w:val="both"/>
      </w:pPr>
      <w:r>
        <w:t>Podnájem založený touto smlouvou zanikne kdykoli písemnou dohodou mezi Podnájemcem a nájemcem nebo výpovědí z důvodů a za podmínek uvedených v této smlouvě.</w:t>
      </w:r>
    </w:p>
    <w:p w:rsidR="00607EE0" w:rsidRDefault="00851C89">
      <w:pPr>
        <w:pStyle w:val="Bodytext20"/>
        <w:framePr w:w="9158" w:h="2833" w:hRule="exact" w:wrap="none" w:vAnchor="page" w:hAnchor="page" w:x="1347" w:y="11909"/>
        <w:numPr>
          <w:ilvl w:val="0"/>
          <w:numId w:val="5"/>
        </w:numPr>
        <w:shd w:val="clear" w:color="auto" w:fill="auto"/>
        <w:tabs>
          <w:tab w:val="left" w:pos="419"/>
        </w:tabs>
        <w:spacing w:after="0" w:line="278" w:lineRule="exact"/>
        <w:ind w:left="460"/>
        <w:jc w:val="both"/>
      </w:pPr>
      <w:r>
        <w:t xml:space="preserve">Nájemce i Podnájemce jsou oprávněni nájem vypovědět </w:t>
      </w:r>
      <w:r>
        <w:t>kdykoli bez uvedení důvodů, přičemž výpovědní doba v takovém případě činí tři měsíce.</w:t>
      </w:r>
    </w:p>
    <w:p w:rsidR="00607EE0" w:rsidRDefault="00607EE0">
      <w:pPr>
        <w:rPr>
          <w:sz w:val="2"/>
          <w:szCs w:val="2"/>
        </w:rPr>
        <w:sectPr w:rsidR="00607E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7EE0" w:rsidRDefault="00851C89" w:rsidP="001F17E3">
      <w:pPr>
        <w:pStyle w:val="Bodytext20"/>
        <w:framePr w:w="9149" w:h="7426" w:hRule="exact" w:wrap="none" w:vAnchor="page" w:hAnchor="page" w:x="1352" w:y="1297"/>
        <w:numPr>
          <w:ilvl w:val="0"/>
          <w:numId w:val="5"/>
        </w:numPr>
        <w:shd w:val="clear" w:color="auto" w:fill="auto"/>
        <w:tabs>
          <w:tab w:val="left" w:pos="419"/>
        </w:tabs>
        <w:spacing w:after="280" w:line="278" w:lineRule="exact"/>
        <w:ind w:left="440" w:hanging="440"/>
        <w:jc w:val="both"/>
      </w:pPr>
      <w:r>
        <w:lastRenderedPageBreak/>
        <w:t>Nájemce je oprávněn vypovědět Podnájem v jednoměsíční výpovědní době v případě, pokud Podnájemce užívá podnajaté prostory k jinému účelu, než je u</w:t>
      </w:r>
      <w:r>
        <w:t>vedeno ve smlouvě, nebo provádí stavební úpravy či jakékoli jiné změny bez souhlasu Nájemce.</w:t>
      </w:r>
    </w:p>
    <w:p w:rsidR="00607EE0" w:rsidRDefault="00851C89" w:rsidP="001F17E3">
      <w:pPr>
        <w:pStyle w:val="Bodytext20"/>
        <w:framePr w:w="9149" w:h="7426" w:hRule="exact" w:wrap="none" w:vAnchor="page" w:hAnchor="page" w:x="1352" w:y="1297"/>
        <w:numPr>
          <w:ilvl w:val="0"/>
          <w:numId w:val="5"/>
        </w:numPr>
        <w:shd w:val="clear" w:color="auto" w:fill="auto"/>
        <w:tabs>
          <w:tab w:val="left" w:pos="419"/>
        </w:tabs>
        <w:spacing w:after="280" w:line="278" w:lineRule="exact"/>
        <w:ind w:left="440" w:hanging="440"/>
        <w:jc w:val="both"/>
      </w:pPr>
      <w:r>
        <w:t>Dále účastníci sjednávají, že Nájemce je oprávněn vypovědět nájem bez výpovědní doby v případě, pokud Podnájemce je v prodlení s úhradou Podnájemného a/nebo poplat</w:t>
      </w:r>
      <w:r>
        <w:t>ků za služby delším než třicet dnů a/nebo zřídil užívací právo třetí osobě bez předchozího písemného souhlasu Nájemce.</w:t>
      </w:r>
    </w:p>
    <w:p w:rsidR="00607EE0" w:rsidRDefault="00851C89" w:rsidP="001F17E3">
      <w:pPr>
        <w:pStyle w:val="Bodytext20"/>
        <w:framePr w:w="9149" w:h="7426" w:hRule="exact" w:wrap="none" w:vAnchor="page" w:hAnchor="page" w:x="1352" w:y="1297"/>
        <w:numPr>
          <w:ilvl w:val="0"/>
          <w:numId w:val="5"/>
        </w:numPr>
        <w:shd w:val="clear" w:color="auto" w:fill="auto"/>
        <w:tabs>
          <w:tab w:val="left" w:pos="419"/>
        </w:tabs>
        <w:spacing w:after="280" w:line="278" w:lineRule="exact"/>
        <w:ind w:left="440" w:hanging="440"/>
        <w:jc w:val="both"/>
      </w:pPr>
      <w:r>
        <w:t xml:space="preserve">Podnájemce je oprávněn vypovědět podnájem bez výpovědní doby v případě, pokud se ukáže, že podnajaté prostory nejsou způsobilé k užívání </w:t>
      </w:r>
      <w:r>
        <w:t>pro účel, pro který byly podnajaty a/nebo nájemce přestane být oprávněn Předmět podnájmu podnajímat.</w:t>
      </w:r>
    </w:p>
    <w:p w:rsidR="00607EE0" w:rsidRDefault="00851C89" w:rsidP="001F17E3">
      <w:pPr>
        <w:pStyle w:val="Bodytext20"/>
        <w:framePr w:w="9149" w:h="7426" w:hRule="exact" w:wrap="none" w:vAnchor="page" w:hAnchor="page" w:x="1352" w:y="1297"/>
        <w:numPr>
          <w:ilvl w:val="0"/>
          <w:numId w:val="5"/>
        </w:numPr>
        <w:shd w:val="clear" w:color="auto" w:fill="auto"/>
        <w:tabs>
          <w:tab w:val="left" w:pos="419"/>
        </w:tabs>
        <w:spacing w:after="276" w:line="278" w:lineRule="exact"/>
        <w:ind w:left="440" w:right="800" w:hanging="440"/>
      </w:pPr>
      <w:r>
        <w:t>Písemné úkony dle této smlouvy se předávají buď osobě oprávněné jednat jménem druhé smluvní strany, nebo se zasílají poštou na adresu uvedenou v záhlaví té</w:t>
      </w:r>
      <w:r>
        <w:t>to smlouvy.</w:t>
      </w:r>
    </w:p>
    <w:p w:rsidR="00607EE0" w:rsidRDefault="00851C89" w:rsidP="001F17E3">
      <w:pPr>
        <w:pStyle w:val="Bodytext20"/>
        <w:framePr w:w="9149" w:h="7426" w:hRule="exact" w:wrap="none" w:vAnchor="page" w:hAnchor="page" w:x="1352" w:y="1297"/>
        <w:shd w:val="clear" w:color="auto" w:fill="auto"/>
        <w:spacing w:after="311" w:line="283" w:lineRule="exact"/>
        <w:ind w:left="440" w:firstLine="0"/>
        <w:jc w:val="both"/>
      </w:pPr>
      <w:r>
        <w:t>V případě, že se písemnost vrátí z této adresy jako nedoručitelná, nebo druhá strana bezdůvodně odmítne její přijetí, platí den vrácení písemnosti za den doručení.</w:t>
      </w:r>
    </w:p>
    <w:p w:rsidR="00607EE0" w:rsidRDefault="00851C89" w:rsidP="001F17E3">
      <w:pPr>
        <w:pStyle w:val="Heading10"/>
        <w:framePr w:w="9149" w:h="7426" w:hRule="exact" w:wrap="none" w:vAnchor="page" w:hAnchor="page" w:x="1352" w:y="1297"/>
        <w:shd w:val="clear" w:color="auto" w:fill="auto"/>
        <w:spacing w:before="0" w:line="244" w:lineRule="exact"/>
        <w:jc w:val="center"/>
      </w:pPr>
      <w:bookmarkStart w:id="8" w:name="bookmark8"/>
      <w:r>
        <w:t>Článek 6</w:t>
      </w:r>
      <w:bookmarkEnd w:id="8"/>
    </w:p>
    <w:p w:rsidR="00607EE0" w:rsidRDefault="00851C89" w:rsidP="001F17E3">
      <w:pPr>
        <w:pStyle w:val="Bodytext30"/>
        <w:framePr w:w="9149" w:h="7426" w:hRule="exact" w:wrap="none" w:vAnchor="page" w:hAnchor="page" w:x="1352" w:y="1297"/>
        <w:shd w:val="clear" w:color="auto" w:fill="auto"/>
        <w:spacing w:after="268"/>
      </w:pPr>
      <w:r>
        <w:t>Závěrečná ustanovení</w:t>
      </w:r>
    </w:p>
    <w:p w:rsidR="00607EE0" w:rsidRDefault="00851C89" w:rsidP="001F17E3">
      <w:pPr>
        <w:pStyle w:val="Bodytext20"/>
        <w:framePr w:w="9149" w:h="7426" w:hRule="exact" w:wrap="none" w:vAnchor="page" w:hAnchor="page" w:x="1352" w:y="1297"/>
        <w:numPr>
          <w:ilvl w:val="0"/>
          <w:numId w:val="6"/>
        </w:numPr>
        <w:shd w:val="clear" w:color="auto" w:fill="auto"/>
        <w:tabs>
          <w:tab w:val="left" w:pos="419"/>
        </w:tabs>
        <w:spacing w:after="292" w:line="259" w:lineRule="exact"/>
        <w:ind w:left="440" w:hanging="440"/>
        <w:jc w:val="both"/>
      </w:pPr>
      <w:r>
        <w:t>Smlouva byla vyhotovena ve 2 vyhotoveních, z nichž</w:t>
      </w:r>
      <w:r>
        <w:t xml:space="preserve"> každé má povahu originálu. Každý z účastníků obdrží po jednom vyhotovení.</w:t>
      </w:r>
    </w:p>
    <w:p w:rsidR="00607EE0" w:rsidRDefault="00851C89" w:rsidP="001F17E3">
      <w:pPr>
        <w:pStyle w:val="Bodytext20"/>
        <w:framePr w:w="9149" w:h="7426" w:hRule="exact" w:wrap="none" w:vAnchor="page" w:hAnchor="page" w:x="1352" w:y="1297"/>
        <w:numPr>
          <w:ilvl w:val="0"/>
          <w:numId w:val="6"/>
        </w:numPr>
        <w:shd w:val="clear" w:color="auto" w:fill="auto"/>
        <w:tabs>
          <w:tab w:val="left" w:pos="419"/>
        </w:tabs>
        <w:spacing w:after="0"/>
        <w:ind w:left="440" w:hanging="440"/>
        <w:jc w:val="both"/>
      </w:pPr>
      <w:r>
        <w:t>Smlouva nabývá platnosti dnem podpisu všemi účastníky.</w:t>
      </w:r>
    </w:p>
    <w:p w:rsidR="00607EE0" w:rsidRDefault="00851C89">
      <w:pPr>
        <w:pStyle w:val="Bodytext20"/>
        <w:framePr w:wrap="none" w:vAnchor="page" w:hAnchor="page" w:x="1352" w:y="8736"/>
        <w:shd w:val="clear" w:color="auto" w:fill="auto"/>
        <w:spacing w:after="0"/>
        <w:ind w:left="440" w:hanging="440"/>
        <w:jc w:val="both"/>
      </w:pPr>
      <w:r>
        <w:t>V Praze dne 31.10.2019</w:t>
      </w:r>
    </w:p>
    <w:p w:rsidR="00607EE0" w:rsidRDefault="00851C89">
      <w:pPr>
        <w:pStyle w:val="Bodytext20"/>
        <w:framePr w:wrap="none" w:vAnchor="page" w:hAnchor="page" w:x="1352" w:y="9572"/>
        <w:shd w:val="clear" w:color="auto" w:fill="auto"/>
        <w:spacing w:after="0"/>
        <w:ind w:firstLine="0"/>
      </w:pPr>
      <w:r>
        <w:t>Nájemce:</w:t>
      </w:r>
    </w:p>
    <w:p w:rsidR="00607EE0" w:rsidRDefault="00851C89">
      <w:pPr>
        <w:pStyle w:val="Bodytext20"/>
        <w:framePr w:wrap="none" w:vAnchor="page" w:hAnchor="page" w:x="1352" w:y="9562"/>
        <w:shd w:val="clear" w:color="auto" w:fill="auto"/>
        <w:spacing w:after="0"/>
        <w:ind w:left="4986" w:right="3422" w:hanging="440"/>
        <w:jc w:val="both"/>
      </w:pPr>
      <w:r>
        <w:t>Podnájemce:</w:t>
      </w:r>
    </w:p>
    <w:p w:rsidR="00607EE0" w:rsidRDefault="00851C89">
      <w:pPr>
        <w:pStyle w:val="Bodytext20"/>
        <w:framePr w:w="9149" w:h="566" w:hRule="exact" w:wrap="none" w:vAnchor="page" w:hAnchor="page" w:x="1352" w:y="10956"/>
        <w:shd w:val="clear" w:color="auto" w:fill="auto"/>
        <w:spacing w:after="0" w:line="254" w:lineRule="exact"/>
        <w:ind w:left="5" w:firstLine="0"/>
      </w:pPr>
      <w:r>
        <w:t>Daniela Koryntová</w:t>
      </w:r>
      <w:r>
        <w:br/>
        <w:t>vedoucí odštěpného závodu</w:t>
      </w:r>
    </w:p>
    <w:p w:rsidR="00607EE0" w:rsidRDefault="00851C89">
      <w:pPr>
        <w:pStyle w:val="Bodytext20"/>
        <w:framePr w:w="1800" w:h="575" w:hRule="exact" w:wrap="none" w:vAnchor="page" w:hAnchor="page" w:x="5883" w:y="10942"/>
        <w:shd w:val="clear" w:color="auto" w:fill="auto"/>
        <w:spacing w:after="0" w:line="259" w:lineRule="exact"/>
        <w:ind w:firstLine="0"/>
        <w:jc w:val="both"/>
      </w:pPr>
      <w:r>
        <w:t>Bc. Egon Kulhánek ředitel</w:t>
      </w:r>
    </w:p>
    <w:p w:rsidR="00607EE0" w:rsidRDefault="00607EE0">
      <w:pPr>
        <w:rPr>
          <w:sz w:val="2"/>
          <w:szCs w:val="2"/>
        </w:rPr>
      </w:pPr>
      <w:bookmarkStart w:id="9" w:name="_GoBack"/>
      <w:bookmarkEnd w:id="9"/>
    </w:p>
    <w:sectPr w:rsidR="00607EE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C89" w:rsidRDefault="00851C89">
      <w:r>
        <w:separator/>
      </w:r>
    </w:p>
  </w:endnote>
  <w:endnote w:type="continuationSeparator" w:id="0">
    <w:p w:rsidR="00851C89" w:rsidRDefault="0085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C89" w:rsidRDefault="00851C89"/>
  </w:footnote>
  <w:footnote w:type="continuationSeparator" w:id="0">
    <w:p w:rsidR="00851C89" w:rsidRDefault="00851C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139"/>
    <w:multiLevelType w:val="multilevel"/>
    <w:tmpl w:val="E202E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3E0F49"/>
    <w:multiLevelType w:val="multilevel"/>
    <w:tmpl w:val="2F30A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C23904"/>
    <w:multiLevelType w:val="multilevel"/>
    <w:tmpl w:val="2BD04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B3101E"/>
    <w:multiLevelType w:val="multilevel"/>
    <w:tmpl w:val="1CE4B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484CCA"/>
    <w:multiLevelType w:val="multilevel"/>
    <w:tmpl w:val="32265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A356C7"/>
    <w:multiLevelType w:val="multilevel"/>
    <w:tmpl w:val="B128F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07EE0"/>
    <w:rsid w:val="001F17E3"/>
    <w:rsid w:val="00607EE0"/>
    <w:rsid w:val="00851C89"/>
    <w:rsid w:val="00907110"/>
    <w:rsid w:val="00C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1742"/>
  <w15:docId w15:val="{F580C782-F555-4CD5-8E0A-80E569E7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300" w:line="244" w:lineRule="exact"/>
      <w:ind w:hanging="460"/>
    </w:pPr>
    <w:rPr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300" w:line="250" w:lineRule="exact"/>
      <w:outlineLvl w:val="0"/>
    </w:pPr>
    <w:rPr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140" w:line="244" w:lineRule="exact"/>
      <w:jc w:val="center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1135</Words>
  <Characters>6700</Characters>
  <Application>Microsoft Office Word</Application>
  <DocSecurity>0</DocSecurity>
  <Lines>55</Lines>
  <Paragraphs>15</Paragraphs>
  <ScaleCrop>false</ScaleCrop>
  <Company>Hudební divadlo Karlín</Company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4</cp:revision>
  <dcterms:created xsi:type="dcterms:W3CDTF">2019-11-13T15:17:00Z</dcterms:created>
  <dcterms:modified xsi:type="dcterms:W3CDTF">2019-11-13T15:24:00Z</dcterms:modified>
</cp:coreProperties>
</file>