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90" w:rsidRDefault="00DF5D90" w:rsidP="00DF5D90"/>
    <w:tbl>
      <w:tblPr>
        <w:tblW w:w="9228" w:type="dxa"/>
        <w:tblLayout w:type="fixed"/>
        <w:tblCellMar>
          <w:left w:w="0" w:type="dxa"/>
          <w:right w:w="0" w:type="dxa"/>
        </w:tblCellMar>
        <w:tblLook w:val="0000" w:firstRow="0" w:lastRow="0" w:firstColumn="0" w:lastColumn="0" w:noHBand="0" w:noVBand="0"/>
      </w:tblPr>
      <w:tblGrid>
        <w:gridCol w:w="9228"/>
      </w:tblGrid>
      <w:tr w:rsidR="00DF5D90" w:rsidRPr="00F04881" w:rsidTr="00DF5D90">
        <w:trPr>
          <w:trHeight w:val="1258"/>
        </w:trPr>
        <w:tc>
          <w:tcPr>
            <w:tcW w:w="9228" w:type="dxa"/>
          </w:tcPr>
          <w:p w:rsidR="00DF5D90" w:rsidRPr="009E482C" w:rsidRDefault="00DF5D90" w:rsidP="00DF5D90">
            <w:pPr>
              <w:ind w:right="-108"/>
              <w:jc w:val="both"/>
              <w:rPr>
                <w:color w:val="000000"/>
              </w:rPr>
            </w:pPr>
            <w:r w:rsidRPr="009E482C">
              <w:rPr>
                <w:b/>
                <w:bCs/>
                <w:color w:val="000000"/>
              </w:rPr>
              <w:t xml:space="preserve">Deloitte Advisory s.r.o. </w:t>
            </w:r>
          </w:p>
          <w:p w:rsidR="00DF5D90" w:rsidRPr="009E482C" w:rsidRDefault="00DF5D90" w:rsidP="00716C8B">
            <w:pPr>
              <w:jc w:val="both"/>
              <w:rPr>
                <w:iCs/>
                <w:color w:val="000000"/>
              </w:rPr>
            </w:pPr>
            <w:r w:rsidRPr="009E482C">
              <w:rPr>
                <w:iCs/>
                <w:color w:val="000000"/>
              </w:rPr>
              <w:t>with i</w:t>
            </w:r>
            <w:r w:rsidR="00716C8B" w:rsidRPr="009E482C">
              <w:rPr>
                <w:iCs/>
                <w:color w:val="000000"/>
              </w:rPr>
              <w:t>ts registered office at Prague 2</w:t>
            </w:r>
            <w:r w:rsidRPr="009E482C">
              <w:rPr>
                <w:iCs/>
                <w:color w:val="000000"/>
              </w:rPr>
              <w:t xml:space="preserve">, </w:t>
            </w:r>
            <w:r w:rsidR="00716C8B" w:rsidRPr="009E482C">
              <w:rPr>
                <w:iCs/>
                <w:color w:val="000000"/>
              </w:rPr>
              <w:t>Italská 2581/67</w:t>
            </w:r>
            <w:r w:rsidRPr="009E482C">
              <w:rPr>
                <w:iCs/>
                <w:color w:val="000000"/>
              </w:rPr>
              <w:t xml:space="preserve">, Postal Code </w:t>
            </w:r>
            <w:r w:rsidR="00716C8B" w:rsidRPr="009E482C">
              <w:rPr>
                <w:iCs/>
                <w:color w:val="000000"/>
              </w:rPr>
              <w:t>120 00</w:t>
            </w:r>
            <w:r w:rsidRPr="009E482C">
              <w:rPr>
                <w:iCs/>
                <w:color w:val="000000"/>
              </w:rPr>
              <w:t xml:space="preserve">, Czech Republic, Identification No. 275 82 167, registered in the Commercial Register maintained by the Municipal Court in Prague, Section C, Insert 113225, represented by </w:t>
            </w:r>
            <w:r w:rsidR="00EE57A7" w:rsidRPr="00EB178B">
              <w:rPr>
                <w:bCs/>
                <w:color w:val="000000"/>
              </w:rPr>
              <w:t>Marek Romancov</w:t>
            </w:r>
            <w:r w:rsidRPr="00EB178B">
              <w:rPr>
                <w:iCs/>
                <w:color w:val="000000"/>
              </w:rPr>
              <w:t>, based on a power of attorney</w:t>
            </w:r>
            <w:r w:rsidRPr="009E482C">
              <w:rPr>
                <w:iCs/>
                <w:color w:val="000000"/>
              </w:rPr>
              <w:t xml:space="preserve"> (hereinafter “Deloitte”)</w:t>
            </w:r>
          </w:p>
        </w:tc>
      </w:tr>
      <w:tr w:rsidR="00DF5D90" w:rsidRPr="00A25332" w:rsidTr="00DF5D90">
        <w:tc>
          <w:tcPr>
            <w:tcW w:w="9228" w:type="dxa"/>
          </w:tcPr>
          <w:p w:rsidR="00DF5D90" w:rsidRPr="009E482C" w:rsidRDefault="00DF5D90" w:rsidP="001A2C32">
            <w:pPr>
              <w:ind w:right="-108"/>
              <w:jc w:val="both"/>
              <w:rPr>
                <w:i/>
                <w:color w:val="000000"/>
                <w:lang w:val="cs-CZ"/>
              </w:rPr>
            </w:pPr>
            <w:r w:rsidRPr="009E482C">
              <w:rPr>
                <w:b/>
                <w:bCs/>
                <w:i/>
                <w:color w:val="000000"/>
                <w:lang w:val="cs-CZ"/>
              </w:rPr>
              <w:t xml:space="preserve">Deloitte Advisory s.r.o. </w:t>
            </w:r>
          </w:p>
          <w:p w:rsidR="00DF5D90" w:rsidRPr="009E482C" w:rsidRDefault="00716C8B" w:rsidP="00DF5D90">
            <w:pPr>
              <w:jc w:val="both"/>
              <w:rPr>
                <w:i/>
                <w:color w:val="000000"/>
                <w:lang w:val="cs-CZ"/>
              </w:rPr>
            </w:pPr>
            <w:r w:rsidRPr="009E482C">
              <w:rPr>
                <w:i/>
                <w:color w:val="000000"/>
                <w:lang w:val="cs-CZ"/>
              </w:rPr>
              <w:t>se sídlem Praha 2</w:t>
            </w:r>
            <w:r w:rsidR="00DF5D90" w:rsidRPr="009E482C">
              <w:rPr>
                <w:i/>
                <w:color w:val="000000"/>
                <w:lang w:val="cs-CZ"/>
              </w:rPr>
              <w:t xml:space="preserve">, </w:t>
            </w:r>
            <w:r w:rsidRPr="009E482C">
              <w:rPr>
                <w:i/>
                <w:color w:val="000000"/>
                <w:lang w:val="cs-CZ"/>
              </w:rPr>
              <w:t>Italská 2581/67</w:t>
            </w:r>
            <w:r w:rsidR="00DF5D90" w:rsidRPr="009E482C">
              <w:rPr>
                <w:i/>
                <w:color w:val="000000"/>
                <w:lang w:val="cs-CZ"/>
              </w:rPr>
              <w:t xml:space="preserve">, PSČ </w:t>
            </w:r>
            <w:r w:rsidRPr="009E482C">
              <w:rPr>
                <w:i/>
                <w:color w:val="000000"/>
                <w:lang w:val="cs-CZ"/>
              </w:rPr>
              <w:t>120 00</w:t>
            </w:r>
            <w:r w:rsidR="00DF5D90" w:rsidRPr="009E482C">
              <w:rPr>
                <w:i/>
                <w:color w:val="000000"/>
                <w:lang w:val="cs-CZ"/>
              </w:rPr>
              <w:t xml:space="preserve">, Česká republika, IČO: 275 82 167, společnost zapsaná v obchodním rejstříku vedeném Městským soudem v Praze, oddíl C, vložka 113225, zastoupená panem </w:t>
            </w:r>
            <w:r w:rsidR="00EE57A7" w:rsidRPr="009E482C">
              <w:rPr>
                <w:bCs/>
                <w:i/>
                <w:color w:val="000000"/>
                <w:lang w:val="cs-CZ"/>
              </w:rPr>
              <w:t>Markem Romancovem</w:t>
            </w:r>
            <w:r w:rsidR="00DF5D90" w:rsidRPr="009E482C">
              <w:rPr>
                <w:i/>
                <w:color w:val="000000"/>
                <w:lang w:val="cs-CZ"/>
              </w:rPr>
              <w:t>, na základě plné moci (dále jen „Deloitte“)</w:t>
            </w:r>
          </w:p>
          <w:p w:rsidR="00304B59" w:rsidRPr="009E482C" w:rsidRDefault="00304B59" w:rsidP="00DF5D90">
            <w:pPr>
              <w:jc w:val="both"/>
              <w:rPr>
                <w:i/>
                <w:color w:val="000000"/>
                <w:lang w:val="cs-CZ"/>
              </w:rPr>
            </w:pPr>
          </w:p>
          <w:p w:rsidR="00DF5D90" w:rsidRPr="009E482C" w:rsidRDefault="00DF5D90" w:rsidP="00DF5D90">
            <w:pPr>
              <w:jc w:val="both"/>
              <w:rPr>
                <w:i/>
                <w:color w:val="000000"/>
                <w:lang w:val="cs-CZ"/>
              </w:rPr>
            </w:pPr>
          </w:p>
          <w:p w:rsidR="00275810" w:rsidRPr="009E482C" w:rsidRDefault="00275810" w:rsidP="00DF5D90">
            <w:pPr>
              <w:jc w:val="both"/>
              <w:rPr>
                <w:i/>
                <w:color w:val="000000"/>
                <w:lang w:val="cs-CZ"/>
              </w:rPr>
            </w:pPr>
          </w:p>
        </w:tc>
      </w:tr>
      <w:tr w:rsidR="00DF5D90" w:rsidRPr="00F04881" w:rsidTr="00DF5D90">
        <w:tc>
          <w:tcPr>
            <w:tcW w:w="9228" w:type="dxa"/>
          </w:tcPr>
          <w:p w:rsidR="00DF5D90" w:rsidRDefault="00DF5D90" w:rsidP="00DF5D90">
            <w:pPr>
              <w:rPr>
                <w:i/>
              </w:rPr>
            </w:pPr>
            <w:r w:rsidRPr="00F04881">
              <w:t xml:space="preserve">and </w:t>
            </w:r>
            <w:r>
              <w:rPr>
                <w:i/>
              </w:rPr>
              <w:t>/ a</w:t>
            </w:r>
          </w:p>
          <w:p w:rsidR="00DF5D90" w:rsidRPr="00F04881" w:rsidRDefault="00DF5D90" w:rsidP="00DF5D90">
            <w:pPr>
              <w:rPr>
                <w:b/>
                <w:bCs/>
                <w:color w:val="000000"/>
              </w:rPr>
            </w:pPr>
          </w:p>
        </w:tc>
      </w:tr>
      <w:tr w:rsidR="00DF5D90" w:rsidRPr="00F04881" w:rsidTr="00DF5D90">
        <w:tc>
          <w:tcPr>
            <w:tcW w:w="9228" w:type="dxa"/>
          </w:tcPr>
          <w:p w:rsidR="001402AD" w:rsidRPr="009E482C" w:rsidRDefault="001402AD" w:rsidP="001402AD">
            <w:pPr>
              <w:rPr>
                <w:b/>
                <w:bCs/>
              </w:rPr>
            </w:pPr>
          </w:p>
          <w:p w:rsidR="00DF5D90" w:rsidRPr="009E482C" w:rsidRDefault="008F4A80" w:rsidP="001402AD">
            <w:pPr>
              <w:rPr>
                <w:b/>
                <w:bCs/>
              </w:rPr>
            </w:pPr>
            <w:r w:rsidRPr="008F4A80">
              <w:rPr>
                <w:b/>
                <w:bCs/>
              </w:rPr>
              <w:t>Sportovní zařízení města Příbram</w:t>
            </w:r>
          </w:p>
        </w:tc>
      </w:tr>
      <w:tr w:rsidR="0062716B" w:rsidRPr="00F04881" w:rsidTr="00DF5D90">
        <w:tc>
          <w:tcPr>
            <w:tcW w:w="9228" w:type="dxa"/>
          </w:tcPr>
          <w:p w:rsidR="0062716B" w:rsidRPr="00FC68F9" w:rsidRDefault="0062716B" w:rsidP="008F4A80">
            <w:pPr>
              <w:jc w:val="both"/>
              <w:rPr>
                <w:szCs w:val="18"/>
              </w:rPr>
            </w:pPr>
            <w:r w:rsidRPr="00FC68F9">
              <w:rPr>
                <w:szCs w:val="18"/>
              </w:rPr>
              <w:t xml:space="preserve">with seat at: </w:t>
            </w:r>
            <w:r w:rsidR="008F4A80" w:rsidRPr="008F4A80">
              <w:rPr>
                <w:szCs w:val="18"/>
              </w:rPr>
              <w:t>Legionářů 378, Příbram VII</w:t>
            </w:r>
            <w:r w:rsidRPr="00FC68F9">
              <w:rPr>
                <w:szCs w:val="18"/>
              </w:rPr>
              <w:t xml:space="preserve">, Postal Code: </w:t>
            </w:r>
            <w:r w:rsidR="008F4A80" w:rsidRPr="008F4A80">
              <w:rPr>
                <w:szCs w:val="18"/>
              </w:rPr>
              <w:t>261 01</w:t>
            </w:r>
            <w:r w:rsidRPr="00FC68F9">
              <w:rPr>
                <w:szCs w:val="18"/>
              </w:rPr>
              <w:t>, C</w:t>
            </w:r>
            <w:r>
              <w:rPr>
                <w:szCs w:val="18"/>
              </w:rPr>
              <w:t>zech R</w:t>
            </w:r>
            <w:r w:rsidRPr="00FC68F9">
              <w:rPr>
                <w:szCs w:val="18"/>
              </w:rPr>
              <w:t>epublic,</w:t>
            </w:r>
            <w:r>
              <w:rPr>
                <w:szCs w:val="18"/>
              </w:rPr>
              <w:t xml:space="preserve"> </w:t>
            </w:r>
            <w:r w:rsidRPr="00FC68F9">
              <w:rPr>
                <w:szCs w:val="18"/>
              </w:rPr>
              <w:t xml:space="preserve">Identification No.: </w:t>
            </w:r>
            <w:r w:rsidR="008F4A80" w:rsidRPr="008F4A80">
              <w:rPr>
                <w:rStyle w:val="nowrap"/>
              </w:rPr>
              <w:t>71217975</w:t>
            </w:r>
            <w:r w:rsidRPr="00FC68F9">
              <w:rPr>
                <w:szCs w:val="18"/>
              </w:rPr>
              <w:t xml:space="preserve">, registered under the laws of the Czech republic in the Commercial register maintained by </w:t>
            </w:r>
            <w:r w:rsidR="008F4A80">
              <w:rPr>
                <w:szCs w:val="18"/>
              </w:rPr>
              <w:t>Municipal</w:t>
            </w:r>
            <w:r w:rsidRPr="00FC68F9">
              <w:rPr>
                <w:szCs w:val="18"/>
              </w:rPr>
              <w:t xml:space="preserve"> Court in </w:t>
            </w:r>
            <w:r w:rsidR="008F4A80">
              <w:rPr>
                <w:szCs w:val="18"/>
              </w:rPr>
              <w:t>Prague</w:t>
            </w:r>
            <w:r w:rsidRPr="00FC68F9">
              <w:rPr>
                <w:szCs w:val="18"/>
              </w:rPr>
              <w:t xml:space="preserve">, file No.: </w:t>
            </w:r>
            <w:r w:rsidR="008F4A80">
              <w:rPr>
                <w:color w:val="333333"/>
                <w:szCs w:val="18"/>
              </w:rPr>
              <w:t>Pr 1062</w:t>
            </w:r>
            <w:r w:rsidR="008F4A80">
              <w:rPr>
                <w:szCs w:val="18"/>
              </w:rPr>
              <w:t xml:space="preserve"> </w:t>
            </w:r>
            <w:r>
              <w:rPr>
                <w:szCs w:val="18"/>
              </w:rPr>
              <w:t>(hereinafter “Client”)</w:t>
            </w:r>
          </w:p>
        </w:tc>
      </w:tr>
      <w:tr w:rsidR="00DF5D90" w:rsidRPr="00F04881" w:rsidTr="00DF5D90">
        <w:tc>
          <w:tcPr>
            <w:tcW w:w="9228" w:type="dxa"/>
          </w:tcPr>
          <w:p w:rsidR="001402AD" w:rsidRPr="009E482C" w:rsidRDefault="001402AD" w:rsidP="001402AD">
            <w:pPr>
              <w:rPr>
                <w:b/>
                <w:bCs/>
              </w:rPr>
            </w:pPr>
          </w:p>
          <w:p w:rsidR="00DF5D90" w:rsidRPr="009E482C" w:rsidRDefault="008F4A80" w:rsidP="001402AD">
            <w:pPr>
              <w:rPr>
                <w:b/>
                <w:bCs/>
                <w:i/>
                <w:color w:val="000000"/>
              </w:rPr>
            </w:pPr>
            <w:r w:rsidRPr="008F4A80">
              <w:rPr>
                <w:b/>
                <w:bCs/>
              </w:rPr>
              <w:t>Sportovní zařízení města Příbram</w:t>
            </w:r>
          </w:p>
        </w:tc>
      </w:tr>
      <w:tr w:rsidR="00DF5D90" w:rsidRPr="00C764AD" w:rsidTr="00F05359">
        <w:trPr>
          <w:trHeight w:val="62"/>
        </w:trPr>
        <w:tc>
          <w:tcPr>
            <w:tcW w:w="9228" w:type="dxa"/>
          </w:tcPr>
          <w:p w:rsidR="00DF5D90" w:rsidRPr="0062716B" w:rsidRDefault="0062716B" w:rsidP="005D06FD">
            <w:pPr>
              <w:jc w:val="both"/>
              <w:rPr>
                <w:i/>
                <w:szCs w:val="18"/>
              </w:rPr>
            </w:pPr>
            <w:r w:rsidRPr="008B343A">
              <w:rPr>
                <w:i/>
                <w:szCs w:val="18"/>
              </w:rPr>
              <w:t xml:space="preserve">se sídlem: </w:t>
            </w:r>
            <w:r w:rsidR="008F4A80" w:rsidRPr="008F4A80">
              <w:rPr>
                <w:i/>
                <w:szCs w:val="18"/>
              </w:rPr>
              <w:t>Legionářů 378, Příbram VII</w:t>
            </w:r>
            <w:r w:rsidR="008F4A80">
              <w:rPr>
                <w:i/>
                <w:szCs w:val="18"/>
              </w:rPr>
              <w:t>,</w:t>
            </w:r>
            <w:r w:rsidRPr="008B343A">
              <w:rPr>
                <w:i/>
                <w:szCs w:val="18"/>
              </w:rPr>
              <w:t xml:space="preserve"> PSČ: </w:t>
            </w:r>
            <w:r w:rsidR="008F4A80" w:rsidRPr="008F4A80">
              <w:rPr>
                <w:i/>
                <w:szCs w:val="18"/>
              </w:rPr>
              <w:t>261 01</w:t>
            </w:r>
            <w:r w:rsidRPr="008B343A">
              <w:rPr>
                <w:i/>
                <w:szCs w:val="18"/>
              </w:rPr>
              <w:t xml:space="preserve">, </w:t>
            </w:r>
            <w:r>
              <w:rPr>
                <w:i/>
                <w:szCs w:val="18"/>
              </w:rPr>
              <w:t>Česká republika,</w:t>
            </w:r>
            <w:r w:rsidRPr="008B343A">
              <w:rPr>
                <w:i/>
                <w:szCs w:val="18"/>
              </w:rPr>
              <w:t xml:space="preserve"> IČO: </w:t>
            </w:r>
            <w:r w:rsidR="008F4A80" w:rsidRPr="008F4A80">
              <w:rPr>
                <w:rStyle w:val="nowrap"/>
                <w:i/>
              </w:rPr>
              <w:t>71217975</w:t>
            </w:r>
            <w:r w:rsidRPr="008B343A">
              <w:rPr>
                <w:i/>
                <w:szCs w:val="18"/>
              </w:rPr>
              <w:t xml:space="preserve">, zapsaná dle právního řádu </w:t>
            </w:r>
            <w:r>
              <w:rPr>
                <w:i/>
                <w:szCs w:val="18"/>
              </w:rPr>
              <w:t xml:space="preserve">České republiky </w:t>
            </w:r>
            <w:r w:rsidRPr="008B343A">
              <w:rPr>
                <w:i/>
                <w:szCs w:val="18"/>
              </w:rPr>
              <w:t>v</w:t>
            </w:r>
            <w:r>
              <w:rPr>
                <w:i/>
                <w:szCs w:val="18"/>
              </w:rPr>
              <w:t> Obchodním rejstříku</w:t>
            </w:r>
            <w:r w:rsidRPr="008B343A">
              <w:rPr>
                <w:i/>
                <w:szCs w:val="18"/>
              </w:rPr>
              <w:t xml:space="preserve"> vedeném </w:t>
            </w:r>
            <w:r>
              <w:rPr>
                <w:i/>
                <w:szCs w:val="18"/>
              </w:rPr>
              <w:t xml:space="preserve">u </w:t>
            </w:r>
            <w:r w:rsidR="008F4A80">
              <w:rPr>
                <w:i/>
                <w:szCs w:val="18"/>
              </w:rPr>
              <w:t>Městského</w:t>
            </w:r>
            <w:r>
              <w:rPr>
                <w:i/>
                <w:szCs w:val="18"/>
              </w:rPr>
              <w:t xml:space="preserve"> soudu</w:t>
            </w:r>
            <w:r w:rsidRPr="008B343A">
              <w:rPr>
                <w:i/>
                <w:szCs w:val="18"/>
              </w:rPr>
              <w:t xml:space="preserve"> v</w:t>
            </w:r>
            <w:r>
              <w:rPr>
                <w:i/>
                <w:szCs w:val="18"/>
              </w:rPr>
              <w:t> </w:t>
            </w:r>
            <w:r w:rsidR="005D06FD">
              <w:rPr>
                <w:i/>
                <w:szCs w:val="18"/>
              </w:rPr>
              <w:t>Praze</w:t>
            </w:r>
            <w:r w:rsidRPr="008B343A">
              <w:rPr>
                <w:i/>
                <w:szCs w:val="18"/>
              </w:rPr>
              <w:t xml:space="preserve">, spis. zn.: </w:t>
            </w:r>
            <w:r w:rsidR="008F4A80" w:rsidRPr="008F4A80">
              <w:rPr>
                <w:i/>
                <w:szCs w:val="18"/>
              </w:rPr>
              <w:t>Pr 1062</w:t>
            </w:r>
            <w:r w:rsidRPr="008B343A">
              <w:rPr>
                <w:i/>
                <w:szCs w:val="18"/>
              </w:rPr>
              <w:t>, (dále jen „</w:t>
            </w:r>
            <w:r w:rsidRPr="00436A90">
              <w:rPr>
                <w:i/>
                <w:szCs w:val="18"/>
              </w:rPr>
              <w:t>Klient</w:t>
            </w:r>
            <w:r w:rsidRPr="008B343A">
              <w:rPr>
                <w:i/>
                <w:szCs w:val="18"/>
              </w:rPr>
              <w:t>“)</w:t>
            </w:r>
          </w:p>
        </w:tc>
      </w:tr>
    </w:tbl>
    <w:p w:rsidR="00DF5D90" w:rsidRPr="009321EA" w:rsidRDefault="00DF5D90" w:rsidP="0009507E">
      <w:pPr>
        <w:spacing w:before="240" w:after="120"/>
        <w:jc w:val="both"/>
        <w:rPr>
          <w:b/>
        </w:rPr>
      </w:pPr>
      <w:r w:rsidRPr="009321EA">
        <w:t xml:space="preserve">have agreed to conclude this </w:t>
      </w:r>
      <w:r>
        <w:t>Engagement Letter</w:t>
      </w:r>
      <w:r w:rsidRPr="009321EA">
        <w:t xml:space="preserve"> for </w:t>
      </w:r>
      <w:r>
        <w:t xml:space="preserve">the </w:t>
      </w:r>
      <w:r w:rsidR="003C1742">
        <w:t>provision of tax advisory services</w:t>
      </w:r>
      <w:r w:rsidRPr="009321EA">
        <w:t xml:space="preserve"> (hereinafter </w:t>
      </w:r>
      <w:r>
        <w:t xml:space="preserve">the </w:t>
      </w:r>
      <w:r w:rsidRPr="009321EA">
        <w:t>“</w:t>
      </w:r>
      <w:r>
        <w:t>Engagement Letter</w:t>
      </w:r>
      <w:r w:rsidRPr="009321EA">
        <w:t>”)</w:t>
      </w:r>
      <w:r>
        <w:t xml:space="preserve"> </w:t>
      </w:r>
      <w:r w:rsidRPr="00737B49">
        <w:rPr>
          <w:bCs/>
          <w:iCs/>
          <w:lang w:val="en-GB"/>
        </w:rPr>
        <w:t>in accordance with Section 1746</w:t>
      </w:r>
      <w:r>
        <w:rPr>
          <w:bCs/>
          <w:iCs/>
          <w:lang w:val="en-GB"/>
        </w:rPr>
        <w:t xml:space="preserve"> </w:t>
      </w:r>
      <w:r w:rsidRPr="00737B49">
        <w:rPr>
          <w:bCs/>
          <w:iCs/>
          <w:lang w:val="en-GB"/>
        </w:rPr>
        <w:t>(2) of Act No. 89/2012 Coll., Civil Code (hereinafter “Civil Code”)</w:t>
      </w:r>
      <w:r>
        <w:rPr>
          <w:bCs/>
          <w:iCs/>
          <w:lang w:val="en-GB"/>
        </w:rPr>
        <w:t xml:space="preserve"> and in accordance with the Act No. </w:t>
      </w:r>
      <w:r w:rsidRPr="001563F0">
        <w:rPr>
          <w:bCs/>
          <w:iCs/>
          <w:lang w:val="en-GB"/>
        </w:rPr>
        <w:t>523/1992 Coll., on tax advisory services and the Chamber of Tax Advisers of the Czech Republic, as amended (hereinafter the „Act on Tax Advisory“)</w:t>
      </w:r>
      <w:r w:rsidRPr="009321EA">
        <w:t>.</w:t>
      </w:r>
    </w:p>
    <w:p w:rsidR="00DF5D90" w:rsidRDefault="00DF5D90" w:rsidP="005D06FD">
      <w:pPr>
        <w:spacing w:before="240"/>
        <w:jc w:val="both"/>
        <w:rPr>
          <w:i/>
          <w:lang w:val="cs-CZ"/>
        </w:rPr>
      </w:pPr>
      <w:r w:rsidRPr="003A2694">
        <w:rPr>
          <w:i/>
          <w:lang w:val="cs-CZ"/>
        </w:rPr>
        <w:t>se dohodl</w:t>
      </w:r>
      <w:r>
        <w:rPr>
          <w:i/>
          <w:lang w:val="cs-CZ"/>
        </w:rPr>
        <w:t>y</w:t>
      </w:r>
      <w:r w:rsidRPr="003A2694">
        <w:rPr>
          <w:i/>
          <w:lang w:val="cs-CZ"/>
        </w:rPr>
        <w:t xml:space="preserve"> na uzavření </w:t>
      </w:r>
      <w:r>
        <w:rPr>
          <w:i/>
          <w:lang w:val="cs-CZ"/>
        </w:rPr>
        <w:t>tohoto Smluvního dopisu</w:t>
      </w:r>
      <w:r w:rsidRPr="003A2694">
        <w:rPr>
          <w:i/>
          <w:lang w:val="cs-CZ"/>
        </w:rPr>
        <w:t xml:space="preserve"> o </w:t>
      </w:r>
      <w:r w:rsidR="003C1742">
        <w:rPr>
          <w:i/>
          <w:lang w:val="cs-CZ"/>
        </w:rPr>
        <w:t>poskytování daňově poradenských služeb</w:t>
      </w:r>
      <w:r w:rsidRPr="003A2694">
        <w:rPr>
          <w:i/>
          <w:lang w:val="cs-CZ"/>
        </w:rPr>
        <w:t xml:space="preserve"> (dále jen „</w:t>
      </w:r>
      <w:r>
        <w:rPr>
          <w:i/>
          <w:lang w:val="cs-CZ"/>
        </w:rPr>
        <w:t>Smluvní dopis</w:t>
      </w:r>
      <w:r w:rsidRPr="003A2694">
        <w:rPr>
          <w:i/>
          <w:lang w:val="cs-CZ"/>
        </w:rPr>
        <w:t>“)</w:t>
      </w:r>
      <w:r>
        <w:rPr>
          <w:i/>
          <w:lang w:val="cs-CZ"/>
        </w:rPr>
        <w:t xml:space="preserve"> </w:t>
      </w:r>
      <w:r w:rsidRPr="003E2924">
        <w:rPr>
          <w:bCs/>
          <w:i/>
          <w:lang w:val="cs-CZ"/>
        </w:rPr>
        <w:t>v souladu s ustanovením § 1746 odst. 2. zák. č. 89/2012 Sb., občanský zákoník (dále jen „občanský zákoník“) a dle zákona č.</w:t>
      </w:r>
      <w:r w:rsidRPr="003E2924">
        <w:rPr>
          <w:lang w:val="cs-CZ"/>
        </w:rPr>
        <w:t xml:space="preserve"> </w:t>
      </w:r>
      <w:r w:rsidRPr="003E2924">
        <w:rPr>
          <w:bCs/>
          <w:i/>
          <w:lang w:val="cs-CZ"/>
        </w:rPr>
        <w:t>523/1992 Sb., o daňovém poradenství a Komoře daňových poradců České republiky, v platném znění (dále jen „zákon o daňovém poradenství“)</w:t>
      </w:r>
      <w:r w:rsidRPr="003A2694">
        <w:rPr>
          <w:i/>
          <w:lang w:val="cs-CZ"/>
        </w:rPr>
        <w:t>.</w:t>
      </w:r>
    </w:p>
    <w:p w:rsidR="0009507E" w:rsidRDefault="00DF5D90" w:rsidP="0009507E">
      <w:pPr>
        <w:spacing w:before="240" w:after="240"/>
        <w:jc w:val="both"/>
        <w:rPr>
          <w:bCs/>
          <w:iCs/>
          <w:lang w:val="en-GB"/>
        </w:rPr>
      </w:pPr>
      <w:r w:rsidRPr="005E3979">
        <w:rPr>
          <w:bCs/>
          <w:iCs/>
          <w:lang w:val="en-GB"/>
        </w:rPr>
        <w:t>Deloitte and the Client are hereinafter jointly referred to as the “Parties”.</w:t>
      </w:r>
    </w:p>
    <w:p w:rsidR="00E31C18" w:rsidRPr="0009507E" w:rsidRDefault="00DF5D90" w:rsidP="0009507E">
      <w:pPr>
        <w:spacing w:before="240"/>
        <w:jc w:val="both"/>
        <w:rPr>
          <w:bCs/>
          <w:iCs/>
          <w:lang w:val="en-GB"/>
        </w:rPr>
      </w:pPr>
      <w:r w:rsidRPr="006E1470">
        <w:rPr>
          <w:bCs/>
          <w:i/>
        </w:rPr>
        <w:t>Společnost Deloitte a Klient jsou společně označováni jako „Strany”</w:t>
      </w:r>
      <w:r>
        <w:rPr>
          <w:bCs/>
          <w:i/>
        </w:rPr>
        <w:t>.</w:t>
      </w:r>
    </w:p>
    <w:p w:rsidR="00DF5D90" w:rsidRPr="003A2694" w:rsidRDefault="00DF5D90" w:rsidP="0009507E">
      <w:pPr>
        <w:numPr>
          <w:ilvl w:val="0"/>
          <w:numId w:val="25"/>
        </w:numPr>
        <w:tabs>
          <w:tab w:val="left" w:pos="0"/>
        </w:tabs>
        <w:spacing w:before="480"/>
        <w:ind w:left="0" w:right="-686" w:firstLine="0"/>
        <w:jc w:val="both"/>
        <w:rPr>
          <w:lang w:val="en-GB"/>
        </w:rPr>
      </w:pPr>
      <w:r w:rsidRPr="003A2694">
        <w:rPr>
          <w:b/>
          <w:lang w:val="en-GB"/>
        </w:rPr>
        <w:t xml:space="preserve">Subject </w:t>
      </w:r>
      <w:r>
        <w:rPr>
          <w:b/>
          <w:lang w:val="en-GB"/>
        </w:rPr>
        <w:t xml:space="preserve">Matter </w:t>
      </w:r>
      <w:r w:rsidRPr="003A2694">
        <w:rPr>
          <w:b/>
          <w:lang w:val="en-GB"/>
        </w:rPr>
        <w:t>of the Contract</w:t>
      </w:r>
    </w:p>
    <w:p w:rsidR="00DF5D90" w:rsidRPr="003A2694" w:rsidRDefault="00DF5D90" w:rsidP="00DF5D90">
      <w:pPr>
        <w:ind w:left="709"/>
        <w:jc w:val="both"/>
        <w:rPr>
          <w:b/>
          <w:i/>
          <w:lang w:val="cs-CZ"/>
        </w:rPr>
      </w:pPr>
      <w:r w:rsidRPr="003A2694">
        <w:rPr>
          <w:b/>
          <w:i/>
          <w:lang w:val="cs-CZ"/>
        </w:rPr>
        <w:t xml:space="preserve">Předmět </w:t>
      </w:r>
      <w:r>
        <w:rPr>
          <w:b/>
          <w:i/>
          <w:lang w:val="cs-CZ"/>
        </w:rPr>
        <w:t>S</w:t>
      </w:r>
      <w:r w:rsidRPr="003A2694">
        <w:rPr>
          <w:b/>
          <w:i/>
          <w:lang w:val="cs-CZ"/>
        </w:rPr>
        <w:t>mlouvy</w:t>
      </w:r>
    </w:p>
    <w:p w:rsidR="00DF5D90" w:rsidRPr="008C1385" w:rsidRDefault="00DF5D90" w:rsidP="0009507E">
      <w:pPr>
        <w:tabs>
          <w:tab w:val="left" w:pos="5670"/>
        </w:tabs>
        <w:spacing w:before="240" w:after="120"/>
        <w:jc w:val="both"/>
        <w:rPr>
          <w:lang w:val="en-GB"/>
        </w:rPr>
      </w:pPr>
      <w:r w:rsidRPr="008E7371">
        <w:rPr>
          <w:lang w:val="en-GB"/>
        </w:rPr>
        <w:t xml:space="preserve">Deloitte undertakes to provide the Client with professional services </w:t>
      </w:r>
      <w:r w:rsidRPr="008C1385">
        <w:rPr>
          <w:lang w:val="en-GB"/>
        </w:rPr>
        <w:t>as</w:t>
      </w:r>
      <w:r w:rsidRPr="008E7371">
        <w:rPr>
          <w:lang w:val="en-GB"/>
        </w:rPr>
        <w:t xml:space="preserve"> specified in Article 2 </w:t>
      </w:r>
      <w:r w:rsidRPr="008C1385">
        <w:rPr>
          <w:lang w:val="en-GB"/>
        </w:rPr>
        <w:t>of</w:t>
      </w:r>
      <w:r w:rsidRPr="008E7371">
        <w:rPr>
          <w:lang w:val="en-GB"/>
        </w:rPr>
        <w:t xml:space="preserve"> this Engagement Letter </w:t>
      </w:r>
      <w:r w:rsidRPr="00424BD0">
        <w:rPr>
          <w:lang w:val="en-GB"/>
        </w:rPr>
        <w:t xml:space="preserve">(hereinafter the “Services”) </w:t>
      </w:r>
      <w:r w:rsidRPr="008C1385">
        <w:rPr>
          <w:lang w:val="en-GB"/>
        </w:rPr>
        <w:t>in accordance with the terms and conditions agreed upon in this Engagement Letter and in the Business Terms of Deloitte Advisory s.r.o. (hereinafter the “Business Terms</w:t>
      </w:r>
      <w:r w:rsidRPr="008E7371">
        <w:rPr>
          <w:lang w:val="en-GB"/>
        </w:rPr>
        <w:t>”</w:t>
      </w:r>
      <w:r w:rsidRPr="008C1385">
        <w:rPr>
          <w:lang w:val="en-GB"/>
        </w:rPr>
        <w:t xml:space="preserve">) </w:t>
      </w:r>
      <w:r w:rsidRPr="009458BB">
        <w:rPr>
          <w:lang w:val="en-GB"/>
        </w:rPr>
        <w:t>which are attached hereto</w:t>
      </w:r>
      <w:r w:rsidRPr="00B376E8">
        <w:rPr>
          <w:lang w:val="en-GB"/>
        </w:rPr>
        <w:t>,</w:t>
      </w:r>
      <w:r w:rsidRPr="008E7371">
        <w:rPr>
          <w:lang w:val="en-GB"/>
        </w:rPr>
        <w:t xml:space="preserve"> and the Client undertakes to pay Deloitte the fee agreed in Article 4 hereof for providi</w:t>
      </w:r>
      <w:r w:rsidRPr="00424BD0">
        <w:rPr>
          <w:lang w:val="en-GB"/>
        </w:rPr>
        <w:t>ng the</w:t>
      </w:r>
      <w:r w:rsidRPr="008C1385">
        <w:rPr>
          <w:lang w:val="en-GB"/>
        </w:rPr>
        <w:t>se Services.</w:t>
      </w:r>
    </w:p>
    <w:p w:rsidR="00DF5D90" w:rsidRPr="008C1385" w:rsidRDefault="00DF5D90" w:rsidP="0009507E">
      <w:pPr>
        <w:tabs>
          <w:tab w:val="left" w:pos="5670"/>
        </w:tabs>
        <w:spacing w:before="240"/>
        <w:jc w:val="both"/>
        <w:rPr>
          <w:i/>
          <w:lang w:val="cs-CZ"/>
        </w:rPr>
      </w:pPr>
      <w:r w:rsidRPr="008C1385">
        <w:rPr>
          <w:i/>
          <w:lang w:val="cs-CZ"/>
        </w:rPr>
        <w:t xml:space="preserve">Společnost Deloitte se zavazuje poskytnout Klientovi odborné služby specifikované v čl. 2 tohoto Smluvního dopisu (dále jen „Služby“) v souladu s podmínkami dohodnutými v tomto Smluvním dopise a Obchodními podmínkami Deloitte Advisory s.r.o. (dále jen „Obchodní podmínky“), </w:t>
      </w:r>
      <w:r w:rsidRPr="009458BB">
        <w:rPr>
          <w:i/>
          <w:lang w:val="cs-CZ"/>
        </w:rPr>
        <w:t>které jsou přiloženy k tomuto Smluvnímu dopisu a Klient se zavazuje uhradit společnosti Deloitte za poskytnutí</w:t>
      </w:r>
      <w:r w:rsidRPr="008C1385">
        <w:rPr>
          <w:i/>
          <w:lang w:val="cs-CZ"/>
        </w:rPr>
        <w:t xml:space="preserve"> těchto Služeb </w:t>
      </w:r>
      <w:r>
        <w:rPr>
          <w:i/>
          <w:lang w:val="cs-CZ"/>
        </w:rPr>
        <w:t>odměnu</w:t>
      </w:r>
      <w:r w:rsidRPr="008C1385">
        <w:rPr>
          <w:i/>
          <w:lang w:val="cs-CZ"/>
        </w:rPr>
        <w:t xml:space="preserve"> dohodnut</w:t>
      </w:r>
      <w:r>
        <w:rPr>
          <w:i/>
          <w:lang w:val="cs-CZ"/>
        </w:rPr>
        <w:t>ou</w:t>
      </w:r>
      <w:r w:rsidRPr="008C1385">
        <w:rPr>
          <w:i/>
          <w:lang w:val="cs-CZ"/>
        </w:rPr>
        <w:t xml:space="preserve"> v čl. 4 tohoto Smluvního dopisu.</w:t>
      </w:r>
    </w:p>
    <w:p w:rsidR="00DF5D90" w:rsidRPr="009321EA" w:rsidRDefault="00DF5D90" w:rsidP="0009507E">
      <w:pPr>
        <w:tabs>
          <w:tab w:val="left" w:pos="5670"/>
        </w:tabs>
        <w:spacing w:before="240"/>
        <w:jc w:val="both"/>
      </w:pPr>
      <w:r w:rsidRPr="00173C8E">
        <w:t xml:space="preserve">This </w:t>
      </w:r>
      <w:r>
        <w:t xml:space="preserve">Engagement Letter </w:t>
      </w:r>
      <w:r w:rsidRPr="00D6247D">
        <w:t xml:space="preserve">together with its </w:t>
      </w:r>
      <w:r>
        <w:t>enclosures</w:t>
      </w:r>
      <w:r w:rsidRPr="00D6247D">
        <w:t xml:space="preserve"> </w:t>
      </w:r>
      <w:r>
        <w:t xml:space="preserve">and the Business Terms </w:t>
      </w:r>
      <w:r w:rsidRPr="00D6247D">
        <w:t xml:space="preserve">is </w:t>
      </w:r>
      <w:r>
        <w:t>hereinafter referred to as</w:t>
      </w:r>
      <w:r w:rsidRPr="00D6247D">
        <w:t xml:space="preserve"> the “Contract”</w:t>
      </w:r>
      <w:r>
        <w:t>.</w:t>
      </w:r>
    </w:p>
    <w:p w:rsidR="00DF5D90" w:rsidRPr="0009507E" w:rsidRDefault="00DF5D90" w:rsidP="0009507E">
      <w:pPr>
        <w:spacing w:before="240"/>
        <w:jc w:val="both"/>
        <w:rPr>
          <w:i/>
          <w:lang w:val="cs-CZ"/>
        </w:rPr>
      </w:pPr>
      <w:r>
        <w:rPr>
          <w:i/>
          <w:lang w:val="cs-CZ"/>
        </w:rPr>
        <w:t>Tento</w:t>
      </w:r>
      <w:r w:rsidRPr="00C85D3A">
        <w:rPr>
          <w:i/>
          <w:lang w:val="cs-CZ"/>
        </w:rPr>
        <w:t xml:space="preserve"> </w:t>
      </w:r>
      <w:r>
        <w:rPr>
          <w:i/>
          <w:lang w:val="cs-CZ"/>
        </w:rPr>
        <w:t>Smluvní dopis</w:t>
      </w:r>
      <w:r w:rsidRPr="00C85D3A">
        <w:rPr>
          <w:i/>
          <w:lang w:val="cs-CZ"/>
        </w:rPr>
        <w:t xml:space="preserve"> se všemi </w:t>
      </w:r>
      <w:r>
        <w:rPr>
          <w:i/>
          <w:lang w:val="cs-CZ"/>
        </w:rPr>
        <w:t>jeho</w:t>
      </w:r>
      <w:r w:rsidRPr="00C85D3A">
        <w:rPr>
          <w:i/>
          <w:lang w:val="cs-CZ"/>
        </w:rPr>
        <w:t xml:space="preserve"> přílohami</w:t>
      </w:r>
      <w:r>
        <w:rPr>
          <w:i/>
          <w:lang w:val="cs-CZ"/>
        </w:rPr>
        <w:t xml:space="preserve"> a Obchodními podmínkami</w:t>
      </w:r>
      <w:r w:rsidRPr="00C85D3A">
        <w:rPr>
          <w:i/>
          <w:lang w:val="cs-CZ"/>
        </w:rPr>
        <w:t xml:space="preserve"> je d</w:t>
      </w:r>
      <w:r>
        <w:rPr>
          <w:i/>
          <w:lang w:val="cs-CZ"/>
        </w:rPr>
        <w:t>ále označován jen jako „Smlouva“</w:t>
      </w:r>
      <w:r w:rsidRPr="00C85D3A">
        <w:rPr>
          <w:i/>
          <w:lang w:val="cs-CZ"/>
        </w:rPr>
        <w:t>.</w:t>
      </w:r>
    </w:p>
    <w:p w:rsidR="00DF5D90" w:rsidRPr="008E7371" w:rsidRDefault="00DF5D90" w:rsidP="0009507E">
      <w:pPr>
        <w:keepNext/>
        <w:keepLines/>
        <w:numPr>
          <w:ilvl w:val="0"/>
          <w:numId w:val="25"/>
        </w:numPr>
        <w:tabs>
          <w:tab w:val="left" w:pos="0"/>
        </w:tabs>
        <w:spacing w:before="480"/>
        <w:ind w:left="0" w:right="-686" w:firstLine="0"/>
        <w:jc w:val="both"/>
      </w:pPr>
      <w:r w:rsidRPr="008E7371">
        <w:rPr>
          <w:b/>
          <w:lang w:val="en-GB"/>
        </w:rPr>
        <w:lastRenderedPageBreak/>
        <w:t>Scope of Services</w:t>
      </w:r>
    </w:p>
    <w:p w:rsidR="00DF5D90" w:rsidRPr="008C1385" w:rsidRDefault="00DF5D90" w:rsidP="00487FC2">
      <w:pPr>
        <w:keepNext/>
        <w:keepLines/>
        <w:tabs>
          <w:tab w:val="left" w:pos="0"/>
        </w:tabs>
        <w:ind w:right="-687"/>
        <w:jc w:val="both"/>
        <w:rPr>
          <w:b/>
          <w:i/>
          <w:lang w:val="cs-CZ"/>
        </w:rPr>
      </w:pPr>
      <w:r w:rsidRPr="008C1385">
        <w:rPr>
          <w:b/>
          <w:lang w:val="cs-CZ"/>
        </w:rPr>
        <w:tab/>
      </w:r>
      <w:r w:rsidRPr="008C1385">
        <w:rPr>
          <w:b/>
          <w:i/>
          <w:lang w:val="cs-CZ"/>
        </w:rPr>
        <w:t>Rozsah Služeb</w:t>
      </w:r>
    </w:p>
    <w:p w:rsidR="00DF5D90" w:rsidRDefault="00DF5D90" w:rsidP="0009507E">
      <w:pPr>
        <w:keepNext/>
        <w:keepLines/>
        <w:spacing w:before="240"/>
        <w:jc w:val="both"/>
        <w:rPr>
          <w:lang w:val="en-GB"/>
        </w:rPr>
      </w:pPr>
      <w:r>
        <w:rPr>
          <w:lang w:val="en-GB"/>
        </w:rPr>
        <w:t>The S</w:t>
      </w:r>
      <w:r w:rsidRPr="00A12186">
        <w:rPr>
          <w:lang w:val="en-GB"/>
        </w:rPr>
        <w:t xml:space="preserve">ervices to be provided to the Client by Deloitte under this Contract </w:t>
      </w:r>
      <w:r>
        <w:rPr>
          <w:lang w:val="en-GB"/>
        </w:rPr>
        <w:t>consist of</w:t>
      </w:r>
      <w:r w:rsidRPr="00A12186">
        <w:rPr>
          <w:lang w:val="en-GB"/>
        </w:rPr>
        <w:t>:</w:t>
      </w:r>
    </w:p>
    <w:p w:rsidR="001014A5" w:rsidRDefault="001014A5" w:rsidP="001014A5">
      <w:pPr>
        <w:jc w:val="both"/>
        <w:rPr>
          <w:i/>
          <w:lang w:val="cs-CZ"/>
        </w:rPr>
      </w:pPr>
      <w:r>
        <w:rPr>
          <w:i/>
          <w:lang w:val="cs-CZ"/>
        </w:rPr>
        <w:t>Služ</w:t>
      </w:r>
      <w:r w:rsidRPr="0042088E">
        <w:rPr>
          <w:i/>
          <w:lang w:val="cs-CZ"/>
        </w:rPr>
        <w:t>b</w:t>
      </w:r>
      <w:r>
        <w:rPr>
          <w:i/>
          <w:lang w:val="cs-CZ"/>
        </w:rPr>
        <w:t>y</w:t>
      </w:r>
      <w:r w:rsidRPr="0042088E">
        <w:rPr>
          <w:i/>
          <w:lang w:val="cs-CZ"/>
        </w:rPr>
        <w:t>, které budou poskytnuty Klientovi společností Deloitte dle této Smlouvy</w:t>
      </w:r>
      <w:r>
        <w:rPr>
          <w:i/>
          <w:lang w:val="cs-CZ"/>
        </w:rPr>
        <w:t>, zahrnují</w:t>
      </w:r>
      <w:r w:rsidRPr="0042088E">
        <w:rPr>
          <w:i/>
          <w:lang w:val="cs-CZ"/>
        </w:rPr>
        <w:t>:</w:t>
      </w:r>
    </w:p>
    <w:p w:rsidR="00304B59" w:rsidRPr="00304B59" w:rsidRDefault="001014A5" w:rsidP="00304B59">
      <w:pPr>
        <w:pStyle w:val="Odstavecseseznamem"/>
        <w:numPr>
          <w:ilvl w:val="1"/>
          <w:numId w:val="25"/>
        </w:numPr>
        <w:spacing w:before="240"/>
        <w:ind w:left="851" w:hanging="851"/>
        <w:jc w:val="both"/>
        <w:rPr>
          <w:lang w:val="cs-CZ"/>
        </w:rPr>
      </w:pPr>
      <w:r>
        <w:rPr>
          <w:lang w:val="cs-CZ"/>
        </w:rPr>
        <w:t>Tax Advisory Services</w:t>
      </w:r>
    </w:p>
    <w:p w:rsidR="00304B59" w:rsidRPr="00304B59" w:rsidRDefault="001014A5" w:rsidP="00304B59">
      <w:pPr>
        <w:pStyle w:val="Odstavecseseznamem"/>
        <w:ind w:left="851"/>
        <w:jc w:val="both"/>
        <w:rPr>
          <w:i/>
          <w:lang w:val="cs-CZ"/>
        </w:rPr>
      </w:pPr>
      <w:r>
        <w:rPr>
          <w:i/>
          <w:lang w:val="cs-CZ"/>
        </w:rPr>
        <w:t>Služby Daňového poradenství</w:t>
      </w:r>
    </w:p>
    <w:p w:rsidR="002978C0" w:rsidRPr="00470F21" w:rsidRDefault="002978C0" w:rsidP="0009507E">
      <w:pPr>
        <w:spacing w:before="240"/>
        <w:jc w:val="both"/>
        <w:rPr>
          <w:lang w:val="en-GB"/>
        </w:rPr>
      </w:pPr>
      <w:r w:rsidRPr="00470F21">
        <w:rPr>
          <w:lang w:val="en-GB"/>
        </w:rPr>
        <w:t xml:space="preserve">The Services to be provided to the Client by Deloitte under this Contract </w:t>
      </w:r>
      <w:r>
        <w:rPr>
          <w:lang w:val="en-GB"/>
        </w:rPr>
        <w:t xml:space="preserve">shall be specified </w:t>
      </w:r>
      <w:r>
        <w:t>in</w:t>
      </w:r>
      <w:r>
        <w:rPr>
          <w:lang w:val="en-GB"/>
        </w:rPr>
        <w:t xml:space="preserve"> an order made in accordance with Section 26 of the Business Terms (“Work Order”) and the scope of the ordered Services might include the following</w:t>
      </w:r>
      <w:r w:rsidRPr="00470F21">
        <w:rPr>
          <w:lang w:val="en-GB"/>
        </w:rPr>
        <w:t>:</w:t>
      </w:r>
    </w:p>
    <w:p w:rsidR="002978C0" w:rsidRDefault="002978C0" w:rsidP="003142F0">
      <w:pPr>
        <w:numPr>
          <w:ilvl w:val="0"/>
          <w:numId w:val="42"/>
        </w:numPr>
        <w:spacing w:line="240" w:lineRule="auto"/>
        <w:jc w:val="both"/>
        <w:rPr>
          <w:szCs w:val="18"/>
          <w:lang w:val="en-GB"/>
        </w:rPr>
      </w:pPr>
      <w:r w:rsidRPr="008F0F27">
        <w:rPr>
          <w:szCs w:val="18"/>
          <w:lang w:val="en-GB"/>
        </w:rPr>
        <w:t xml:space="preserve">Ad hoc compliance and ordinary tax advisory services in the field of corporate income tax, personal income tax and indirect tax, </w:t>
      </w:r>
      <w:r w:rsidR="003142F0" w:rsidRPr="003142F0">
        <w:rPr>
          <w:szCs w:val="18"/>
          <w:lang w:val="en-GB"/>
        </w:rPr>
        <w:t xml:space="preserve">for an indefinite period of time, on an ongoing basis, according to the individual </w:t>
      </w:r>
      <w:r w:rsidR="003142F0">
        <w:rPr>
          <w:szCs w:val="18"/>
          <w:lang w:val="en-GB"/>
        </w:rPr>
        <w:t>requests</w:t>
      </w:r>
      <w:r w:rsidR="003142F0" w:rsidRPr="003142F0">
        <w:rPr>
          <w:szCs w:val="18"/>
          <w:lang w:val="en-GB"/>
        </w:rPr>
        <w:t xml:space="preserve"> of the Client specified in this </w:t>
      </w:r>
      <w:r w:rsidR="003142F0">
        <w:rPr>
          <w:szCs w:val="18"/>
          <w:lang w:val="en-GB"/>
        </w:rPr>
        <w:t>Engagement</w:t>
      </w:r>
      <w:r w:rsidR="003142F0" w:rsidRPr="003142F0">
        <w:rPr>
          <w:szCs w:val="18"/>
          <w:lang w:val="en-GB"/>
        </w:rPr>
        <w:t xml:space="preserve"> Letter or </w:t>
      </w:r>
      <w:r w:rsidR="003142F0">
        <w:rPr>
          <w:szCs w:val="18"/>
          <w:lang w:val="en-GB"/>
        </w:rPr>
        <w:t xml:space="preserve">in </w:t>
      </w:r>
      <w:r w:rsidR="003142F0" w:rsidRPr="003142F0">
        <w:rPr>
          <w:szCs w:val="18"/>
          <w:lang w:val="en-GB"/>
        </w:rPr>
        <w:t xml:space="preserve">the </w:t>
      </w:r>
      <w:r w:rsidR="003142F0">
        <w:rPr>
          <w:szCs w:val="18"/>
          <w:lang w:val="en-GB"/>
        </w:rPr>
        <w:t>Work Order</w:t>
      </w:r>
      <w:r w:rsidR="003142F0" w:rsidRPr="003142F0">
        <w:rPr>
          <w:szCs w:val="18"/>
          <w:lang w:val="en-GB"/>
        </w:rPr>
        <w:t>,</w:t>
      </w:r>
    </w:p>
    <w:p w:rsidR="00175B18" w:rsidRDefault="00175B18" w:rsidP="00175B18">
      <w:pPr>
        <w:pStyle w:val="Odstavecseseznamem"/>
        <w:numPr>
          <w:ilvl w:val="0"/>
          <w:numId w:val="42"/>
        </w:numPr>
        <w:jc w:val="both"/>
        <w:rPr>
          <w:lang w:val="en-GB"/>
        </w:rPr>
      </w:pPr>
      <w:r w:rsidRPr="00175B18">
        <w:rPr>
          <w:lang w:val="en-GB"/>
        </w:rPr>
        <w:t>Hot line services including the provision of tax advisory relating to the day-to-day business operations of the Client, mainly in the field of direct taxes, VAT, customs and other taxes upon the e-mail or telephone request of the Client. The advice will be provided in the form of an e-mail and/or telephone response (confirmed by an e-mail) to the Client and will be considered as a 'draft advice' according to section 2 (b) (ii) of Business Terms, which are attached hereto.</w:t>
      </w:r>
    </w:p>
    <w:p w:rsidR="002978C0" w:rsidRPr="00106439" w:rsidRDefault="002978C0" w:rsidP="0009507E">
      <w:pPr>
        <w:spacing w:before="240"/>
        <w:jc w:val="both"/>
        <w:rPr>
          <w:i/>
          <w:szCs w:val="18"/>
          <w:lang w:val="cs-CZ"/>
        </w:rPr>
      </w:pPr>
      <w:r w:rsidRPr="00106439">
        <w:rPr>
          <w:i/>
          <w:szCs w:val="18"/>
          <w:lang w:val="cs-CZ"/>
        </w:rPr>
        <w:t>Služby, které budou poskytnuty Klientovi společností Deloitte dle této Smlouvy, musí být specifikovány v objednávce učiněné v souladu s čl. 26 Obchodních podmínek („Objednávka prací“) a rozsah Služeb může zahrnovat:</w:t>
      </w:r>
    </w:p>
    <w:p w:rsidR="002978C0" w:rsidRPr="00106439" w:rsidRDefault="002978C0" w:rsidP="002978C0">
      <w:pPr>
        <w:numPr>
          <w:ilvl w:val="0"/>
          <w:numId w:val="43"/>
        </w:numPr>
        <w:spacing w:line="240" w:lineRule="auto"/>
        <w:jc w:val="both"/>
        <w:rPr>
          <w:i/>
          <w:szCs w:val="18"/>
          <w:lang w:val="cs-CZ"/>
        </w:rPr>
      </w:pPr>
      <w:r w:rsidRPr="00106439">
        <w:rPr>
          <w:i/>
          <w:szCs w:val="18"/>
          <w:lang w:val="cs-CZ"/>
        </w:rPr>
        <w:t>Ad hoc asistenci týkající se výkaznictví a běžné daňové poradenství v oblastech daně z příjmů právnických osob, daně z příjmů fyzických osob a nepřímých daní, a to na dobu neurčitou, průběžně, podle jednotlivých zadání Klienta blíže uvedených v tomto Smluvním dopise nebo Objednávce prací,</w:t>
      </w:r>
    </w:p>
    <w:p w:rsidR="00D0088B" w:rsidRPr="00106439" w:rsidRDefault="00D0088B" w:rsidP="00D0088B">
      <w:pPr>
        <w:pStyle w:val="Odstavecseseznamem"/>
        <w:numPr>
          <w:ilvl w:val="0"/>
          <w:numId w:val="43"/>
        </w:numPr>
        <w:jc w:val="both"/>
        <w:rPr>
          <w:i/>
          <w:lang w:val="cs-CZ"/>
        </w:rPr>
      </w:pPr>
      <w:r w:rsidRPr="00106439">
        <w:rPr>
          <w:i/>
          <w:lang w:val="cs-CZ"/>
        </w:rPr>
        <w:t>Služby rychlé konzultace zahrnující poskytování daňového poradenství souvisejícího s běžným provozem Klienta, zejména v oblasti daní z příjmu, DPH, cel a ostatních daní v návaznosti na e-mail nebo telefonický požadavek Klienta. Služby rychlé kon</w:t>
      </w:r>
      <w:r w:rsidR="00106439" w:rsidRPr="00106439">
        <w:rPr>
          <w:i/>
          <w:lang w:val="cs-CZ"/>
        </w:rPr>
        <w:t xml:space="preserve">zultace budou poskytnuty </w:t>
      </w:r>
      <w:r w:rsidRPr="00106439">
        <w:rPr>
          <w:i/>
          <w:lang w:val="cs-CZ"/>
        </w:rPr>
        <w:t>prostřednictvím e­mailu a/nebo telefonické odpovědi (potvrzené e-mailem) a je třeba je považovat za 'konc</w:t>
      </w:r>
      <w:r w:rsidR="00106439" w:rsidRPr="00106439">
        <w:rPr>
          <w:i/>
          <w:lang w:val="cs-CZ"/>
        </w:rPr>
        <w:t xml:space="preserve">ept vyjádření' podle ustanovení </w:t>
      </w:r>
      <w:r w:rsidRPr="00106439">
        <w:rPr>
          <w:i/>
          <w:lang w:val="cs-CZ"/>
        </w:rPr>
        <w:t>2(b)(ii) Obchodních podmínek, které jsou ke smlouvě přiloženy.</w:t>
      </w:r>
    </w:p>
    <w:p w:rsidR="00106439" w:rsidRDefault="00106439" w:rsidP="00106439">
      <w:pPr>
        <w:jc w:val="both"/>
        <w:rPr>
          <w:szCs w:val="18"/>
        </w:rPr>
      </w:pPr>
    </w:p>
    <w:p w:rsidR="00106439" w:rsidRPr="00106439" w:rsidRDefault="00106439" w:rsidP="00106439">
      <w:pPr>
        <w:jc w:val="both"/>
        <w:rPr>
          <w:szCs w:val="18"/>
          <w:lang w:val="en-GB"/>
        </w:rPr>
      </w:pPr>
      <w:r w:rsidRPr="006E4518">
        <w:rPr>
          <w:szCs w:val="18"/>
        </w:rPr>
        <w:t xml:space="preserve">Client might order the Services </w:t>
      </w:r>
      <w:r w:rsidRPr="006E4518">
        <w:rPr>
          <w:szCs w:val="18"/>
          <w:lang w:val="en-GB"/>
        </w:rPr>
        <w:t>on an on-going basis during the term of this Contract.</w:t>
      </w:r>
    </w:p>
    <w:p w:rsidR="00304B59" w:rsidRPr="00106439" w:rsidRDefault="002978C0" w:rsidP="0009507E">
      <w:pPr>
        <w:jc w:val="both"/>
        <w:rPr>
          <w:i/>
          <w:szCs w:val="18"/>
          <w:lang w:val="cs-CZ"/>
        </w:rPr>
      </w:pPr>
      <w:r w:rsidRPr="00106439">
        <w:rPr>
          <w:i/>
          <w:szCs w:val="18"/>
          <w:lang w:val="cs-CZ"/>
        </w:rPr>
        <w:t xml:space="preserve">Klient může objednávat Služby průběžně po dobu trvání této Smlouvy. </w:t>
      </w:r>
    </w:p>
    <w:p w:rsidR="00DF5D90" w:rsidRPr="002541DF" w:rsidRDefault="00DF5D90" w:rsidP="0009507E">
      <w:pPr>
        <w:numPr>
          <w:ilvl w:val="0"/>
          <w:numId w:val="25"/>
        </w:numPr>
        <w:spacing w:before="480"/>
        <w:ind w:left="0" w:firstLine="0"/>
        <w:jc w:val="both"/>
        <w:rPr>
          <w:b/>
        </w:rPr>
      </w:pPr>
      <w:r w:rsidRPr="00C94E4D">
        <w:rPr>
          <w:b/>
        </w:rPr>
        <w:t xml:space="preserve">Fee </w:t>
      </w:r>
      <w:r>
        <w:rPr>
          <w:b/>
        </w:rPr>
        <w:t>A</w:t>
      </w:r>
      <w:r w:rsidRPr="00C94E4D">
        <w:rPr>
          <w:b/>
        </w:rPr>
        <w:t>rrangement</w:t>
      </w:r>
    </w:p>
    <w:p w:rsidR="00DF5D90" w:rsidRPr="0009507E" w:rsidRDefault="00DF5D90" w:rsidP="0009507E">
      <w:pPr>
        <w:tabs>
          <w:tab w:val="left" w:pos="720"/>
        </w:tabs>
        <w:ind w:left="709" w:right="-687"/>
        <w:jc w:val="both"/>
        <w:rPr>
          <w:b/>
          <w:i/>
          <w:lang w:val="cs-CZ"/>
        </w:rPr>
      </w:pPr>
      <w:r w:rsidRPr="00C94E4D">
        <w:rPr>
          <w:b/>
          <w:i/>
          <w:lang w:val="cs-CZ"/>
        </w:rPr>
        <w:t>Smluvní odměna</w:t>
      </w:r>
    </w:p>
    <w:p w:rsidR="00D91A69" w:rsidRPr="00D91A69" w:rsidRDefault="004B1E30" w:rsidP="00D91A69">
      <w:pPr>
        <w:pStyle w:val="Odstavecseseznamem"/>
        <w:numPr>
          <w:ilvl w:val="1"/>
          <w:numId w:val="25"/>
        </w:numPr>
        <w:spacing w:before="240"/>
        <w:ind w:left="709" w:hanging="709"/>
        <w:jc w:val="both"/>
        <w:rPr>
          <w:lang w:val="cs-CZ"/>
        </w:rPr>
      </w:pPr>
      <w:r>
        <w:rPr>
          <w:lang w:val="cs-CZ"/>
        </w:rPr>
        <w:t>Tax Advisory Services</w:t>
      </w:r>
    </w:p>
    <w:p w:rsidR="00A5679C" w:rsidRPr="0009507E" w:rsidRDefault="004B1E30" w:rsidP="00540E9B">
      <w:pPr>
        <w:pStyle w:val="Odstavecseseznamem"/>
        <w:ind w:left="709"/>
        <w:jc w:val="both"/>
        <w:rPr>
          <w:lang w:val="cs-CZ"/>
        </w:rPr>
      </w:pPr>
      <w:r>
        <w:rPr>
          <w:lang w:val="cs-CZ"/>
        </w:rPr>
        <w:t>Služby daňového poradenství</w:t>
      </w:r>
    </w:p>
    <w:p w:rsidR="00A5679C" w:rsidRPr="00BF6154" w:rsidRDefault="00A5679C" w:rsidP="0009507E">
      <w:pPr>
        <w:spacing w:before="240"/>
        <w:rPr>
          <w:lang w:val="en-GB"/>
        </w:rPr>
      </w:pPr>
      <w:r w:rsidRPr="00BF6154">
        <w:rPr>
          <w:lang w:val="en-GB"/>
        </w:rPr>
        <w:t>For provision of the Services under this Contract the parties agreed on the following average hourly rates (irrespective of the position of the professional staff involved in providing the Services):</w:t>
      </w:r>
    </w:p>
    <w:p w:rsidR="00A5679C" w:rsidRDefault="00DB319A" w:rsidP="00A5679C">
      <w:pPr>
        <w:numPr>
          <w:ilvl w:val="0"/>
          <w:numId w:val="44"/>
        </w:numPr>
        <w:spacing w:line="240" w:lineRule="auto"/>
        <w:jc w:val="both"/>
      </w:pPr>
      <w:r w:rsidRPr="00BF6154">
        <w:t xml:space="preserve">CZK </w:t>
      </w:r>
      <w:r w:rsidR="001A1547">
        <w:t>XXXXXX</w:t>
      </w:r>
      <w:r w:rsidRPr="00BF6154">
        <w:t xml:space="preserve"> </w:t>
      </w:r>
      <w:r w:rsidR="00A5679C" w:rsidRPr="00BF6154">
        <w:t>for the provision of the Services as defined in Article 2.</w:t>
      </w:r>
      <w:r w:rsidR="00436A90">
        <w:t>1</w:t>
      </w:r>
      <w:r w:rsidR="00A5679C" w:rsidRPr="00BF6154">
        <w:t xml:space="preserve"> A) above, excluding VAT</w:t>
      </w:r>
      <w:r w:rsidR="003050D4">
        <w:t xml:space="preserve"> and out-of-pocket expenses,</w:t>
      </w:r>
    </w:p>
    <w:p w:rsidR="003050D4" w:rsidRPr="00BF6154" w:rsidRDefault="003050D4" w:rsidP="00A5679C">
      <w:pPr>
        <w:numPr>
          <w:ilvl w:val="0"/>
          <w:numId w:val="44"/>
        </w:numPr>
        <w:spacing w:line="240" w:lineRule="auto"/>
        <w:jc w:val="both"/>
      </w:pPr>
      <w:r>
        <w:t xml:space="preserve">CZK </w:t>
      </w:r>
      <w:r w:rsidR="001A1547">
        <w:t>XXXXXX</w:t>
      </w:r>
      <w:r>
        <w:t xml:space="preserve"> for the provision of the Serv</w:t>
      </w:r>
      <w:r w:rsidR="00E044C3">
        <w:t>ices as defined in Article 2.1 B</w:t>
      </w:r>
      <w:r>
        <w:t>) above, excluding VAT and out-of-pocket expenses.</w:t>
      </w:r>
    </w:p>
    <w:p w:rsidR="00A5679C" w:rsidRPr="00BF6154" w:rsidRDefault="00A5679C" w:rsidP="00540E9B">
      <w:pPr>
        <w:spacing w:before="240"/>
        <w:jc w:val="both"/>
        <w:rPr>
          <w:i/>
          <w:iCs/>
          <w:szCs w:val="18"/>
        </w:rPr>
      </w:pPr>
      <w:r w:rsidRPr="00BF6154">
        <w:rPr>
          <w:i/>
          <w:iCs/>
          <w:szCs w:val="18"/>
        </w:rPr>
        <w:t>Za Služby poskytnuté dle této Smlouvy se strany dohodly na níže uvedených průměrných hodinových sazbách (bez ohledu na pozici daňového odborníka, který Služby poskytuje):</w:t>
      </w:r>
    </w:p>
    <w:p w:rsidR="00A5679C" w:rsidRDefault="001A1547" w:rsidP="00A5679C">
      <w:pPr>
        <w:pStyle w:val="Odstavecseseznamem"/>
        <w:numPr>
          <w:ilvl w:val="0"/>
          <w:numId w:val="45"/>
        </w:numPr>
        <w:spacing w:line="240" w:lineRule="auto"/>
        <w:jc w:val="both"/>
        <w:rPr>
          <w:i/>
          <w:iCs/>
          <w:lang w:val="cs-CZ"/>
        </w:rPr>
      </w:pPr>
      <w:r>
        <w:rPr>
          <w:i/>
          <w:lang w:val="cs-CZ"/>
        </w:rPr>
        <w:t>XXXXX</w:t>
      </w:r>
      <w:r w:rsidR="00DB319A" w:rsidRPr="003050D4">
        <w:rPr>
          <w:i/>
          <w:lang w:val="cs-CZ"/>
        </w:rPr>
        <w:t xml:space="preserve"> Kč</w:t>
      </w:r>
      <w:r w:rsidR="00A5679C" w:rsidRPr="00AB1BE2">
        <w:rPr>
          <w:lang w:val="cs-CZ"/>
        </w:rPr>
        <w:t xml:space="preserve"> </w:t>
      </w:r>
      <w:r w:rsidR="00A5679C" w:rsidRPr="00AB1BE2">
        <w:rPr>
          <w:i/>
          <w:iCs/>
          <w:lang w:val="cs-CZ"/>
        </w:rPr>
        <w:t>za Služby uvedené v čl. 2.</w:t>
      </w:r>
      <w:r w:rsidR="00436A90">
        <w:rPr>
          <w:i/>
          <w:iCs/>
          <w:lang w:val="cs-CZ"/>
        </w:rPr>
        <w:t>1</w:t>
      </w:r>
      <w:r w:rsidR="00A5679C" w:rsidRPr="00AB1BE2">
        <w:rPr>
          <w:i/>
          <w:iCs/>
          <w:lang w:val="cs-CZ"/>
        </w:rPr>
        <w:t xml:space="preserve"> A)</w:t>
      </w:r>
      <w:r w:rsidR="009679BA">
        <w:rPr>
          <w:i/>
          <w:iCs/>
          <w:lang w:val="cs-CZ"/>
        </w:rPr>
        <w:t xml:space="preserve"> </w:t>
      </w:r>
      <w:r w:rsidR="00A5679C" w:rsidRPr="00AB1BE2">
        <w:rPr>
          <w:i/>
          <w:iCs/>
          <w:lang w:val="cs-CZ"/>
        </w:rPr>
        <w:t xml:space="preserve">tohoto Smluvního dopisu, bez DPH a </w:t>
      </w:r>
      <w:r w:rsidR="003050D4">
        <w:rPr>
          <w:i/>
          <w:iCs/>
          <w:lang w:val="cs-CZ"/>
        </w:rPr>
        <w:t>bez přímých vedlejších nákladů,</w:t>
      </w:r>
    </w:p>
    <w:p w:rsidR="003C26B8" w:rsidRDefault="001A1547" w:rsidP="003C26B8">
      <w:pPr>
        <w:pStyle w:val="Odstavecseseznamem"/>
        <w:numPr>
          <w:ilvl w:val="0"/>
          <w:numId w:val="45"/>
        </w:numPr>
        <w:spacing w:line="240" w:lineRule="auto"/>
        <w:jc w:val="both"/>
        <w:rPr>
          <w:i/>
          <w:iCs/>
          <w:lang w:val="cs-CZ"/>
        </w:rPr>
      </w:pPr>
      <w:r>
        <w:rPr>
          <w:i/>
          <w:iCs/>
          <w:lang w:val="cs-CZ"/>
        </w:rPr>
        <w:t>XXXXX</w:t>
      </w:r>
      <w:r w:rsidR="003050D4">
        <w:rPr>
          <w:i/>
          <w:iCs/>
          <w:lang w:val="cs-CZ"/>
        </w:rPr>
        <w:t xml:space="preserve"> Kč za Služby uvedené v čl. 2.1 </w:t>
      </w:r>
      <w:r w:rsidR="00E044C3">
        <w:rPr>
          <w:i/>
          <w:iCs/>
          <w:lang w:val="cs-CZ"/>
        </w:rPr>
        <w:t>B</w:t>
      </w:r>
      <w:r w:rsidR="003050D4">
        <w:rPr>
          <w:i/>
          <w:iCs/>
          <w:lang w:val="cs-CZ"/>
        </w:rPr>
        <w:t>) tohoto Smluvního dopisu, bez DPH a bez přímých vedlejších nákladů.</w:t>
      </w:r>
    </w:p>
    <w:p w:rsidR="00A540E9" w:rsidRDefault="00A540E9" w:rsidP="00A540E9">
      <w:pPr>
        <w:spacing w:line="240" w:lineRule="auto"/>
        <w:jc w:val="both"/>
        <w:rPr>
          <w:i/>
          <w:iCs/>
          <w:lang w:val="cs-CZ"/>
        </w:rPr>
      </w:pPr>
    </w:p>
    <w:p w:rsidR="00A540E9" w:rsidRDefault="00A540E9" w:rsidP="0073576D">
      <w:pPr>
        <w:jc w:val="both"/>
        <w:rPr>
          <w:lang w:val="en-GB"/>
        </w:rPr>
      </w:pPr>
      <w:r>
        <w:rPr>
          <w:lang w:val="en-GB"/>
        </w:rPr>
        <w:t>Deloitte</w:t>
      </w:r>
      <w:r w:rsidRPr="00583824">
        <w:rPr>
          <w:lang w:val="en-GB"/>
        </w:rPr>
        <w:t xml:space="preserve"> shall inform </w:t>
      </w:r>
      <w:r>
        <w:rPr>
          <w:lang w:val="en-GB"/>
        </w:rPr>
        <w:t>the Client</w:t>
      </w:r>
      <w:r w:rsidRPr="00583824">
        <w:rPr>
          <w:lang w:val="en-GB"/>
        </w:rPr>
        <w:t xml:space="preserve"> in advance whether </w:t>
      </w:r>
      <w:r>
        <w:rPr>
          <w:lang w:val="en-GB"/>
        </w:rPr>
        <w:t>the</w:t>
      </w:r>
      <w:r w:rsidRPr="00583824">
        <w:rPr>
          <w:lang w:val="en-GB"/>
        </w:rPr>
        <w:t xml:space="preserve"> query falls within the scope </w:t>
      </w:r>
      <w:r>
        <w:rPr>
          <w:lang w:val="en-GB"/>
        </w:rPr>
        <w:t xml:space="preserve">of the tax </w:t>
      </w:r>
      <w:r w:rsidRPr="00583824">
        <w:rPr>
          <w:lang w:val="en-GB"/>
        </w:rPr>
        <w:t xml:space="preserve">Services </w:t>
      </w:r>
      <w:r>
        <w:rPr>
          <w:lang w:val="en-GB"/>
        </w:rPr>
        <w:t>as defined in Article 3</w:t>
      </w:r>
      <w:r w:rsidRPr="00583824">
        <w:rPr>
          <w:lang w:val="en-GB"/>
        </w:rPr>
        <w:t xml:space="preserve"> </w:t>
      </w:r>
      <w:r>
        <w:rPr>
          <w:lang w:val="en-GB"/>
        </w:rPr>
        <w:t>A</w:t>
      </w:r>
      <w:r w:rsidRPr="00583824">
        <w:rPr>
          <w:lang w:val="en-GB"/>
        </w:rPr>
        <w:t xml:space="preserve">) </w:t>
      </w:r>
      <w:r>
        <w:rPr>
          <w:lang w:val="en-GB"/>
        </w:rPr>
        <w:t xml:space="preserve">or </w:t>
      </w:r>
      <w:r w:rsidR="00236CF0">
        <w:rPr>
          <w:lang w:val="en-GB"/>
        </w:rPr>
        <w:t xml:space="preserve">within the scope of hot line Services defined in Article </w:t>
      </w:r>
      <w:r>
        <w:rPr>
          <w:lang w:val="en-GB"/>
        </w:rPr>
        <w:t>3 B) hereof</w:t>
      </w:r>
      <w:r w:rsidRPr="00583824">
        <w:rPr>
          <w:lang w:val="en-GB"/>
        </w:rPr>
        <w:t>.</w:t>
      </w:r>
    </w:p>
    <w:p w:rsidR="00236CF0" w:rsidRPr="00583824" w:rsidRDefault="00236CF0" w:rsidP="0073576D">
      <w:pPr>
        <w:jc w:val="both"/>
        <w:rPr>
          <w:lang w:val="en-GB"/>
        </w:rPr>
      </w:pPr>
    </w:p>
    <w:p w:rsidR="00A540E9" w:rsidRPr="00A540E9" w:rsidRDefault="00A540E9" w:rsidP="0073576D">
      <w:pPr>
        <w:jc w:val="both"/>
        <w:rPr>
          <w:i/>
          <w:iCs/>
          <w:color w:val="808080"/>
          <w:szCs w:val="18"/>
        </w:rPr>
      </w:pPr>
      <w:r w:rsidRPr="008F0F27">
        <w:rPr>
          <w:i/>
          <w:iCs/>
          <w:szCs w:val="18"/>
        </w:rPr>
        <w:t xml:space="preserve">Deloitte bude Klienta vždy předem informovat, zda dané zadání spadá svým rozsahem do daňového poradenství, jak je uvedeno v čl. 3 A) </w:t>
      </w:r>
      <w:r>
        <w:rPr>
          <w:i/>
          <w:iCs/>
          <w:szCs w:val="18"/>
        </w:rPr>
        <w:t>nebo</w:t>
      </w:r>
      <w:r w:rsidR="00E044C3">
        <w:rPr>
          <w:i/>
          <w:iCs/>
          <w:szCs w:val="18"/>
        </w:rPr>
        <w:t xml:space="preserve"> </w:t>
      </w:r>
      <w:r w:rsidR="00E044C3" w:rsidRPr="008F0F27">
        <w:rPr>
          <w:i/>
          <w:iCs/>
          <w:szCs w:val="18"/>
        </w:rPr>
        <w:t xml:space="preserve">do rozsahu Služeb </w:t>
      </w:r>
      <w:r w:rsidR="00E044C3">
        <w:rPr>
          <w:i/>
          <w:iCs/>
          <w:szCs w:val="18"/>
        </w:rPr>
        <w:t xml:space="preserve">rychlé konzultace </w:t>
      </w:r>
      <w:r w:rsidR="00E044C3" w:rsidRPr="008F0F27">
        <w:rPr>
          <w:i/>
          <w:iCs/>
          <w:szCs w:val="18"/>
        </w:rPr>
        <w:t xml:space="preserve">uvedených v čl. 3 </w:t>
      </w:r>
      <w:r>
        <w:rPr>
          <w:i/>
          <w:iCs/>
          <w:szCs w:val="18"/>
        </w:rPr>
        <w:t xml:space="preserve">B) </w:t>
      </w:r>
      <w:r w:rsidRPr="008F0F27">
        <w:rPr>
          <w:i/>
          <w:iCs/>
          <w:szCs w:val="18"/>
        </w:rPr>
        <w:t>tohoto Smluvního dopisu.</w:t>
      </w:r>
      <w:r w:rsidRPr="008F0F27">
        <w:rPr>
          <w:i/>
          <w:iCs/>
          <w:color w:val="808080"/>
          <w:szCs w:val="18"/>
        </w:rPr>
        <w:t xml:space="preserve"> </w:t>
      </w:r>
    </w:p>
    <w:p w:rsidR="00DF5D90" w:rsidRPr="008678B5" w:rsidRDefault="00DF5D90" w:rsidP="00540E9B">
      <w:pPr>
        <w:numPr>
          <w:ilvl w:val="0"/>
          <w:numId w:val="25"/>
        </w:numPr>
        <w:spacing w:before="480"/>
        <w:ind w:left="0" w:firstLine="0"/>
        <w:jc w:val="both"/>
        <w:rPr>
          <w:b/>
        </w:rPr>
      </w:pPr>
      <w:r w:rsidRPr="008678B5">
        <w:rPr>
          <w:b/>
        </w:rPr>
        <w:t xml:space="preserve">Business </w:t>
      </w:r>
      <w:r>
        <w:rPr>
          <w:b/>
        </w:rPr>
        <w:t>T</w:t>
      </w:r>
      <w:r w:rsidRPr="008678B5">
        <w:rPr>
          <w:b/>
        </w:rPr>
        <w:t xml:space="preserve">erms </w:t>
      </w:r>
      <w:r>
        <w:rPr>
          <w:b/>
        </w:rPr>
        <w:t>and Invoicing</w:t>
      </w:r>
    </w:p>
    <w:p w:rsidR="00DF5D90" w:rsidRPr="00540E9B" w:rsidRDefault="00DF5D90" w:rsidP="00DF5D90">
      <w:pPr>
        <w:ind w:firstLine="720"/>
        <w:jc w:val="both"/>
        <w:rPr>
          <w:b/>
          <w:i/>
        </w:rPr>
      </w:pPr>
      <w:r w:rsidRPr="008678B5">
        <w:rPr>
          <w:b/>
          <w:i/>
        </w:rPr>
        <w:t>Obchodní podmínky</w:t>
      </w:r>
      <w:r>
        <w:rPr>
          <w:b/>
          <w:i/>
        </w:rPr>
        <w:t xml:space="preserve"> a fakturace</w:t>
      </w:r>
    </w:p>
    <w:p w:rsidR="00DF5D90" w:rsidRPr="00E2023B" w:rsidRDefault="00DF5D90" w:rsidP="00540E9B">
      <w:pPr>
        <w:spacing w:before="240" w:after="120"/>
        <w:jc w:val="both"/>
        <w:rPr>
          <w:lang w:val="en-GB"/>
        </w:rPr>
      </w:pPr>
      <w:r w:rsidRPr="00E2023B">
        <w:rPr>
          <w:lang w:val="en-GB"/>
        </w:rPr>
        <w:t>The Business Terms</w:t>
      </w:r>
      <w:r w:rsidRPr="00E2023B">
        <w:rPr>
          <w:i/>
          <w:lang w:val="en-GB"/>
        </w:rPr>
        <w:t xml:space="preserve"> </w:t>
      </w:r>
      <w:r w:rsidRPr="00E2023B">
        <w:rPr>
          <w:lang w:val="en-GB"/>
        </w:rPr>
        <w:t>form a component part of this Engagement Letter.</w:t>
      </w:r>
      <w:r>
        <w:rPr>
          <w:lang w:val="en-GB"/>
        </w:rPr>
        <w:t xml:space="preserve"> </w:t>
      </w:r>
      <w:r w:rsidRPr="00A12186">
        <w:rPr>
          <w:lang w:val="en-GB"/>
        </w:rPr>
        <w:t>In case</w:t>
      </w:r>
      <w:r>
        <w:rPr>
          <w:lang w:val="en-GB"/>
        </w:rPr>
        <w:t xml:space="preserve"> of a contradiction between the provisions of this</w:t>
      </w:r>
      <w:r w:rsidRPr="00A12186">
        <w:rPr>
          <w:lang w:val="en-GB"/>
        </w:rPr>
        <w:t xml:space="preserve"> Engagement Letter and the Business Terms, the </w:t>
      </w:r>
      <w:r>
        <w:rPr>
          <w:lang w:val="en-GB"/>
        </w:rPr>
        <w:t xml:space="preserve">provisions of the </w:t>
      </w:r>
      <w:r w:rsidRPr="00A12186">
        <w:rPr>
          <w:lang w:val="en-GB"/>
        </w:rPr>
        <w:t>Engagement Letter shall prevail.</w:t>
      </w:r>
    </w:p>
    <w:p w:rsidR="00DF5D90" w:rsidRPr="00540E9B" w:rsidRDefault="00DF5D90" w:rsidP="00540E9B">
      <w:pPr>
        <w:spacing w:before="240"/>
        <w:jc w:val="both"/>
        <w:rPr>
          <w:i/>
          <w:iCs/>
          <w:lang w:val="cs-CZ"/>
        </w:rPr>
      </w:pPr>
      <w:r w:rsidRPr="008E7371">
        <w:rPr>
          <w:i/>
          <w:iCs/>
          <w:lang w:val="cs-CZ"/>
        </w:rPr>
        <w:t xml:space="preserve">Obchodní podmínky jsou nedílnou součástí tohoto Smluvního dopisu. Pokud nastane rozpor mezi </w:t>
      </w:r>
      <w:r>
        <w:rPr>
          <w:i/>
          <w:iCs/>
          <w:lang w:val="cs-CZ"/>
        </w:rPr>
        <w:t>ujednání</w:t>
      </w:r>
      <w:r w:rsidRPr="008E7371">
        <w:rPr>
          <w:i/>
          <w:iCs/>
          <w:lang w:val="cs-CZ"/>
        </w:rPr>
        <w:t xml:space="preserve">mi tohoto Smluvního dopisu a Obchodních podmínek, platí </w:t>
      </w:r>
      <w:r>
        <w:rPr>
          <w:i/>
          <w:iCs/>
          <w:lang w:val="cs-CZ"/>
        </w:rPr>
        <w:t>ujednání</w:t>
      </w:r>
      <w:r w:rsidRPr="008E7371">
        <w:rPr>
          <w:i/>
          <w:iCs/>
          <w:lang w:val="cs-CZ"/>
        </w:rPr>
        <w:t xml:space="preserve"> Smluvního dopisu.</w:t>
      </w:r>
    </w:p>
    <w:p w:rsidR="00DF5D90" w:rsidRPr="00CC4BBA" w:rsidRDefault="00DF5D90" w:rsidP="00540E9B">
      <w:pPr>
        <w:spacing w:before="240" w:after="240"/>
        <w:jc w:val="both"/>
      </w:pPr>
      <w:r w:rsidRPr="00CC4BBA">
        <w:rPr>
          <w:lang w:val="en-GB"/>
        </w:rPr>
        <w:t>The Client expressly consents to the possibility of the electronic form of invoicing under the conditions of this Contract and applicable laws. Deloitte’s invoice shall be deemed delivered when sent to the e-mail address for sending invoices as specified by the Client. The Client is obliged to immediately inform Deloitte of any change of the e-mail address for sending invoices and to ensure proper functioning of the indicated e-mail address over the duration of this Contract. In case it is obvious that the invoice cannot be delivered to the up-to-date e-mail address for sending invoices, e.g. the sent e-mail returns as undeliverable, the invoice shall be immediately sent to the Client’s address of seat in paper form; nevertheless, the invoice shall be due as if it were successfully delivered to the Client by e-mail</w:t>
      </w:r>
      <w:r w:rsidRPr="00CC4BBA">
        <w:t>.</w:t>
      </w:r>
    </w:p>
    <w:p w:rsidR="00DF5D90" w:rsidRPr="00CC4BBA" w:rsidRDefault="00DF5D90" w:rsidP="00540E9B">
      <w:pPr>
        <w:spacing w:before="240"/>
        <w:jc w:val="both"/>
        <w:rPr>
          <w:i/>
          <w:lang w:val="cs-CZ"/>
        </w:rPr>
      </w:pPr>
      <w:r w:rsidRPr="00CC4BBA">
        <w:rPr>
          <w:i/>
          <w:lang w:val="cs-CZ"/>
        </w:rPr>
        <w:t>Klient výslovně souhlasí s možností elektronické formy fakturace za podmínek stanovených touto Smlouvou a platnými právními předpisy. Faktura Deloitte bude považována za doručenou okamžikem zaslání na e-mailovou adresu určenou Klientem pro zasílání faktur. Klient je povinen společnost Deloitte neprodleně informovat o jakékoliv změně e-mailové adresy pro zasílání faktur a zajistit řádnou funkčnost jím uvedené e-mailové adresy po dobu trvání této Smlouvy. Jestliže bude z okolností zřejmé, že fakturu nelze doručit na e-mailovou adresu určenou Klientem pro zasílání faktur, např. se zpráva vrátí jako nedoručitelná, bude neprodleně na adresu sídla Klienta zaslána faktura v papírové podobě, přičemž však faktura bude splatná v termínu, jakoby byla úspěšně doručena Klientovi prostřednictvím emailu.</w:t>
      </w:r>
    </w:p>
    <w:p w:rsidR="00DF5D90" w:rsidRPr="00CC4BBA" w:rsidRDefault="00DF5D90" w:rsidP="00540E9B">
      <w:pPr>
        <w:spacing w:before="240" w:after="120"/>
        <w:jc w:val="both"/>
        <w:rPr>
          <w:rFonts w:cs="Arial"/>
          <w:snapToGrid w:val="0"/>
          <w:lang w:val="cs-CZ"/>
        </w:rPr>
      </w:pPr>
      <w:r w:rsidRPr="00CC4BBA">
        <w:rPr>
          <w:rFonts w:cs="Arial"/>
          <w:snapToGrid w:val="0"/>
        </w:rPr>
        <w:t>For the purposes of electronic invoicing the email address for sending invoices shall be as follows</w:t>
      </w:r>
      <w:r w:rsidRPr="00CC4BBA">
        <w:rPr>
          <w:rFonts w:cs="Arial"/>
          <w:snapToGrid w:val="0"/>
          <w:lang w:val="cs-CZ"/>
        </w:rPr>
        <w:t>:</w:t>
      </w:r>
    </w:p>
    <w:p w:rsidR="00540E9B" w:rsidRPr="00CC4BBA" w:rsidRDefault="00DF5D90" w:rsidP="00540E9B">
      <w:pPr>
        <w:spacing w:before="240"/>
        <w:rPr>
          <w:rFonts w:cs="Arial"/>
          <w:i/>
          <w:snapToGrid w:val="0"/>
          <w:lang w:val="cs-CZ"/>
        </w:rPr>
      </w:pPr>
      <w:r w:rsidRPr="00CC4BBA">
        <w:rPr>
          <w:rFonts w:cs="Arial"/>
          <w:i/>
          <w:snapToGrid w:val="0"/>
          <w:lang w:val="cs-CZ"/>
        </w:rPr>
        <w:t>Pro účely elektronické fakturace se stanovuje níže uvedená emailová adresa pro zasílání faktur:</w:t>
      </w:r>
    </w:p>
    <w:p w:rsidR="00A25332" w:rsidRDefault="00DF5D90" w:rsidP="00A25332">
      <w:pPr>
        <w:spacing w:before="240"/>
      </w:pPr>
      <w:r w:rsidRPr="000927DD">
        <w:rPr>
          <w:rFonts w:cs="Arial"/>
          <w:snapToGrid w:val="0"/>
          <w:sz w:val="20"/>
          <w:szCs w:val="20"/>
          <w:lang w:val="cs-CZ"/>
        </w:rPr>
        <w:t>E-mail:</w:t>
      </w:r>
      <w:r w:rsidR="00D530DF" w:rsidRPr="000927DD">
        <w:rPr>
          <w:rFonts w:cs="Arial"/>
          <w:snapToGrid w:val="0"/>
          <w:sz w:val="20"/>
          <w:szCs w:val="20"/>
          <w:lang w:val="cs-CZ"/>
        </w:rPr>
        <w:t xml:space="preserve"> </w:t>
      </w:r>
      <w:r w:rsidR="001A1547">
        <w:t>XXXXXXXX</w:t>
      </w:r>
      <w:bookmarkStart w:id="0" w:name="_GoBack"/>
      <w:bookmarkEnd w:id="0"/>
    </w:p>
    <w:p w:rsidR="00DF5D90" w:rsidRPr="002E5E74" w:rsidRDefault="00DF5D90" w:rsidP="00A25332">
      <w:pPr>
        <w:spacing w:before="240"/>
      </w:pPr>
      <w:r>
        <w:rPr>
          <w:lang w:val="en-GB"/>
        </w:rPr>
        <w:t xml:space="preserve">The Client further </w:t>
      </w:r>
      <w:r w:rsidRPr="00270A91">
        <w:rPr>
          <w:lang w:val="en-GB"/>
        </w:rPr>
        <w:t xml:space="preserve">acknowledges that the amount of the agreed fee for the Services is </w:t>
      </w:r>
      <w:r>
        <w:rPr>
          <w:lang w:val="en-GB"/>
        </w:rPr>
        <w:t xml:space="preserve">based </w:t>
      </w:r>
      <w:r w:rsidRPr="00270A91">
        <w:rPr>
          <w:lang w:val="en-GB"/>
        </w:rPr>
        <w:t xml:space="preserve">on the fact that </w:t>
      </w:r>
      <w:r>
        <w:rPr>
          <w:lang w:val="en-GB"/>
        </w:rPr>
        <w:t>Deloitte’s</w:t>
      </w:r>
      <w:r w:rsidRPr="00270A91">
        <w:rPr>
          <w:lang w:val="en-GB"/>
        </w:rPr>
        <w:t xml:space="preserve"> liability for the Services is limited in accordance with the provisions of Section 6 of the Business Terms. The Client hereby confirms that it is acquainted with the wording of Section 6 of the Business Terms and agrees with it</w:t>
      </w:r>
      <w:r w:rsidRPr="002E5E74">
        <w:t>.</w:t>
      </w:r>
    </w:p>
    <w:p w:rsidR="00835E3E" w:rsidRDefault="00DF5D90" w:rsidP="00540E9B">
      <w:pPr>
        <w:spacing w:before="240"/>
        <w:rPr>
          <w:i/>
          <w:lang w:val="cs-CZ"/>
        </w:rPr>
      </w:pPr>
      <w:r w:rsidRPr="002E5E74">
        <w:rPr>
          <w:i/>
          <w:lang w:val="cs-CZ"/>
        </w:rPr>
        <w:t xml:space="preserve">Klient </w:t>
      </w:r>
      <w:r>
        <w:rPr>
          <w:i/>
          <w:lang w:val="cs-CZ"/>
        </w:rPr>
        <w:t xml:space="preserve">dále </w:t>
      </w:r>
      <w:r w:rsidRPr="002E5E74">
        <w:rPr>
          <w:i/>
          <w:lang w:val="cs-CZ"/>
        </w:rPr>
        <w:t>bere v potaz, že výše dohodnuté odměny za Služby zohledňuje skutečnost, že je odpovědnost Deloitte za Služby omezena v souladu s článkem 6 Obchodních podmínek. Klient potvrzuje, že se seznámil se zněním článku 6 Obchodních podmínek a že s ním souhlasí</w:t>
      </w:r>
      <w:r>
        <w:rPr>
          <w:i/>
          <w:lang w:val="cs-CZ"/>
        </w:rPr>
        <w:t>.</w:t>
      </w:r>
    </w:p>
    <w:p w:rsidR="00F87189" w:rsidRPr="00F87189" w:rsidRDefault="00835E3E" w:rsidP="00835E3E">
      <w:pPr>
        <w:rPr>
          <w:i/>
          <w:lang w:val="cs-CZ"/>
        </w:rPr>
      </w:pPr>
      <w:r>
        <w:rPr>
          <w:i/>
          <w:lang w:val="cs-CZ"/>
        </w:rPr>
        <w:br w:type="page"/>
      </w:r>
    </w:p>
    <w:p w:rsidR="00DF5D90" w:rsidRDefault="00DF5D90" w:rsidP="00540E9B">
      <w:pPr>
        <w:numPr>
          <w:ilvl w:val="0"/>
          <w:numId w:val="25"/>
        </w:numPr>
        <w:spacing w:before="480"/>
        <w:ind w:left="0" w:firstLine="0"/>
        <w:jc w:val="both"/>
        <w:rPr>
          <w:b/>
        </w:rPr>
      </w:pPr>
      <w:r w:rsidRPr="00F17A8F">
        <w:rPr>
          <w:b/>
        </w:rPr>
        <w:lastRenderedPageBreak/>
        <w:t xml:space="preserve">Final </w:t>
      </w:r>
      <w:r>
        <w:rPr>
          <w:b/>
        </w:rPr>
        <w:t>A</w:t>
      </w:r>
      <w:r w:rsidRPr="00F17A8F">
        <w:rPr>
          <w:b/>
        </w:rPr>
        <w:t>rrangements</w:t>
      </w:r>
    </w:p>
    <w:p w:rsidR="00DF5D90" w:rsidRPr="00540E9B" w:rsidRDefault="00DF5D90" w:rsidP="00540E9B">
      <w:pPr>
        <w:ind w:left="709"/>
        <w:jc w:val="both"/>
        <w:rPr>
          <w:b/>
          <w:i/>
          <w:lang w:val="cs-CZ"/>
        </w:rPr>
      </w:pPr>
      <w:r w:rsidRPr="00126238">
        <w:rPr>
          <w:b/>
          <w:i/>
          <w:lang w:val="cs-CZ"/>
        </w:rPr>
        <w:t xml:space="preserve">Závěrečná </w:t>
      </w:r>
      <w:r>
        <w:rPr>
          <w:b/>
          <w:i/>
          <w:lang w:val="cs-CZ"/>
        </w:rPr>
        <w:t>ujednání</w:t>
      </w:r>
    </w:p>
    <w:p w:rsidR="00DF5D90" w:rsidRPr="00314F8E" w:rsidRDefault="00DF5D90" w:rsidP="00540E9B">
      <w:pPr>
        <w:tabs>
          <w:tab w:val="left" w:pos="5670"/>
        </w:tabs>
        <w:spacing w:before="240" w:after="120"/>
        <w:jc w:val="both"/>
      </w:pPr>
      <w:r w:rsidRPr="00682892">
        <w:t xml:space="preserve">This Contract is prepared in two copies, </w:t>
      </w:r>
      <w:r>
        <w:t xml:space="preserve">with </w:t>
      </w:r>
      <w:r w:rsidRPr="00682892">
        <w:t xml:space="preserve">each </w:t>
      </w:r>
      <w:r>
        <w:t xml:space="preserve">copy </w:t>
      </w:r>
      <w:r w:rsidRPr="00682892">
        <w:t>in both the English and Czech languages. The Client and Deloitte shall each retain one copy.</w:t>
      </w:r>
      <w:r w:rsidRPr="00DC0A31">
        <w:t xml:space="preserve"> In the </w:t>
      </w:r>
      <w:r>
        <w:t>event</w:t>
      </w:r>
      <w:r w:rsidRPr="00DC0A31">
        <w:t xml:space="preserve"> of any discrepancies between the two language versions, the English version shall prevail. All changes </w:t>
      </w:r>
      <w:r>
        <w:t xml:space="preserve">or </w:t>
      </w:r>
      <w:r w:rsidRPr="00DC0A31">
        <w:t xml:space="preserve">amendments to this Contract must be </w:t>
      </w:r>
      <w:r>
        <w:t xml:space="preserve">made </w:t>
      </w:r>
      <w:r w:rsidRPr="00DC0A31">
        <w:t>in writing.</w:t>
      </w:r>
      <w:r>
        <w:t xml:space="preserve"> </w:t>
      </w:r>
      <w:r w:rsidRPr="00D61B75">
        <w:rPr>
          <w:lang w:val="en-GB"/>
        </w:rPr>
        <w:t>The acceptation of the proposal of this Contract with amendment or deviation is hereby excluded.</w:t>
      </w:r>
      <w:r w:rsidRPr="003E0104">
        <w:t xml:space="preserve"> </w:t>
      </w:r>
      <w:r>
        <w:t>Parties agreed that the habitual business practices in the meaning of section 558 (2) of the Civil Code shall not apply when interpreting this Contract.</w:t>
      </w:r>
    </w:p>
    <w:p w:rsidR="00DF5D90" w:rsidRDefault="00DF5D90" w:rsidP="00540E9B">
      <w:pPr>
        <w:spacing w:before="240"/>
        <w:jc w:val="both"/>
        <w:rPr>
          <w:i/>
          <w:lang w:val="cs-CZ"/>
        </w:rPr>
      </w:pPr>
      <w:r w:rsidRPr="00D80BB6">
        <w:rPr>
          <w:i/>
          <w:lang w:val="cs-CZ"/>
        </w:rPr>
        <w:t xml:space="preserve">Smlouva byla vypracována ve dvou vyhotoveních, každé z nich obsahuje anglické i české znění </w:t>
      </w:r>
      <w:r>
        <w:rPr>
          <w:i/>
          <w:lang w:val="cs-CZ"/>
        </w:rPr>
        <w:t>S</w:t>
      </w:r>
      <w:r w:rsidRPr="00D80BB6">
        <w:rPr>
          <w:i/>
          <w:lang w:val="cs-CZ"/>
        </w:rPr>
        <w:t xml:space="preserve">mlouvy. Obě strany obdrží po jednom vyhotovení. V případě nesrovnalostí mezi těmito dvěma jazykovými verzemi je závazné anglické znění </w:t>
      </w:r>
      <w:r>
        <w:rPr>
          <w:i/>
          <w:lang w:val="cs-CZ"/>
        </w:rPr>
        <w:t>S</w:t>
      </w:r>
      <w:r w:rsidRPr="00D80BB6">
        <w:rPr>
          <w:i/>
          <w:lang w:val="cs-CZ"/>
        </w:rPr>
        <w:t xml:space="preserve">mlouvy. Veškeré změny nebo dodatky ke </w:t>
      </w:r>
      <w:r>
        <w:rPr>
          <w:i/>
          <w:lang w:val="cs-CZ"/>
        </w:rPr>
        <w:t>S</w:t>
      </w:r>
      <w:r w:rsidRPr="00D80BB6">
        <w:rPr>
          <w:i/>
          <w:lang w:val="cs-CZ"/>
        </w:rPr>
        <w:t>mlouvě musejí být provedeny písemně.</w:t>
      </w:r>
      <w:r w:rsidRPr="0056050A">
        <w:rPr>
          <w:i/>
          <w:lang w:val="cs-CZ"/>
        </w:rPr>
        <w:t xml:space="preserve"> Tímto se vylučuje přijetí návrhu této Smlouvy s dodatkem nebo odchylkou.</w:t>
      </w:r>
      <w:r w:rsidRPr="003E2924">
        <w:rPr>
          <w:i/>
          <w:lang w:val="cs-CZ"/>
        </w:rPr>
        <w:t xml:space="preserve"> </w:t>
      </w:r>
      <w:r w:rsidRPr="001563F0">
        <w:rPr>
          <w:i/>
          <w:lang w:val="cs-CZ"/>
        </w:rPr>
        <w:t xml:space="preserve">Smluvní strany se dohodly, že se </w:t>
      </w:r>
      <w:r>
        <w:rPr>
          <w:i/>
          <w:lang w:val="cs-CZ"/>
        </w:rPr>
        <w:t xml:space="preserve">obchodní zvyklosti ve smyslu </w:t>
      </w:r>
      <w:r w:rsidRPr="001563F0">
        <w:rPr>
          <w:i/>
          <w:lang w:val="cs-CZ"/>
        </w:rPr>
        <w:t xml:space="preserve">ustanovení § 558 odst. 2 občanského zákoníku </w:t>
      </w:r>
      <w:r>
        <w:rPr>
          <w:i/>
          <w:lang w:val="cs-CZ"/>
        </w:rPr>
        <w:t xml:space="preserve">při výkladu této Smlouvy </w:t>
      </w:r>
      <w:r w:rsidRPr="001563F0">
        <w:rPr>
          <w:i/>
          <w:lang w:val="cs-CZ"/>
        </w:rPr>
        <w:t>nepoužij</w:t>
      </w:r>
      <w:r>
        <w:rPr>
          <w:i/>
          <w:lang w:val="cs-CZ"/>
        </w:rPr>
        <w:t>í.</w:t>
      </w:r>
    </w:p>
    <w:p w:rsidR="00DF5D90" w:rsidRDefault="00DF5D90" w:rsidP="00540E9B">
      <w:pPr>
        <w:tabs>
          <w:tab w:val="left" w:pos="5670"/>
        </w:tabs>
        <w:spacing w:before="240" w:after="120"/>
        <w:jc w:val="both"/>
        <w:rPr>
          <w:lang w:val="en-GB"/>
        </w:rPr>
      </w:pPr>
      <w:r w:rsidRPr="00C94E4D">
        <w:t xml:space="preserve">The signatures below legally bind both the Client and Deloitte to the terms and conditions of the Contract, including the </w:t>
      </w:r>
      <w:r>
        <w:t xml:space="preserve">Business Terms. </w:t>
      </w:r>
      <w:r>
        <w:rPr>
          <w:lang w:val="en-GB"/>
        </w:rPr>
        <w:t xml:space="preserve">Deloitte´s liability for damage is governed by the respective provisions of the Act on Tax Advisory, thus </w:t>
      </w:r>
      <w:r w:rsidRPr="003E2924">
        <w:rPr>
          <w:lang w:val="en-GB"/>
        </w:rPr>
        <w:t xml:space="preserve">Deloitte is fully </w:t>
      </w:r>
      <w:r w:rsidRPr="003E2924">
        <w:t xml:space="preserve">freed of its liability for damage if it can prove that the Service was provided with due professional care. </w:t>
      </w:r>
      <w:r w:rsidRPr="003E2924">
        <w:rPr>
          <w:lang w:val="en-GB"/>
        </w:rPr>
        <w:t xml:space="preserve">The Parties agreed that the limitation for damage agreed in this Contract </w:t>
      </w:r>
      <w:r>
        <w:rPr>
          <w:lang w:val="en-GB"/>
        </w:rPr>
        <w:t>(</w:t>
      </w:r>
      <w:r w:rsidRPr="006109E1">
        <w:rPr>
          <w:lang w:val="en-GB"/>
        </w:rPr>
        <w:t>Section 6 of the Business Terms</w:t>
      </w:r>
      <w:r>
        <w:rPr>
          <w:lang w:val="en-GB"/>
        </w:rPr>
        <w:t xml:space="preserve">) </w:t>
      </w:r>
      <w:r w:rsidRPr="003E2924">
        <w:rPr>
          <w:lang w:val="en-GB"/>
        </w:rPr>
        <w:t>is concluded in accordance with law; therefore, it shall not contradict the provision of Section 2898 of the Civil Code</w:t>
      </w:r>
      <w:r>
        <w:t>.</w:t>
      </w:r>
      <w:r>
        <w:rPr>
          <w:lang w:val="en-GB"/>
        </w:rPr>
        <w:t xml:space="preserve"> </w:t>
      </w:r>
    </w:p>
    <w:p w:rsidR="00DF5D90" w:rsidRPr="00540E9B" w:rsidRDefault="00DF5D90" w:rsidP="00540E9B">
      <w:pPr>
        <w:tabs>
          <w:tab w:val="left" w:pos="5670"/>
        </w:tabs>
        <w:spacing w:before="240"/>
        <w:jc w:val="both"/>
        <w:rPr>
          <w:i/>
          <w:lang w:val="cs-CZ"/>
        </w:rPr>
      </w:pPr>
      <w:r w:rsidRPr="00C94E4D">
        <w:rPr>
          <w:i/>
          <w:lang w:val="cs-CZ"/>
        </w:rPr>
        <w:t>Níže uvedené podpisy právně zavazují Klienta</w:t>
      </w:r>
      <w:r>
        <w:rPr>
          <w:i/>
          <w:lang w:val="cs-CZ"/>
        </w:rPr>
        <w:t xml:space="preserve"> i</w:t>
      </w:r>
      <w:r w:rsidRPr="00C94E4D">
        <w:rPr>
          <w:i/>
          <w:lang w:val="cs-CZ"/>
        </w:rPr>
        <w:t xml:space="preserve"> Deloitte k dodržení </w:t>
      </w:r>
      <w:r>
        <w:rPr>
          <w:i/>
          <w:lang w:val="cs-CZ"/>
        </w:rPr>
        <w:t>ujednání</w:t>
      </w:r>
      <w:r w:rsidRPr="00C94E4D">
        <w:rPr>
          <w:i/>
          <w:lang w:val="cs-CZ"/>
        </w:rPr>
        <w:t xml:space="preserve"> a podmínek této </w:t>
      </w:r>
      <w:r>
        <w:rPr>
          <w:i/>
          <w:lang w:val="cs-CZ"/>
        </w:rPr>
        <w:t>S</w:t>
      </w:r>
      <w:r w:rsidRPr="00C94E4D">
        <w:rPr>
          <w:i/>
          <w:lang w:val="cs-CZ"/>
        </w:rPr>
        <w:t xml:space="preserve">mlouvy včetně </w:t>
      </w:r>
      <w:r>
        <w:rPr>
          <w:i/>
          <w:lang w:val="cs-CZ"/>
        </w:rPr>
        <w:t>Obchodních podmínek</w:t>
      </w:r>
      <w:r w:rsidRPr="00C94E4D">
        <w:rPr>
          <w:i/>
          <w:lang w:val="cs-CZ"/>
        </w:rPr>
        <w:t>.</w:t>
      </w:r>
      <w:r>
        <w:rPr>
          <w:i/>
          <w:lang w:val="cs-CZ"/>
        </w:rPr>
        <w:t xml:space="preserve"> </w:t>
      </w:r>
      <w:r w:rsidRPr="003B1370">
        <w:rPr>
          <w:i/>
          <w:lang w:val="cs-CZ"/>
        </w:rPr>
        <w:t>Odpovědnost za škodu Deloitte dle této Smlouvy se řídí příslušnými ustanoveními zákona o daňovém poradenství</w:t>
      </w:r>
      <w:r>
        <w:rPr>
          <w:i/>
          <w:lang w:val="cs-CZ"/>
        </w:rPr>
        <w:t xml:space="preserve">, </w:t>
      </w:r>
      <w:r w:rsidRPr="003B1370">
        <w:rPr>
          <w:i/>
          <w:lang w:val="cs-CZ"/>
        </w:rPr>
        <w:t xml:space="preserve">Deloitte se </w:t>
      </w:r>
      <w:r>
        <w:rPr>
          <w:i/>
          <w:lang w:val="cs-CZ"/>
        </w:rPr>
        <w:t xml:space="preserve">proto </w:t>
      </w:r>
      <w:r w:rsidRPr="003B1370">
        <w:rPr>
          <w:i/>
          <w:lang w:val="cs-CZ"/>
        </w:rPr>
        <w:t xml:space="preserve">povinnosti k náhradě škody za poskytnuté Služby zcela zprostí, prokáže-li, že Služby poskytla s řádnou odbornou péčí. Smluvní strany souhlasí s tím, že v této Smlouvě dohodnuté omezení výše náhrady škody </w:t>
      </w:r>
      <w:r>
        <w:rPr>
          <w:i/>
          <w:lang w:val="cs-CZ"/>
        </w:rPr>
        <w:t>(čl.</w:t>
      </w:r>
      <w:r w:rsidRPr="0056050A">
        <w:rPr>
          <w:i/>
          <w:lang w:val="cs-CZ"/>
        </w:rPr>
        <w:t xml:space="preserve"> 6 Obchodních podmínek</w:t>
      </w:r>
      <w:r>
        <w:rPr>
          <w:i/>
          <w:lang w:val="cs-CZ"/>
        </w:rPr>
        <w:t xml:space="preserve">) </w:t>
      </w:r>
      <w:r w:rsidRPr="003B1370">
        <w:rPr>
          <w:i/>
          <w:lang w:val="cs-CZ"/>
        </w:rPr>
        <w:t>je sjednáno v souladu se zákonem a tedy neodporuje ustanovení § 2898 občanského zákoníku</w:t>
      </w:r>
      <w:r>
        <w:rPr>
          <w:i/>
          <w:lang w:val="cs-CZ"/>
        </w:rPr>
        <w:t>.</w:t>
      </w:r>
    </w:p>
    <w:p w:rsidR="00DF5D90" w:rsidRDefault="00DF5D90" w:rsidP="00540E9B">
      <w:pPr>
        <w:tabs>
          <w:tab w:val="left" w:pos="5670"/>
        </w:tabs>
        <w:spacing w:before="240" w:after="120"/>
        <w:jc w:val="both"/>
      </w:pPr>
      <w:r w:rsidRPr="00A64F82">
        <w:rPr>
          <w:lang w:val="en-GB"/>
        </w:rPr>
        <w:t xml:space="preserve">The Terms not specifically defined in the Engagement Letter have the meaning specified in the Business Terms. </w:t>
      </w:r>
      <w:r w:rsidRPr="003C025A">
        <w:rPr>
          <w:lang w:val="en-GB"/>
        </w:rPr>
        <w:t>Any Work Order delivered by the Client to Deloitte following the prior and timely delivery of the updated Business Terms shall be considered as the confirmation of and the consent with the changes of the Business Terms by the Client</w:t>
      </w:r>
      <w:r w:rsidRPr="00B720C2">
        <w:t>.</w:t>
      </w:r>
      <w:r>
        <w:t xml:space="preserve"> </w:t>
      </w:r>
      <w:r w:rsidRPr="00B720C2">
        <w:t xml:space="preserve">In case of discrepancy between the Engagement Letter and its </w:t>
      </w:r>
      <w:r>
        <w:t xml:space="preserve">enclosures (forming </w:t>
      </w:r>
      <w:r w:rsidRPr="005A30BF">
        <w:t xml:space="preserve">an inseparable part </w:t>
      </w:r>
      <w:r>
        <w:t>hereof), the following preferences shall apply:</w:t>
      </w:r>
    </w:p>
    <w:p w:rsidR="00DF5D90" w:rsidRPr="009E253F" w:rsidRDefault="00DF5D90" w:rsidP="00540E9B">
      <w:pPr>
        <w:pStyle w:val="slovanseznam"/>
        <w:spacing w:before="240"/>
        <w:rPr>
          <w:lang w:val="en-GB"/>
        </w:rPr>
      </w:pPr>
      <w:r>
        <w:t>Engagement Letter</w:t>
      </w:r>
    </w:p>
    <w:p w:rsidR="00DF5D90" w:rsidRPr="00EB178B" w:rsidRDefault="00DF5D90" w:rsidP="00EB178B">
      <w:pPr>
        <w:pStyle w:val="slovanseznam"/>
        <w:rPr>
          <w:lang w:val="en-GB"/>
        </w:rPr>
      </w:pPr>
      <w:r w:rsidRPr="00D44131">
        <w:rPr>
          <w:lang w:val="en-GB"/>
        </w:rPr>
        <w:t>Enclosure No. 1</w:t>
      </w:r>
    </w:p>
    <w:p w:rsidR="00DF5D90" w:rsidRPr="00D928B1" w:rsidRDefault="00DF5D90" w:rsidP="00540E9B">
      <w:pPr>
        <w:tabs>
          <w:tab w:val="left" w:pos="5670"/>
        </w:tabs>
        <w:spacing w:before="240" w:after="120"/>
        <w:jc w:val="both"/>
        <w:rPr>
          <w:i/>
          <w:lang w:val="cs-CZ"/>
        </w:rPr>
      </w:pPr>
      <w:r w:rsidRPr="0056050A">
        <w:rPr>
          <w:i/>
          <w:lang w:val="cs-CZ"/>
        </w:rPr>
        <w:t>Termíny výslovně nedefinované v tomto Smluvním dopise mají význam specifikovaný v Obchodních podmínkách. Jakákoli Objednávka prací, kterou Klient doručí společnosti Deloitte následně po předchozím včasném doručení aktualizovaných Obchodních podmínek, bude považována za potvrzení a souhlas se změnou Obchodních podmínek ze strany Klienta</w:t>
      </w:r>
      <w:r w:rsidRPr="00D928B1">
        <w:rPr>
          <w:i/>
          <w:lang w:val="cs-CZ"/>
        </w:rPr>
        <w:t>. V případě rozporu mezi tímto Smluvním dopisem a jeho přílohami</w:t>
      </w:r>
      <w:r>
        <w:rPr>
          <w:i/>
          <w:lang w:val="cs-CZ"/>
        </w:rPr>
        <w:t xml:space="preserve">, (které tvoří jeho nedílnou součást) </w:t>
      </w:r>
      <w:r w:rsidRPr="00D928B1">
        <w:rPr>
          <w:i/>
          <w:lang w:val="cs-CZ"/>
        </w:rPr>
        <w:t>platí následující pořadí</w:t>
      </w:r>
      <w:r>
        <w:rPr>
          <w:i/>
          <w:lang w:val="cs-CZ"/>
        </w:rPr>
        <w:t xml:space="preserve"> přednosti</w:t>
      </w:r>
      <w:r w:rsidRPr="00D928B1">
        <w:rPr>
          <w:i/>
          <w:lang w:val="cs-CZ"/>
        </w:rPr>
        <w:t>:</w:t>
      </w:r>
    </w:p>
    <w:p w:rsidR="00DF5D90" w:rsidRPr="00DF5D90" w:rsidRDefault="00DF5D90" w:rsidP="00540E9B">
      <w:pPr>
        <w:pStyle w:val="slovanseznam"/>
        <w:numPr>
          <w:ilvl w:val="0"/>
          <w:numId w:val="39"/>
        </w:numPr>
        <w:spacing w:before="240"/>
        <w:rPr>
          <w:i/>
          <w:lang w:val="cs-CZ"/>
        </w:rPr>
      </w:pPr>
      <w:r w:rsidRPr="00DF5D90">
        <w:rPr>
          <w:i/>
          <w:lang w:val="cs-CZ"/>
        </w:rPr>
        <w:t>Smluvní dopis</w:t>
      </w:r>
    </w:p>
    <w:p w:rsidR="00236CF0" w:rsidRDefault="00DF5D90" w:rsidP="00EB178B">
      <w:pPr>
        <w:pStyle w:val="slovanseznam"/>
        <w:rPr>
          <w:i/>
          <w:lang w:val="cs-CZ"/>
        </w:rPr>
      </w:pPr>
      <w:r w:rsidRPr="00DF5D90">
        <w:rPr>
          <w:i/>
          <w:lang w:val="cs-CZ"/>
        </w:rPr>
        <w:t xml:space="preserve">Příloha č. 1 </w:t>
      </w:r>
    </w:p>
    <w:p w:rsidR="00236CF0" w:rsidRDefault="00236CF0">
      <w:pPr>
        <w:rPr>
          <w:i/>
          <w:lang w:val="cs-CZ"/>
        </w:rPr>
      </w:pPr>
      <w:r>
        <w:rPr>
          <w:i/>
          <w:lang w:val="cs-CZ"/>
        </w:rPr>
        <w:br w:type="page"/>
      </w:r>
    </w:p>
    <w:p w:rsidR="00DF5D90" w:rsidRPr="00EB178B" w:rsidRDefault="00DF5D90" w:rsidP="00EB178B">
      <w:pPr>
        <w:pStyle w:val="slovanseznam"/>
        <w:rPr>
          <w:i/>
          <w:lang w:val="cs-CZ"/>
        </w:rPr>
      </w:pPr>
    </w:p>
    <w:tbl>
      <w:tblPr>
        <w:tblW w:w="9286" w:type="dxa"/>
        <w:tblLayout w:type="fixed"/>
        <w:tblCellMar>
          <w:left w:w="0" w:type="dxa"/>
          <w:right w:w="0" w:type="dxa"/>
        </w:tblCellMar>
        <w:tblLook w:val="0000" w:firstRow="0" w:lastRow="0" w:firstColumn="0" w:lastColumn="0" w:noHBand="0" w:noVBand="0"/>
      </w:tblPr>
      <w:tblGrid>
        <w:gridCol w:w="4643"/>
        <w:gridCol w:w="4643"/>
      </w:tblGrid>
      <w:tr w:rsidR="00DF5D90" w:rsidRPr="0051553A" w:rsidTr="00DF5D90">
        <w:tc>
          <w:tcPr>
            <w:tcW w:w="4643" w:type="dxa"/>
          </w:tcPr>
          <w:p w:rsidR="00DF5D90" w:rsidRPr="000927DD" w:rsidRDefault="00DF5D90" w:rsidP="00540E9B">
            <w:pPr>
              <w:spacing w:before="720"/>
              <w:rPr>
                <w:b/>
                <w:bCs/>
                <w:iCs/>
                <w:lang w:val="cs-CZ"/>
              </w:rPr>
            </w:pPr>
            <w:r w:rsidRPr="000927DD">
              <w:rPr>
                <w:lang w:val="cs-CZ"/>
              </w:rPr>
              <w:t>Date</w:t>
            </w:r>
            <w:r w:rsidRPr="000927DD" w:rsidDel="00BD4C58">
              <w:rPr>
                <w:lang w:val="cs-CZ"/>
              </w:rPr>
              <w:t xml:space="preserve"> </w:t>
            </w:r>
            <w:r w:rsidRPr="000927DD">
              <w:rPr>
                <w:i/>
                <w:lang w:val="cs-CZ"/>
              </w:rPr>
              <w:t>/ Datum……………...........</w:t>
            </w:r>
          </w:p>
          <w:p w:rsidR="00DF5D90" w:rsidRPr="000927DD" w:rsidRDefault="00DF5D90" w:rsidP="00BD152A">
            <w:pPr>
              <w:rPr>
                <w:lang w:val="cs-CZ"/>
              </w:rPr>
            </w:pPr>
          </w:p>
        </w:tc>
        <w:tc>
          <w:tcPr>
            <w:tcW w:w="4643" w:type="dxa"/>
          </w:tcPr>
          <w:p w:rsidR="00DF5D90" w:rsidRPr="000927DD" w:rsidRDefault="00DF5D90" w:rsidP="00540E9B">
            <w:pPr>
              <w:spacing w:before="720"/>
              <w:rPr>
                <w:lang w:val="cs-CZ"/>
              </w:rPr>
            </w:pPr>
            <w:r w:rsidRPr="000927DD">
              <w:rPr>
                <w:lang w:val="cs-CZ"/>
              </w:rPr>
              <w:t xml:space="preserve">Date </w:t>
            </w:r>
            <w:r w:rsidRPr="000927DD">
              <w:rPr>
                <w:i/>
                <w:lang w:val="cs-CZ"/>
              </w:rPr>
              <w:t>/ Datum ……………...........</w:t>
            </w:r>
          </w:p>
        </w:tc>
      </w:tr>
      <w:tr w:rsidR="00DF5D90" w:rsidRPr="0051553A" w:rsidTr="00DF5D90">
        <w:tc>
          <w:tcPr>
            <w:tcW w:w="4643" w:type="dxa"/>
          </w:tcPr>
          <w:p w:rsidR="00DF5D90" w:rsidRPr="000927DD" w:rsidRDefault="00DF5D90" w:rsidP="00BD152A">
            <w:pPr>
              <w:rPr>
                <w:b/>
                <w:i/>
                <w:lang w:val="cs-CZ"/>
              </w:rPr>
            </w:pPr>
            <w:r w:rsidRPr="000927DD">
              <w:rPr>
                <w:b/>
                <w:lang w:val="cs-CZ"/>
              </w:rPr>
              <w:t>Deloitte Advisory s.r.o.</w:t>
            </w:r>
          </w:p>
        </w:tc>
        <w:tc>
          <w:tcPr>
            <w:tcW w:w="4643" w:type="dxa"/>
          </w:tcPr>
          <w:p w:rsidR="00DF5D90" w:rsidRPr="000927DD" w:rsidRDefault="00835E3E" w:rsidP="00BD152A">
            <w:pPr>
              <w:rPr>
                <w:b/>
                <w:lang w:val="cs-CZ"/>
              </w:rPr>
            </w:pPr>
            <w:r w:rsidRPr="00835E3E">
              <w:rPr>
                <w:b/>
                <w:bCs/>
              </w:rPr>
              <w:t>Sportovní zařízení města Příbram</w:t>
            </w:r>
          </w:p>
        </w:tc>
      </w:tr>
      <w:tr w:rsidR="00DF5D90" w:rsidRPr="00F04881" w:rsidTr="00DF5D90">
        <w:tc>
          <w:tcPr>
            <w:tcW w:w="4643" w:type="dxa"/>
          </w:tcPr>
          <w:p w:rsidR="00DF5D90" w:rsidRPr="00F04881" w:rsidRDefault="00DF5D90" w:rsidP="00BD152A"/>
        </w:tc>
        <w:tc>
          <w:tcPr>
            <w:tcW w:w="4643" w:type="dxa"/>
          </w:tcPr>
          <w:p w:rsidR="00DF5D90" w:rsidRPr="002C3D5F" w:rsidRDefault="00DF5D90" w:rsidP="00BD152A">
            <w:pPr>
              <w:rPr>
                <w:b/>
                <w:highlight w:val="lightGray"/>
              </w:rPr>
            </w:pPr>
          </w:p>
        </w:tc>
      </w:tr>
      <w:tr w:rsidR="00DF5D90" w:rsidRPr="00F04881" w:rsidTr="00DF5D90">
        <w:trPr>
          <w:trHeight w:val="1049"/>
        </w:trPr>
        <w:tc>
          <w:tcPr>
            <w:tcW w:w="4643" w:type="dxa"/>
          </w:tcPr>
          <w:p w:rsidR="00DF5D90" w:rsidRDefault="00DF5D90" w:rsidP="00BD152A"/>
          <w:p w:rsidR="00DF5D90" w:rsidRDefault="00DF5D90" w:rsidP="00BD152A"/>
          <w:p w:rsidR="00DF5D90" w:rsidRDefault="00DF5D90" w:rsidP="00BD152A">
            <w:r w:rsidRPr="00F04881">
              <w:t>………………………………………</w:t>
            </w:r>
            <w:r>
              <w:t>………..</w:t>
            </w:r>
          </w:p>
          <w:p w:rsidR="00DF5D90" w:rsidRPr="00F87189" w:rsidRDefault="00DF5D90" w:rsidP="00BD152A">
            <w:pPr>
              <w:jc w:val="both"/>
              <w:rPr>
                <w:lang w:val="en-GB"/>
              </w:rPr>
            </w:pPr>
            <w:r w:rsidRPr="00F87189">
              <w:rPr>
                <w:lang w:val="en-GB"/>
              </w:rPr>
              <w:t>Signature of the authorised person</w:t>
            </w:r>
          </w:p>
          <w:p w:rsidR="00DF5D90" w:rsidRPr="00F87189" w:rsidRDefault="00DF5D90" w:rsidP="00BD152A">
            <w:pPr>
              <w:rPr>
                <w:lang w:val="en-GB"/>
              </w:rPr>
            </w:pPr>
            <w:r w:rsidRPr="00F87189">
              <w:rPr>
                <w:lang w:val="en-GB"/>
              </w:rPr>
              <w:t>of Deloitte</w:t>
            </w:r>
          </w:p>
          <w:p w:rsidR="00DF5D90" w:rsidRPr="00F04881" w:rsidRDefault="00DF5D90" w:rsidP="00BD152A">
            <w:r w:rsidRPr="00F87189">
              <w:rPr>
                <w:i/>
                <w:lang w:val="cs-CZ"/>
              </w:rPr>
              <w:t>Podpis zplnomocněné osoby Deloitte</w:t>
            </w:r>
          </w:p>
        </w:tc>
        <w:tc>
          <w:tcPr>
            <w:tcW w:w="4643" w:type="dxa"/>
          </w:tcPr>
          <w:p w:rsidR="00DF5D90" w:rsidRPr="002C3D5F" w:rsidRDefault="00DF5D90" w:rsidP="00BD152A"/>
          <w:p w:rsidR="00DF5D90" w:rsidRPr="002C3D5F" w:rsidRDefault="00DF5D90" w:rsidP="00BD152A"/>
          <w:p w:rsidR="00DF5D90" w:rsidRPr="002C3D5F" w:rsidRDefault="00DF5D90" w:rsidP="00BD152A">
            <w:r w:rsidRPr="002C3D5F">
              <w:t>………………………………………………..</w:t>
            </w:r>
          </w:p>
          <w:p w:rsidR="00DF5D90" w:rsidRPr="002C3D5F" w:rsidRDefault="00DF5D90" w:rsidP="00BD152A">
            <w:r w:rsidRPr="002C3D5F">
              <w:rPr>
                <w:lang w:val="en-GB"/>
              </w:rPr>
              <w:t>Name of the authorised person or the statutory representative of the Client</w:t>
            </w:r>
          </w:p>
          <w:p w:rsidR="00DF5D90" w:rsidRPr="002C3D5F" w:rsidRDefault="00DF5D90" w:rsidP="00BD152A">
            <w:r w:rsidRPr="002C3D5F">
              <w:rPr>
                <w:i/>
                <w:lang w:val="cs-CZ"/>
              </w:rPr>
              <w:t>Jméno zplnomocněné osoby nebo statutárního zástupce Klienta</w:t>
            </w:r>
          </w:p>
          <w:p w:rsidR="00DF5D90" w:rsidRPr="002C3D5F" w:rsidRDefault="00DF5D90" w:rsidP="00BD152A"/>
          <w:p w:rsidR="00DF5D90" w:rsidRPr="002C3D5F" w:rsidRDefault="00DF5D90" w:rsidP="00BD152A"/>
        </w:tc>
      </w:tr>
      <w:tr w:rsidR="00833E44" w:rsidRPr="00F87189" w:rsidTr="00DF5D90">
        <w:trPr>
          <w:gridAfter w:val="1"/>
          <w:wAfter w:w="4643" w:type="dxa"/>
        </w:trPr>
        <w:tc>
          <w:tcPr>
            <w:tcW w:w="4643" w:type="dxa"/>
          </w:tcPr>
          <w:p w:rsidR="00833E44" w:rsidRPr="007D0EC2" w:rsidRDefault="00833E44" w:rsidP="00BD152A">
            <w:pPr>
              <w:jc w:val="both"/>
              <w:rPr>
                <w:lang w:val="en-GB"/>
              </w:rPr>
            </w:pPr>
          </w:p>
        </w:tc>
      </w:tr>
      <w:tr w:rsidR="00833E44" w:rsidRPr="00F87189" w:rsidTr="00DF5D90">
        <w:trPr>
          <w:gridAfter w:val="1"/>
          <w:wAfter w:w="4643" w:type="dxa"/>
        </w:trPr>
        <w:tc>
          <w:tcPr>
            <w:tcW w:w="4643" w:type="dxa"/>
          </w:tcPr>
          <w:p w:rsidR="00833E44" w:rsidRPr="007D0EC2" w:rsidRDefault="00833E44" w:rsidP="00BD152A">
            <w:pPr>
              <w:jc w:val="both"/>
              <w:rPr>
                <w:i/>
                <w:lang w:val="cs-CZ"/>
              </w:rPr>
            </w:pPr>
          </w:p>
        </w:tc>
      </w:tr>
    </w:tbl>
    <w:p w:rsidR="00DF5D90" w:rsidRDefault="00DF5D90" w:rsidP="00DF5D90">
      <w:pPr>
        <w:tabs>
          <w:tab w:val="left" w:pos="5670"/>
        </w:tabs>
        <w:jc w:val="both"/>
        <w:rPr>
          <w:b/>
          <w:i/>
          <w:lang w:val="cs-CZ"/>
        </w:rPr>
      </w:pPr>
    </w:p>
    <w:p w:rsidR="00DF5D90" w:rsidRPr="00F87189" w:rsidRDefault="00DF5D90" w:rsidP="00487FC2">
      <w:pPr>
        <w:keepNext/>
        <w:keepLines/>
        <w:jc w:val="both"/>
      </w:pPr>
      <w:r w:rsidRPr="00F87189">
        <w:t xml:space="preserve">Enclosure No. </w:t>
      </w:r>
      <w:r w:rsidR="00EB178B">
        <w:t>1</w:t>
      </w:r>
      <w:r w:rsidRPr="00F87189">
        <w:t xml:space="preserve">: Business </w:t>
      </w:r>
      <w:r w:rsidR="00F87189" w:rsidRPr="00F87189">
        <w:t>Terms</w:t>
      </w:r>
    </w:p>
    <w:p w:rsidR="00DF5D90" w:rsidRPr="00F87189" w:rsidRDefault="00F87189" w:rsidP="00487FC2">
      <w:pPr>
        <w:keepNext/>
        <w:keepLines/>
        <w:tabs>
          <w:tab w:val="left" w:pos="5670"/>
        </w:tabs>
        <w:jc w:val="both"/>
        <w:rPr>
          <w:i/>
          <w:lang w:val="cs-CZ"/>
        </w:rPr>
      </w:pPr>
      <w:r w:rsidRPr="00F87189">
        <w:rPr>
          <w:i/>
          <w:lang w:val="cs-CZ"/>
        </w:rPr>
        <w:t xml:space="preserve">Příloha č. </w:t>
      </w:r>
      <w:r w:rsidR="00EB178B">
        <w:rPr>
          <w:i/>
          <w:lang w:val="cs-CZ"/>
        </w:rPr>
        <w:t>1</w:t>
      </w:r>
      <w:r w:rsidRPr="00F87189">
        <w:rPr>
          <w:i/>
          <w:lang w:val="cs-CZ"/>
        </w:rPr>
        <w:t>: Obchodní podmínky</w:t>
      </w:r>
    </w:p>
    <w:p w:rsidR="00DF5D90" w:rsidRPr="00DF5D90" w:rsidRDefault="00DF5D90" w:rsidP="00487FC2">
      <w:pPr>
        <w:keepNext/>
        <w:keepLines/>
        <w:tabs>
          <w:tab w:val="left" w:pos="5670"/>
        </w:tabs>
        <w:jc w:val="both"/>
        <w:rPr>
          <w:rFonts w:asciiTheme="minorHAnsi" w:hAnsiTheme="minorHAnsi"/>
          <w:i/>
          <w:lang w:val="cs-CZ"/>
        </w:rPr>
      </w:pPr>
    </w:p>
    <w:p w:rsidR="00DF5D90" w:rsidRPr="00DF5D90" w:rsidRDefault="00DF5D90" w:rsidP="00487FC2">
      <w:pPr>
        <w:keepNext/>
        <w:keepLines/>
        <w:rPr>
          <w:rFonts w:asciiTheme="minorHAnsi" w:hAnsiTheme="minorHAnsi"/>
          <w:sz w:val="14"/>
          <w:szCs w:val="14"/>
        </w:rPr>
      </w:pPr>
      <w:r w:rsidRPr="00DF5D90">
        <w:rPr>
          <w:rFonts w:asciiTheme="minorHAnsi" w:hAnsiTheme="minorHAnsi"/>
          <w:sz w:val="14"/>
          <w:szCs w:val="14"/>
        </w:rPr>
        <w:t>Consent with Processing of Personal Data:</w:t>
      </w:r>
    </w:p>
    <w:p w:rsidR="00DF5D90" w:rsidRPr="00DF5D90" w:rsidRDefault="00DF5D90" w:rsidP="00487FC2">
      <w:pPr>
        <w:keepNext/>
        <w:keepLines/>
        <w:rPr>
          <w:rFonts w:asciiTheme="minorHAnsi" w:hAnsiTheme="minorHAnsi"/>
          <w:i/>
          <w:sz w:val="14"/>
          <w:szCs w:val="14"/>
        </w:rPr>
      </w:pPr>
      <w:r w:rsidRPr="00DF5D90">
        <w:rPr>
          <w:rFonts w:asciiTheme="minorHAnsi" w:hAnsiTheme="minorHAnsi"/>
          <w:i/>
          <w:sz w:val="14"/>
          <w:szCs w:val="14"/>
        </w:rPr>
        <w:t>Souhlas se zpracováním osobních údajů:</w:t>
      </w:r>
    </w:p>
    <w:p w:rsidR="00DF5D90" w:rsidRPr="00DF5D90" w:rsidRDefault="00DF5D90" w:rsidP="00487FC2">
      <w:pPr>
        <w:keepNext/>
        <w:keepLines/>
        <w:rPr>
          <w:rFonts w:asciiTheme="minorHAnsi" w:hAnsiTheme="minorHAnsi"/>
          <w:sz w:val="14"/>
          <w:szCs w:val="14"/>
        </w:rPr>
      </w:pPr>
    </w:p>
    <w:p w:rsidR="00DF5D90" w:rsidRPr="00DF5D90" w:rsidRDefault="00DF5D90" w:rsidP="00487FC2">
      <w:pPr>
        <w:keepNext/>
        <w:keepLines/>
        <w:rPr>
          <w:rFonts w:asciiTheme="minorHAnsi" w:hAnsiTheme="minorHAnsi"/>
          <w:sz w:val="14"/>
          <w:szCs w:val="14"/>
        </w:rPr>
      </w:pPr>
      <w:r w:rsidRPr="00DF5D90">
        <w:rPr>
          <w:rFonts w:asciiTheme="minorHAnsi" w:hAnsiTheme="minorHAnsi"/>
          <w:sz w:val="14"/>
          <w:szCs w:val="14"/>
        </w:rPr>
        <w:t xml:space="preserve">By the signature above I also </w:t>
      </w:r>
      <w:r w:rsidRPr="00DF5D90">
        <w:rPr>
          <w:rFonts w:asciiTheme="minorHAnsi" w:hAnsiTheme="minorHAnsi"/>
          <w:b/>
          <w:sz w:val="14"/>
          <w:szCs w:val="14"/>
        </w:rPr>
        <w:t>agree/disagree*</w:t>
      </w:r>
      <w:r w:rsidRPr="00DF5D90">
        <w:rPr>
          <w:rFonts w:asciiTheme="minorHAnsi" w:hAnsiTheme="minorHAnsi"/>
          <w:sz w:val="14"/>
          <w:szCs w:val="14"/>
        </w:rPr>
        <w:t xml:space="preserve"> with processing of Personal Data in terms of Section 20 of the Business Terms. This consent can be revoked at any time sending an email to: </w:t>
      </w:r>
      <w:hyperlink r:id="rId12" w:history="1">
        <w:r w:rsidRPr="00DF5D90">
          <w:rPr>
            <w:rFonts w:asciiTheme="minorHAnsi" w:hAnsiTheme="minorHAnsi"/>
            <w:sz w:val="14"/>
            <w:szCs w:val="14"/>
          </w:rPr>
          <w:t>infocz@deloittece.com</w:t>
        </w:r>
      </w:hyperlink>
      <w:r w:rsidRPr="00DF5D90">
        <w:rPr>
          <w:rFonts w:asciiTheme="minorHAnsi" w:hAnsiTheme="minorHAnsi"/>
          <w:sz w:val="14"/>
          <w:szCs w:val="14"/>
        </w:rPr>
        <w:t>.</w:t>
      </w:r>
    </w:p>
    <w:p w:rsidR="00DF5D90" w:rsidRPr="00DF5D90" w:rsidRDefault="00DF5D90" w:rsidP="00487FC2">
      <w:pPr>
        <w:keepNext/>
        <w:keepLines/>
        <w:rPr>
          <w:rFonts w:asciiTheme="minorHAnsi" w:hAnsiTheme="minorHAnsi"/>
          <w:sz w:val="14"/>
          <w:szCs w:val="14"/>
        </w:rPr>
      </w:pPr>
      <w:r w:rsidRPr="00DF5D90">
        <w:rPr>
          <w:rFonts w:asciiTheme="minorHAnsi" w:hAnsiTheme="minorHAnsi"/>
          <w:sz w:val="14"/>
          <w:szCs w:val="14"/>
        </w:rPr>
        <w:t xml:space="preserve">Shora uvedeným podpisem též </w:t>
      </w:r>
      <w:r w:rsidRPr="00DF5D90">
        <w:rPr>
          <w:rFonts w:asciiTheme="minorHAnsi" w:hAnsiTheme="minorHAnsi"/>
          <w:b/>
          <w:sz w:val="14"/>
          <w:szCs w:val="14"/>
        </w:rPr>
        <w:t>souhlasím/nesouhlasím*</w:t>
      </w:r>
      <w:r w:rsidRPr="00DF5D90">
        <w:rPr>
          <w:rFonts w:asciiTheme="minorHAnsi" w:hAnsiTheme="minorHAnsi"/>
          <w:sz w:val="14"/>
          <w:szCs w:val="14"/>
        </w:rPr>
        <w:t xml:space="preserve"> se zpracováním Osobních údajů v souladu s článkem 20 Obchodních podmínek. Tento souhlas lze kdykoliv odvolat zasláním emailu na: </w:t>
      </w:r>
      <w:hyperlink r:id="rId13" w:history="1">
        <w:r w:rsidRPr="00DF5D90">
          <w:rPr>
            <w:rFonts w:asciiTheme="minorHAnsi" w:hAnsiTheme="minorHAnsi"/>
            <w:sz w:val="14"/>
            <w:szCs w:val="14"/>
          </w:rPr>
          <w:t>infocz@deloittece.com</w:t>
        </w:r>
      </w:hyperlink>
      <w:r w:rsidRPr="00DF5D90">
        <w:rPr>
          <w:rFonts w:asciiTheme="minorHAnsi" w:hAnsiTheme="minorHAnsi"/>
          <w:sz w:val="14"/>
          <w:szCs w:val="14"/>
          <w:lang w:val="cs-CZ"/>
        </w:rPr>
        <w:t>.</w:t>
      </w:r>
    </w:p>
    <w:p w:rsidR="00DF5D90" w:rsidRPr="00DF5D90" w:rsidRDefault="00DF5D90" w:rsidP="00487FC2">
      <w:pPr>
        <w:keepNext/>
        <w:keepLines/>
        <w:rPr>
          <w:rFonts w:asciiTheme="minorHAnsi" w:hAnsiTheme="minorHAnsi"/>
          <w:sz w:val="14"/>
          <w:szCs w:val="14"/>
        </w:rPr>
      </w:pPr>
      <w:r w:rsidRPr="00DF5D90">
        <w:rPr>
          <w:rFonts w:asciiTheme="minorHAnsi" w:hAnsiTheme="minorHAnsi"/>
          <w:sz w:val="14"/>
          <w:szCs w:val="14"/>
        </w:rPr>
        <w:t>_______________________</w:t>
      </w:r>
    </w:p>
    <w:p w:rsidR="00DF5D90" w:rsidRPr="00DF5D90" w:rsidRDefault="00DF5D90" w:rsidP="00487FC2">
      <w:pPr>
        <w:keepNext/>
        <w:keepLines/>
        <w:rPr>
          <w:rFonts w:asciiTheme="minorHAnsi" w:hAnsiTheme="minorHAnsi"/>
          <w:sz w:val="14"/>
          <w:szCs w:val="14"/>
        </w:rPr>
      </w:pPr>
      <w:r w:rsidRPr="00DF5D90">
        <w:rPr>
          <w:rFonts w:asciiTheme="minorHAnsi" w:hAnsiTheme="minorHAnsi"/>
          <w:sz w:val="14"/>
          <w:szCs w:val="14"/>
        </w:rPr>
        <w:t>*Choose one option.</w:t>
      </w:r>
    </w:p>
    <w:p w:rsidR="00DF5D90" w:rsidRPr="00DF5D90" w:rsidRDefault="00DF5D90" w:rsidP="00487FC2">
      <w:pPr>
        <w:keepNext/>
        <w:keepLines/>
        <w:tabs>
          <w:tab w:val="left" w:pos="5670"/>
        </w:tabs>
        <w:jc w:val="both"/>
        <w:rPr>
          <w:rFonts w:asciiTheme="minorHAnsi" w:hAnsiTheme="minorHAnsi"/>
          <w:b/>
          <w:i/>
          <w:sz w:val="14"/>
          <w:szCs w:val="14"/>
          <w:lang w:val="cs-CZ"/>
        </w:rPr>
      </w:pPr>
      <w:r w:rsidRPr="00DF5D90">
        <w:rPr>
          <w:rFonts w:asciiTheme="minorHAnsi" w:hAnsiTheme="minorHAnsi"/>
          <w:sz w:val="14"/>
          <w:szCs w:val="14"/>
        </w:rPr>
        <w:t>*Nehod</w:t>
      </w:r>
      <w:r w:rsidRPr="00DF5D90">
        <w:rPr>
          <w:rFonts w:asciiTheme="minorHAnsi" w:hAnsiTheme="minorHAnsi"/>
          <w:sz w:val="14"/>
          <w:szCs w:val="14"/>
          <w:lang w:val="cs-CZ"/>
        </w:rPr>
        <w:t>ící se škrtněte.</w:t>
      </w:r>
    </w:p>
    <w:p w:rsidR="00277DBB" w:rsidRPr="00DF5D90" w:rsidRDefault="00277DBB" w:rsidP="00277DBB">
      <w:pPr>
        <w:rPr>
          <w:rFonts w:asciiTheme="minorHAnsi" w:hAnsiTheme="minorHAnsi"/>
          <w:sz w:val="14"/>
          <w:szCs w:val="14"/>
          <w:lang w:val="cs-CZ"/>
        </w:rPr>
      </w:pPr>
    </w:p>
    <w:sectPr w:rsidR="00277DBB" w:rsidRPr="00DF5D90" w:rsidSect="00DF5D90">
      <w:footerReference w:type="default" r:id="rId14"/>
      <w:footerReference w:type="first" r:id="rId15"/>
      <w:pgSz w:w="11906" w:h="16838" w:code="9"/>
      <w:pgMar w:top="1417" w:right="1417" w:bottom="1417" w:left="1417" w:header="680"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4BC" w:rsidRDefault="004A74BC" w:rsidP="00C702C7">
      <w:pPr>
        <w:spacing w:line="240" w:lineRule="auto"/>
      </w:pPr>
      <w:r>
        <w:separator/>
      </w:r>
    </w:p>
  </w:endnote>
  <w:endnote w:type="continuationSeparator" w:id="0">
    <w:p w:rsidR="004A74BC" w:rsidRDefault="004A74BC" w:rsidP="00C70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OpenSans-Bold">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3544"/>
      <w:gridCol w:w="7002"/>
    </w:tblGrid>
    <w:tr w:rsidR="00B253A1" w:rsidRPr="00D6230E" w:rsidTr="00D6230E">
      <w:tc>
        <w:tcPr>
          <w:tcW w:w="3544" w:type="dxa"/>
          <w:tcBorders>
            <w:top w:val="nil"/>
            <w:left w:val="nil"/>
            <w:bottom w:val="nil"/>
            <w:right w:val="nil"/>
            <w:tl2br w:val="nil"/>
            <w:tr2bl w:val="nil"/>
          </w:tcBorders>
          <w:shd w:val="clear" w:color="auto" w:fill="auto"/>
          <w:vAlign w:val="bottom"/>
        </w:tcPr>
        <w:p w:rsidR="00B253A1" w:rsidRPr="00D6230E" w:rsidRDefault="00F23266" w:rsidP="00BC0047">
          <w:r w:rsidRPr="00D6230E">
            <w:fldChar w:fldCharType="begin"/>
          </w:r>
          <w:r w:rsidRPr="00D6230E">
            <w:instrText xml:space="preserve"> IF </w:instrText>
          </w:r>
          <w:r w:rsidRPr="00D6230E">
            <w:fldChar w:fldCharType="begin"/>
          </w:r>
          <w:r w:rsidRPr="00D6230E">
            <w:instrText xml:space="preserve"> PAGE  \* Arabic  \* MERGEFORMAT </w:instrText>
          </w:r>
          <w:r w:rsidRPr="00D6230E">
            <w:fldChar w:fldCharType="separate"/>
          </w:r>
          <w:r w:rsidR="001A1547">
            <w:rPr>
              <w:noProof/>
            </w:rPr>
            <w:instrText>5</w:instrText>
          </w:r>
          <w:r w:rsidRPr="00D6230E">
            <w:fldChar w:fldCharType="end"/>
          </w:r>
          <w:r w:rsidRPr="00D6230E">
            <w:instrText xml:space="preserve"> &lt; </w:instrText>
          </w:r>
          <w:r w:rsidR="00BC0047" w:rsidRPr="00D6230E">
            <w:instrText>10</w:instrText>
          </w:r>
          <w:r w:rsidRPr="00D6230E">
            <w:instrText xml:space="preserve"> </w:instrText>
          </w:r>
          <w:r w:rsidRPr="00D6230E">
            <w:fldChar w:fldCharType="begin"/>
          </w:r>
          <w:r w:rsidRPr="00D6230E">
            <w:instrText xml:space="preserve"> IF </w:instrText>
          </w:r>
          <w:r w:rsidRPr="00D6230E">
            <w:fldChar w:fldCharType="begin"/>
          </w:r>
          <w:r w:rsidRPr="00D6230E">
            <w:instrText xml:space="preserve"> PAGE  \* Arabic  \* MERGEFORMAT </w:instrText>
          </w:r>
          <w:r w:rsidRPr="00D6230E">
            <w:fldChar w:fldCharType="separate"/>
          </w:r>
          <w:r w:rsidR="001A1547">
            <w:rPr>
              <w:noProof/>
            </w:rPr>
            <w:instrText>5</w:instrText>
          </w:r>
          <w:r w:rsidRPr="00D6230E">
            <w:fldChar w:fldCharType="end"/>
          </w:r>
          <w:r w:rsidRPr="00D6230E">
            <w:instrText xml:space="preserve"> &lt; "10" "0</w:instrText>
          </w:r>
          <w:r w:rsidRPr="00D6230E">
            <w:fldChar w:fldCharType="begin"/>
          </w:r>
          <w:r w:rsidRPr="00D6230E">
            <w:instrText xml:space="preserve"> PAGE  \* Arabic  \* MERGEFORMAT </w:instrText>
          </w:r>
          <w:r w:rsidRPr="00D6230E">
            <w:fldChar w:fldCharType="separate"/>
          </w:r>
          <w:r w:rsidR="001A1547">
            <w:rPr>
              <w:noProof/>
            </w:rPr>
            <w:instrText>5</w:instrText>
          </w:r>
          <w:r w:rsidRPr="00D6230E">
            <w:fldChar w:fldCharType="end"/>
          </w:r>
          <w:r w:rsidRPr="00D6230E">
            <w:instrText xml:space="preserve">" \* MERGEFORMAT </w:instrText>
          </w:r>
          <w:r w:rsidRPr="00D6230E">
            <w:fldChar w:fldCharType="separate"/>
          </w:r>
          <w:r w:rsidR="001A1547" w:rsidRPr="00D6230E">
            <w:rPr>
              <w:noProof/>
            </w:rPr>
            <w:instrText>0</w:instrText>
          </w:r>
          <w:r w:rsidR="001A1547">
            <w:rPr>
              <w:noProof/>
            </w:rPr>
            <w:instrText>5</w:instrText>
          </w:r>
          <w:r w:rsidRPr="00D6230E">
            <w:fldChar w:fldCharType="end"/>
          </w:r>
          <w:r w:rsidR="00BC0047" w:rsidRPr="00D6230E">
            <w:instrText xml:space="preserve"> </w:instrText>
          </w:r>
          <w:r w:rsidR="00BC0047" w:rsidRPr="00D6230E">
            <w:fldChar w:fldCharType="begin"/>
          </w:r>
          <w:r w:rsidR="00BC0047" w:rsidRPr="00D6230E">
            <w:instrText xml:space="preserve"> PAGE  \* Arabic  \* MERGEFORMAT </w:instrText>
          </w:r>
          <w:r w:rsidR="00BC0047" w:rsidRPr="00D6230E">
            <w:fldChar w:fldCharType="separate"/>
          </w:r>
          <w:r w:rsidR="00EA300D" w:rsidRPr="00D6230E">
            <w:rPr>
              <w:noProof/>
            </w:rPr>
            <w:instrText>13</w:instrText>
          </w:r>
          <w:r w:rsidR="00BC0047" w:rsidRPr="00D6230E">
            <w:fldChar w:fldCharType="end"/>
          </w:r>
          <w:r w:rsidRPr="00D6230E">
            <w:instrText xml:space="preserve"> \* MERGEFORMAT </w:instrText>
          </w:r>
          <w:r w:rsidRPr="00D6230E">
            <w:fldChar w:fldCharType="separate"/>
          </w:r>
          <w:r w:rsidR="001A1547" w:rsidRPr="00D6230E">
            <w:rPr>
              <w:noProof/>
            </w:rPr>
            <w:t>0</w:t>
          </w:r>
          <w:r w:rsidR="001A1547">
            <w:rPr>
              <w:noProof/>
            </w:rPr>
            <w:t>5</w:t>
          </w:r>
          <w:r w:rsidRPr="00D6230E">
            <w:fldChar w:fldCharType="end"/>
          </w:r>
        </w:p>
      </w:tc>
      <w:tc>
        <w:tcPr>
          <w:tcW w:w="7002" w:type="dxa"/>
          <w:tcBorders>
            <w:top w:val="nil"/>
            <w:left w:val="nil"/>
            <w:bottom w:val="nil"/>
            <w:right w:val="nil"/>
            <w:tl2br w:val="nil"/>
            <w:tr2bl w:val="nil"/>
          </w:tcBorders>
          <w:shd w:val="clear" w:color="auto" w:fill="auto"/>
          <w:vAlign w:val="bottom"/>
        </w:tcPr>
        <w:p w:rsidR="00B253A1" w:rsidRPr="00D6230E" w:rsidRDefault="00B253A1" w:rsidP="00D6230E">
          <w:pPr>
            <w:spacing w:line="180" w:lineRule="atLeast"/>
            <w:rPr>
              <w:sz w:val="14"/>
              <w:szCs w:val="14"/>
            </w:rPr>
          </w:pPr>
        </w:p>
      </w:tc>
    </w:tr>
  </w:tbl>
  <w:p w:rsidR="00F15F5C" w:rsidRPr="00904097" w:rsidRDefault="00F15F5C" w:rsidP="00904097">
    <w:pPr>
      <w:spacing w:line="240"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097" w:rsidRDefault="00904097"/>
  <w:p w:rsidR="00B36B5C" w:rsidRDefault="00B36B5C">
    <w:r>
      <w:fldChar w:fldCharType="begin"/>
    </w:r>
    <w:r>
      <w:instrText xml:space="preserve"> IF </w:instrText>
    </w:r>
    <w:r>
      <w:fldChar w:fldCharType="begin"/>
    </w:r>
    <w:r>
      <w:instrText xml:space="preserve"> PAGE  \* Arabic  \* MERGEFORMAT </w:instrText>
    </w:r>
    <w:r>
      <w:fldChar w:fldCharType="separate"/>
    </w:r>
    <w:r w:rsidR="001A1547">
      <w:rPr>
        <w:noProof/>
      </w:rPr>
      <w:instrText>1</w:instrText>
    </w:r>
    <w:r>
      <w:fldChar w:fldCharType="end"/>
    </w:r>
    <w:r>
      <w:instrText xml:space="preserve"> &lt; "10" "0</w:instrText>
    </w:r>
    <w:r>
      <w:fldChar w:fldCharType="begin"/>
    </w:r>
    <w:r>
      <w:instrText xml:space="preserve"> PAGE  \* Arabic  \* MERGEFORMAT </w:instrText>
    </w:r>
    <w:r>
      <w:fldChar w:fldCharType="separate"/>
    </w:r>
    <w:r w:rsidR="001A1547">
      <w:rPr>
        <w:noProof/>
      </w:rPr>
      <w:instrText>1</w:instrText>
    </w:r>
    <w:r>
      <w:fldChar w:fldCharType="end"/>
    </w:r>
    <w:r>
      <w:instrText xml:space="preserve">" \* MERGEFORMAT </w:instrText>
    </w:r>
    <w:r>
      <w:fldChar w:fldCharType="separate"/>
    </w:r>
    <w:r w:rsidR="001A1547">
      <w:rPr>
        <w:noProof/>
      </w:rPr>
      <w:t>01</w:t>
    </w:r>
    <w:r>
      <w:fldChar w:fldCharType="end"/>
    </w:r>
  </w:p>
  <w:p w:rsidR="00904097" w:rsidRPr="00904097" w:rsidRDefault="00904097" w:rsidP="00904097">
    <w:pPr>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4BC" w:rsidRDefault="004A74BC" w:rsidP="00C702C7">
      <w:pPr>
        <w:spacing w:line="240" w:lineRule="auto"/>
      </w:pPr>
      <w:r>
        <w:separator/>
      </w:r>
    </w:p>
  </w:footnote>
  <w:footnote w:type="continuationSeparator" w:id="0">
    <w:p w:rsidR="004A74BC" w:rsidRDefault="004A74BC" w:rsidP="00C702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DA8222E"/>
    <w:lvl w:ilvl="0">
      <w:start w:val="1"/>
      <w:numFmt w:val="lowerLetter"/>
      <w:pStyle w:val="slovanseznam2"/>
      <w:lvlText w:val="%1."/>
      <w:lvlJc w:val="left"/>
      <w:pPr>
        <w:ind w:left="644" w:hanging="360"/>
      </w:pPr>
    </w:lvl>
  </w:abstractNum>
  <w:abstractNum w:abstractNumId="1" w15:restartNumberingAfterBreak="0">
    <w:nsid w:val="FFFFFF83"/>
    <w:multiLevelType w:val="singleLevel"/>
    <w:tmpl w:val="8EAA911C"/>
    <w:lvl w:ilvl="0">
      <w:start w:val="1"/>
      <w:numFmt w:val="bullet"/>
      <w:pStyle w:val="Seznamsodrkami2"/>
      <w:lvlText w:val="‒"/>
      <w:lvlJc w:val="left"/>
      <w:pPr>
        <w:ind w:left="587" w:hanging="360"/>
      </w:pPr>
      <w:rPr>
        <w:rFonts w:ascii="Calibri" w:hAnsi="Calibri" w:hint="default"/>
      </w:rPr>
    </w:lvl>
  </w:abstractNum>
  <w:abstractNum w:abstractNumId="2" w15:restartNumberingAfterBreak="0">
    <w:nsid w:val="FFFFFF88"/>
    <w:multiLevelType w:val="singleLevel"/>
    <w:tmpl w:val="F716B3DA"/>
    <w:lvl w:ilvl="0">
      <w:start w:val="1"/>
      <w:numFmt w:val="decimal"/>
      <w:pStyle w:val="slovanseznam"/>
      <w:lvlText w:val="%1."/>
      <w:lvlJc w:val="left"/>
      <w:pPr>
        <w:tabs>
          <w:tab w:val="num" w:pos="360"/>
        </w:tabs>
        <w:ind w:left="360" w:hanging="360"/>
      </w:pPr>
    </w:lvl>
  </w:abstractNum>
  <w:abstractNum w:abstractNumId="3" w15:restartNumberingAfterBreak="0">
    <w:nsid w:val="FFFFFF89"/>
    <w:multiLevelType w:val="singleLevel"/>
    <w:tmpl w:val="2A4026B0"/>
    <w:lvl w:ilvl="0">
      <w:start w:val="1"/>
      <w:numFmt w:val="bullet"/>
      <w:pStyle w:val="Seznamsodrkami"/>
      <w:lvlText w:val=""/>
      <w:lvlJc w:val="left"/>
      <w:pPr>
        <w:tabs>
          <w:tab w:val="num" w:pos="360"/>
        </w:tabs>
        <w:ind w:left="360" w:hanging="360"/>
      </w:pPr>
      <w:rPr>
        <w:rFonts w:ascii="Symbol" w:hAnsi="Symbol" w:hint="default"/>
      </w:rPr>
    </w:lvl>
  </w:abstractNum>
  <w:abstractNum w:abstractNumId="4" w15:restartNumberingAfterBreak="0">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F14C03"/>
    <w:multiLevelType w:val="hybridMultilevel"/>
    <w:tmpl w:val="C5C00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989535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366BD0"/>
    <w:multiLevelType w:val="multilevel"/>
    <w:tmpl w:val="15F6EE94"/>
    <w:lvl w:ilvl="0">
      <w:start w:val="1"/>
      <w:numFmt w:val="decimal"/>
      <w:lvlText w:val="%1."/>
      <w:lvlJc w:val="left"/>
      <w:pPr>
        <w:ind w:left="20" w:hanging="360"/>
      </w:pPr>
      <w:rPr>
        <w:rFonts w:hint="default"/>
        <w:b w:val="0"/>
        <w:i w:val="0"/>
        <w:color w:val="00000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1"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675C29"/>
    <w:multiLevelType w:val="hybridMultilevel"/>
    <w:tmpl w:val="052498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7" w15:restartNumberingAfterBreak="0">
    <w:nsid w:val="4D422964"/>
    <w:multiLevelType w:val="hybridMultilevel"/>
    <w:tmpl w:val="1A381C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52D6C8B"/>
    <w:multiLevelType w:val="hybridMultilevel"/>
    <w:tmpl w:val="9A927368"/>
    <w:lvl w:ilvl="0" w:tplc="DAEC07E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AD1341"/>
    <w:multiLevelType w:val="hybridMultilevel"/>
    <w:tmpl w:val="D98C6866"/>
    <w:lvl w:ilvl="0" w:tplc="93D83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2"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2AB7E0F"/>
    <w:multiLevelType w:val="hybridMultilevel"/>
    <w:tmpl w:val="D5A01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B35276D"/>
    <w:multiLevelType w:val="hybridMultilevel"/>
    <w:tmpl w:val="520E46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C5B25C3"/>
    <w:multiLevelType w:val="hybridMultilevel"/>
    <w:tmpl w:val="41C459DA"/>
    <w:lvl w:ilvl="0" w:tplc="477CAD74">
      <w:numFmt w:val="bullet"/>
      <w:lvlText w:val="•"/>
      <w:lvlJc w:val="left"/>
      <w:pPr>
        <w:ind w:left="1080" w:hanging="72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CA723B0"/>
    <w:multiLevelType w:val="hybridMultilevel"/>
    <w:tmpl w:val="1660B4C8"/>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4AB1AED"/>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422C2C"/>
    <w:multiLevelType w:val="hybridMultilevel"/>
    <w:tmpl w:val="835245B8"/>
    <w:lvl w:ilvl="0" w:tplc="2704351A">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581812"/>
    <w:multiLevelType w:val="hybridMultilevel"/>
    <w:tmpl w:val="503A5B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E28068C"/>
    <w:multiLevelType w:val="multilevel"/>
    <w:tmpl w:val="0FE63172"/>
    <w:lvl w:ilvl="0">
      <w:start w:val="1"/>
      <w:numFmt w:val="decimal"/>
      <w:pStyle w:val="Smlouvaheading1"/>
      <w:lvlText w:val="%1"/>
      <w:lvlJc w:val="left"/>
      <w:pPr>
        <w:tabs>
          <w:tab w:val="num" w:pos="425"/>
        </w:tabs>
        <w:ind w:left="425" w:hanging="425"/>
      </w:pPr>
      <w:rPr>
        <w:rFonts w:hint="default"/>
      </w:rPr>
    </w:lvl>
    <w:lvl w:ilvl="1">
      <w:start w:val="1"/>
      <w:numFmt w:val="decimal"/>
      <w:pStyle w:val="Smlouvaheading2"/>
      <w:lvlText w:val="%1.%2"/>
      <w:lvlJc w:val="left"/>
      <w:pPr>
        <w:tabs>
          <w:tab w:val="num" w:pos="851"/>
        </w:tabs>
        <w:ind w:left="851" w:hanging="426"/>
      </w:pPr>
      <w:rPr>
        <w:rFonts w:hint="default"/>
      </w:rPr>
    </w:lvl>
    <w:lvl w:ilvl="2">
      <w:start w:val="1"/>
      <w:numFmt w:val="decimal"/>
      <w:pStyle w:val="Smlouvaheading3"/>
      <w:lvlText w:val="%1.%2.%3"/>
      <w:lvlJc w:val="left"/>
      <w:pPr>
        <w:tabs>
          <w:tab w:val="num" w:pos="1474"/>
        </w:tabs>
        <w:ind w:left="1474" w:hanging="623"/>
      </w:pPr>
      <w:rPr>
        <w:rFonts w:hint="default"/>
      </w:rPr>
    </w:lvl>
    <w:lvl w:ilvl="3">
      <w:start w:val="1"/>
      <w:numFmt w:val="decimal"/>
      <w:pStyle w:val="Smlouvaheading4"/>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 w:numId="5">
    <w:abstractNumId w:val="12"/>
  </w:num>
  <w:num w:numId="6">
    <w:abstractNumId w:val="21"/>
  </w:num>
  <w:num w:numId="7">
    <w:abstractNumId w:val="21"/>
    <w:lvlOverride w:ilvl="0">
      <w:startOverride w:val="1"/>
    </w:lvlOverride>
  </w:num>
  <w:num w:numId="8">
    <w:abstractNumId w:val="16"/>
  </w:num>
  <w:num w:numId="9">
    <w:abstractNumId w:val="20"/>
  </w:num>
  <w:num w:numId="10">
    <w:abstractNumId w:val="8"/>
  </w:num>
  <w:num w:numId="11">
    <w:abstractNumId w:val="10"/>
  </w:num>
  <w:num w:numId="12">
    <w:abstractNumId w:val="22"/>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1"/>
  </w:num>
  <w:num w:numId="17">
    <w:abstractNumId w:val="15"/>
  </w:num>
  <w:num w:numId="18">
    <w:abstractNumId w:val="7"/>
  </w:num>
  <w:num w:numId="19">
    <w:abstractNumId w:val="13"/>
  </w:num>
  <w:num w:numId="20">
    <w:abstractNumId w:val="4"/>
  </w:num>
  <w:num w:numId="21">
    <w:abstractNumId w:val="31"/>
  </w:num>
  <w:num w:numId="22">
    <w:abstractNumId w:val="31"/>
  </w:num>
  <w:num w:numId="23">
    <w:abstractNumId w:val="31"/>
  </w:num>
  <w:num w:numId="24">
    <w:abstractNumId w:val="31"/>
  </w:num>
  <w:num w:numId="25">
    <w:abstractNumId w:val="28"/>
  </w:num>
  <w:num w:numId="26">
    <w:abstractNumId w:val="26"/>
  </w:num>
  <w:num w:numId="27">
    <w:abstractNumId w:val="29"/>
  </w:num>
  <w:num w:numId="28">
    <w:abstractNumId w:val="23"/>
  </w:num>
  <w:num w:numId="29">
    <w:abstractNumId w:val="3"/>
  </w:num>
  <w:num w:numId="30">
    <w:abstractNumId w:val="1"/>
  </w:num>
  <w:num w:numId="31">
    <w:abstractNumId w:val="2"/>
  </w:num>
  <w:num w:numId="32">
    <w:abstractNumId w:val="0"/>
  </w:num>
  <w:num w:numId="33">
    <w:abstractNumId w:val="31"/>
  </w:num>
  <w:num w:numId="34">
    <w:abstractNumId w:val="31"/>
  </w:num>
  <w:num w:numId="35">
    <w:abstractNumId w:val="31"/>
  </w:num>
  <w:num w:numId="36">
    <w:abstractNumId w:val="31"/>
  </w:num>
  <w:num w:numId="37">
    <w:abstractNumId w:val="13"/>
  </w:num>
  <w:num w:numId="38">
    <w:abstractNumId w:val="4"/>
  </w:num>
  <w:num w:numId="39">
    <w:abstractNumId w:val="2"/>
    <w:lvlOverride w:ilvl="0">
      <w:startOverride w:val="1"/>
    </w:lvlOverride>
  </w:num>
  <w:num w:numId="40">
    <w:abstractNumId w:val="9"/>
  </w:num>
  <w:num w:numId="41">
    <w:abstractNumId w:val="14"/>
  </w:num>
  <w:num w:numId="42">
    <w:abstractNumId w:val="18"/>
  </w:num>
  <w:num w:numId="43">
    <w:abstractNumId w:val="19"/>
  </w:num>
  <w:num w:numId="44">
    <w:abstractNumId w:val="5"/>
  </w:num>
  <w:num w:numId="45">
    <w:abstractNumId w:val="17"/>
  </w:num>
  <w:num w:numId="46">
    <w:abstractNumId w:val="25"/>
  </w:num>
  <w:num w:numId="47">
    <w:abstractNumId w:val="30"/>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D90"/>
    <w:rsid w:val="000005FE"/>
    <w:rsid w:val="000131A3"/>
    <w:rsid w:val="00014B89"/>
    <w:rsid w:val="000173B3"/>
    <w:rsid w:val="00020D44"/>
    <w:rsid w:val="00021A39"/>
    <w:rsid w:val="00025E7D"/>
    <w:rsid w:val="00035DBA"/>
    <w:rsid w:val="00037C0E"/>
    <w:rsid w:val="00037C17"/>
    <w:rsid w:val="00041DB4"/>
    <w:rsid w:val="000429AC"/>
    <w:rsid w:val="00042B6A"/>
    <w:rsid w:val="00042B99"/>
    <w:rsid w:val="0004657A"/>
    <w:rsid w:val="000516C4"/>
    <w:rsid w:val="000517C0"/>
    <w:rsid w:val="00061444"/>
    <w:rsid w:val="000637A6"/>
    <w:rsid w:val="00066BBA"/>
    <w:rsid w:val="00071509"/>
    <w:rsid w:val="00083DD5"/>
    <w:rsid w:val="00092341"/>
    <w:rsid w:val="000927DD"/>
    <w:rsid w:val="0009507E"/>
    <w:rsid w:val="000A7F05"/>
    <w:rsid w:val="000B6C05"/>
    <w:rsid w:val="000C20BD"/>
    <w:rsid w:val="000C2B24"/>
    <w:rsid w:val="000C5EA5"/>
    <w:rsid w:val="000D00CF"/>
    <w:rsid w:val="000D2DE0"/>
    <w:rsid w:val="000E2C94"/>
    <w:rsid w:val="000E3EDE"/>
    <w:rsid w:val="000E3F49"/>
    <w:rsid w:val="000E4AA4"/>
    <w:rsid w:val="000F5C22"/>
    <w:rsid w:val="0010113D"/>
    <w:rsid w:val="001014A5"/>
    <w:rsid w:val="0010462B"/>
    <w:rsid w:val="00106439"/>
    <w:rsid w:val="00106E1E"/>
    <w:rsid w:val="00111011"/>
    <w:rsid w:val="00123AD3"/>
    <w:rsid w:val="001263BF"/>
    <w:rsid w:val="001265CF"/>
    <w:rsid w:val="00130191"/>
    <w:rsid w:val="00130E87"/>
    <w:rsid w:val="00135844"/>
    <w:rsid w:val="00136294"/>
    <w:rsid w:val="001402AD"/>
    <w:rsid w:val="001457BC"/>
    <w:rsid w:val="00157BD7"/>
    <w:rsid w:val="00163881"/>
    <w:rsid w:val="001659E4"/>
    <w:rsid w:val="001708B9"/>
    <w:rsid w:val="0017280D"/>
    <w:rsid w:val="001757CE"/>
    <w:rsid w:val="00175B18"/>
    <w:rsid w:val="00180BDA"/>
    <w:rsid w:val="0018108F"/>
    <w:rsid w:val="00186FC8"/>
    <w:rsid w:val="00193BE3"/>
    <w:rsid w:val="001975EF"/>
    <w:rsid w:val="0019765A"/>
    <w:rsid w:val="001A1547"/>
    <w:rsid w:val="001A2C32"/>
    <w:rsid w:val="001A45CF"/>
    <w:rsid w:val="001B0F94"/>
    <w:rsid w:val="001B5C19"/>
    <w:rsid w:val="001D03A7"/>
    <w:rsid w:val="001D6FBD"/>
    <w:rsid w:val="001E016B"/>
    <w:rsid w:val="001E3AF7"/>
    <w:rsid w:val="001E7D3E"/>
    <w:rsid w:val="001F38BE"/>
    <w:rsid w:val="001F61B8"/>
    <w:rsid w:val="001F6839"/>
    <w:rsid w:val="00200D84"/>
    <w:rsid w:val="00204CBA"/>
    <w:rsid w:val="00211AB1"/>
    <w:rsid w:val="00212852"/>
    <w:rsid w:val="00214B5E"/>
    <w:rsid w:val="00216CF6"/>
    <w:rsid w:val="00220CCF"/>
    <w:rsid w:val="00227F1F"/>
    <w:rsid w:val="00231B44"/>
    <w:rsid w:val="002340B6"/>
    <w:rsid w:val="00234BA2"/>
    <w:rsid w:val="00235582"/>
    <w:rsid w:val="00236CF0"/>
    <w:rsid w:val="002370AB"/>
    <w:rsid w:val="00237872"/>
    <w:rsid w:val="0024202F"/>
    <w:rsid w:val="00244010"/>
    <w:rsid w:val="00253D2A"/>
    <w:rsid w:val="00255D53"/>
    <w:rsid w:val="00267838"/>
    <w:rsid w:val="00275810"/>
    <w:rsid w:val="00277DBB"/>
    <w:rsid w:val="002930B2"/>
    <w:rsid w:val="00294BBA"/>
    <w:rsid w:val="00295B52"/>
    <w:rsid w:val="00297214"/>
    <w:rsid w:val="002978C0"/>
    <w:rsid w:val="002A610B"/>
    <w:rsid w:val="002B2376"/>
    <w:rsid w:val="002B4054"/>
    <w:rsid w:val="002B4D02"/>
    <w:rsid w:val="002B6D2E"/>
    <w:rsid w:val="002C3D5F"/>
    <w:rsid w:val="002C5FEA"/>
    <w:rsid w:val="002C690A"/>
    <w:rsid w:val="002C6F50"/>
    <w:rsid w:val="002C7DC8"/>
    <w:rsid w:val="002D41F7"/>
    <w:rsid w:val="002E1C00"/>
    <w:rsid w:val="002E33AE"/>
    <w:rsid w:val="002E7099"/>
    <w:rsid w:val="002F2771"/>
    <w:rsid w:val="002F279A"/>
    <w:rsid w:val="00304B59"/>
    <w:rsid w:val="003050D4"/>
    <w:rsid w:val="003121C1"/>
    <w:rsid w:val="003142F0"/>
    <w:rsid w:val="0032373B"/>
    <w:rsid w:val="00330734"/>
    <w:rsid w:val="00331D1F"/>
    <w:rsid w:val="00337680"/>
    <w:rsid w:val="00341624"/>
    <w:rsid w:val="00357E4F"/>
    <w:rsid w:val="00367B44"/>
    <w:rsid w:val="00375EB8"/>
    <w:rsid w:val="00377AE4"/>
    <w:rsid w:val="003863C7"/>
    <w:rsid w:val="0039181B"/>
    <w:rsid w:val="003923FD"/>
    <w:rsid w:val="00394BEE"/>
    <w:rsid w:val="003A494E"/>
    <w:rsid w:val="003B101C"/>
    <w:rsid w:val="003B3379"/>
    <w:rsid w:val="003B3C47"/>
    <w:rsid w:val="003B3F96"/>
    <w:rsid w:val="003C12AF"/>
    <w:rsid w:val="003C1742"/>
    <w:rsid w:val="003C26B8"/>
    <w:rsid w:val="003C4BE4"/>
    <w:rsid w:val="003C4DE4"/>
    <w:rsid w:val="003D1A80"/>
    <w:rsid w:val="003E138D"/>
    <w:rsid w:val="003E1820"/>
    <w:rsid w:val="003E49BA"/>
    <w:rsid w:val="003F2224"/>
    <w:rsid w:val="00404297"/>
    <w:rsid w:val="004052BC"/>
    <w:rsid w:val="004066C3"/>
    <w:rsid w:val="00412EA0"/>
    <w:rsid w:val="004217B8"/>
    <w:rsid w:val="004314E1"/>
    <w:rsid w:val="00432002"/>
    <w:rsid w:val="00433FF4"/>
    <w:rsid w:val="00436A90"/>
    <w:rsid w:val="0044117C"/>
    <w:rsid w:val="00444C81"/>
    <w:rsid w:val="0044558B"/>
    <w:rsid w:val="004509E3"/>
    <w:rsid w:val="00451AD9"/>
    <w:rsid w:val="00457C1A"/>
    <w:rsid w:val="00473614"/>
    <w:rsid w:val="0047440D"/>
    <w:rsid w:val="004860A3"/>
    <w:rsid w:val="00486736"/>
    <w:rsid w:val="00487FC2"/>
    <w:rsid w:val="004A0DCC"/>
    <w:rsid w:val="004A6C6D"/>
    <w:rsid w:val="004A74BC"/>
    <w:rsid w:val="004B1E30"/>
    <w:rsid w:val="004C2616"/>
    <w:rsid w:val="004D159E"/>
    <w:rsid w:val="004D1F57"/>
    <w:rsid w:val="004D49FC"/>
    <w:rsid w:val="004F47B4"/>
    <w:rsid w:val="004F4A4B"/>
    <w:rsid w:val="00501EFF"/>
    <w:rsid w:val="00526863"/>
    <w:rsid w:val="005270F9"/>
    <w:rsid w:val="00540E9B"/>
    <w:rsid w:val="00542505"/>
    <w:rsid w:val="00543BA8"/>
    <w:rsid w:val="00544D24"/>
    <w:rsid w:val="00563C6F"/>
    <w:rsid w:val="00564F21"/>
    <w:rsid w:val="00573556"/>
    <w:rsid w:val="00573D2F"/>
    <w:rsid w:val="00577E11"/>
    <w:rsid w:val="005807B4"/>
    <w:rsid w:val="005843DE"/>
    <w:rsid w:val="00593BF7"/>
    <w:rsid w:val="005967D7"/>
    <w:rsid w:val="0059682F"/>
    <w:rsid w:val="005969FB"/>
    <w:rsid w:val="00596E71"/>
    <w:rsid w:val="005A2F04"/>
    <w:rsid w:val="005B6B53"/>
    <w:rsid w:val="005C18F1"/>
    <w:rsid w:val="005C23D6"/>
    <w:rsid w:val="005D06FD"/>
    <w:rsid w:val="005D5512"/>
    <w:rsid w:val="005D66F2"/>
    <w:rsid w:val="005E3501"/>
    <w:rsid w:val="005F29BD"/>
    <w:rsid w:val="005F3D7B"/>
    <w:rsid w:val="005F525A"/>
    <w:rsid w:val="005F54F5"/>
    <w:rsid w:val="005F68FD"/>
    <w:rsid w:val="005F74C0"/>
    <w:rsid w:val="00605199"/>
    <w:rsid w:val="00624C5E"/>
    <w:rsid w:val="00626FD8"/>
    <w:rsid w:val="0062716B"/>
    <w:rsid w:val="006464CD"/>
    <w:rsid w:val="00650D85"/>
    <w:rsid w:val="006528C9"/>
    <w:rsid w:val="00654357"/>
    <w:rsid w:val="006673E8"/>
    <w:rsid w:val="00671EC0"/>
    <w:rsid w:val="00675FA3"/>
    <w:rsid w:val="00676F48"/>
    <w:rsid w:val="0067770B"/>
    <w:rsid w:val="00686056"/>
    <w:rsid w:val="00691C32"/>
    <w:rsid w:val="006A473D"/>
    <w:rsid w:val="006B0513"/>
    <w:rsid w:val="006B16E0"/>
    <w:rsid w:val="006B24BB"/>
    <w:rsid w:val="006B30D1"/>
    <w:rsid w:val="006B4816"/>
    <w:rsid w:val="006C4B90"/>
    <w:rsid w:val="006C5AD3"/>
    <w:rsid w:val="006C617F"/>
    <w:rsid w:val="006D6A17"/>
    <w:rsid w:val="006E4CDF"/>
    <w:rsid w:val="006F1E4F"/>
    <w:rsid w:val="00705766"/>
    <w:rsid w:val="00712731"/>
    <w:rsid w:val="00713987"/>
    <w:rsid w:val="00716C8B"/>
    <w:rsid w:val="007172D9"/>
    <w:rsid w:val="00720888"/>
    <w:rsid w:val="0072138D"/>
    <w:rsid w:val="0072746D"/>
    <w:rsid w:val="007312AA"/>
    <w:rsid w:val="007342AA"/>
    <w:rsid w:val="00734C1B"/>
    <w:rsid w:val="0073576D"/>
    <w:rsid w:val="007453FA"/>
    <w:rsid w:val="007460A4"/>
    <w:rsid w:val="00750D3B"/>
    <w:rsid w:val="007516F0"/>
    <w:rsid w:val="00753A99"/>
    <w:rsid w:val="007550AB"/>
    <w:rsid w:val="007604FB"/>
    <w:rsid w:val="007653DA"/>
    <w:rsid w:val="0076614E"/>
    <w:rsid w:val="00767B6F"/>
    <w:rsid w:val="00773725"/>
    <w:rsid w:val="00784EB7"/>
    <w:rsid w:val="00786B88"/>
    <w:rsid w:val="0079305A"/>
    <w:rsid w:val="007A1421"/>
    <w:rsid w:val="007B29C4"/>
    <w:rsid w:val="007B2FB1"/>
    <w:rsid w:val="007C008A"/>
    <w:rsid w:val="007C0C20"/>
    <w:rsid w:val="007C38B4"/>
    <w:rsid w:val="007C7944"/>
    <w:rsid w:val="007C7C55"/>
    <w:rsid w:val="007E03C0"/>
    <w:rsid w:val="007E2034"/>
    <w:rsid w:val="007E2836"/>
    <w:rsid w:val="007E568A"/>
    <w:rsid w:val="007E626F"/>
    <w:rsid w:val="007F0D03"/>
    <w:rsid w:val="007F4828"/>
    <w:rsid w:val="008005C8"/>
    <w:rsid w:val="008006BE"/>
    <w:rsid w:val="00802289"/>
    <w:rsid w:val="0080397A"/>
    <w:rsid w:val="00807054"/>
    <w:rsid w:val="0080728A"/>
    <w:rsid w:val="00813DBC"/>
    <w:rsid w:val="00813F7A"/>
    <w:rsid w:val="00821F18"/>
    <w:rsid w:val="00822995"/>
    <w:rsid w:val="00822FC7"/>
    <w:rsid w:val="00825CB7"/>
    <w:rsid w:val="00831001"/>
    <w:rsid w:val="00833E44"/>
    <w:rsid w:val="00835E3E"/>
    <w:rsid w:val="00855866"/>
    <w:rsid w:val="00855A9A"/>
    <w:rsid w:val="00856A0E"/>
    <w:rsid w:val="008631CE"/>
    <w:rsid w:val="0086443E"/>
    <w:rsid w:val="00872FD2"/>
    <w:rsid w:val="00873D35"/>
    <w:rsid w:val="00876869"/>
    <w:rsid w:val="00880D67"/>
    <w:rsid w:val="00894F9A"/>
    <w:rsid w:val="00896BD0"/>
    <w:rsid w:val="008B26FD"/>
    <w:rsid w:val="008B2E86"/>
    <w:rsid w:val="008C0EAA"/>
    <w:rsid w:val="008C4822"/>
    <w:rsid w:val="008C5727"/>
    <w:rsid w:val="008C5A91"/>
    <w:rsid w:val="008E1BCB"/>
    <w:rsid w:val="008E2830"/>
    <w:rsid w:val="008E3008"/>
    <w:rsid w:val="008E7B8E"/>
    <w:rsid w:val="008E7ED3"/>
    <w:rsid w:val="008F1DA6"/>
    <w:rsid w:val="008F31BA"/>
    <w:rsid w:val="008F4A80"/>
    <w:rsid w:val="00904097"/>
    <w:rsid w:val="009053F7"/>
    <w:rsid w:val="00905422"/>
    <w:rsid w:val="00927F3E"/>
    <w:rsid w:val="00930258"/>
    <w:rsid w:val="00930A39"/>
    <w:rsid w:val="009350F0"/>
    <w:rsid w:val="009378D2"/>
    <w:rsid w:val="009419A4"/>
    <w:rsid w:val="009458BB"/>
    <w:rsid w:val="00952D32"/>
    <w:rsid w:val="00957BA0"/>
    <w:rsid w:val="009679BA"/>
    <w:rsid w:val="00971261"/>
    <w:rsid w:val="00977BEA"/>
    <w:rsid w:val="00986E1A"/>
    <w:rsid w:val="00991538"/>
    <w:rsid w:val="0099372E"/>
    <w:rsid w:val="00994C96"/>
    <w:rsid w:val="00995104"/>
    <w:rsid w:val="009A0464"/>
    <w:rsid w:val="009A44A5"/>
    <w:rsid w:val="009B058D"/>
    <w:rsid w:val="009B0661"/>
    <w:rsid w:val="009B139F"/>
    <w:rsid w:val="009B2D95"/>
    <w:rsid w:val="009B60B8"/>
    <w:rsid w:val="009C403B"/>
    <w:rsid w:val="009D3564"/>
    <w:rsid w:val="009D5174"/>
    <w:rsid w:val="009D57E3"/>
    <w:rsid w:val="009E006D"/>
    <w:rsid w:val="009E0A65"/>
    <w:rsid w:val="009E482C"/>
    <w:rsid w:val="009E5122"/>
    <w:rsid w:val="00A043CA"/>
    <w:rsid w:val="00A063EE"/>
    <w:rsid w:val="00A161A4"/>
    <w:rsid w:val="00A17957"/>
    <w:rsid w:val="00A22C63"/>
    <w:rsid w:val="00A25332"/>
    <w:rsid w:val="00A31E80"/>
    <w:rsid w:val="00A32258"/>
    <w:rsid w:val="00A33333"/>
    <w:rsid w:val="00A37554"/>
    <w:rsid w:val="00A41DCD"/>
    <w:rsid w:val="00A43B3E"/>
    <w:rsid w:val="00A5181E"/>
    <w:rsid w:val="00A540E9"/>
    <w:rsid w:val="00A5679C"/>
    <w:rsid w:val="00A573FE"/>
    <w:rsid w:val="00A63A47"/>
    <w:rsid w:val="00A659E1"/>
    <w:rsid w:val="00A7281A"/>
    <w:rsid w:val="00A80E26"/>
    <w:rsid w:val="00A85445"/>
    <w:rsid w:val="00A900CC"/>
    <w:rsid w:val="00A9095F"/>
    <w:rsid w:val="00A96F83"/>
    <w:rsid w:val="00A97EDE"/>
    <w:rsid w:val="00AA34E3"/>
    <w:rsid w:val="00AA4905"/>
    <w:rsid w:val="00AB1BE2"/>
    <w:rsid w:val="00AB32A9"/>
    <w:rsid w:val="00AB3DD5"/>
    <w:rsid w:val="00AC02AA"/>
    <w:rsid w:val="00AC1D94"/>
    <w:rsid w:val="00AC2081"/>
    <w:rsid w:val="00AC5422"/>
    <w:rsid w:val="00AD1749"/>
    <w:rsid w:val="00AD6475"/>
    <w:rsid w:val="00AE0FC7"/>
    <w:rsid w:val="00AE6C40"/>
    <w:rsid w:val="00AE710A"/>
    <w:rsid w:val="00B020E4"/>
    <w:rsid w:val="00B055B1"/>
    <w:rsid w:val="00B0660D"/>
    <w:rsid w:val="00B0661B"/>
    <w:rsid w:val="00B06697"/>
    <w:rsid w:val="00B176C3"/>
    <w:rsid w:val="00B20E03"/>
    <w:rsid w:val="00B253A1"/>
    <w:rsid w:val="00B262AB"/>
    <w:rsid w:val="00B33CB7"/>
    <w:rsid w:val="00B33F30"/>
    <w:rsid w:val="00B352FA"/>
    <w:rsid w:val="00B36B5C"/>
    <w:rsid w:val="00B36D31"/>
    <w:rsid w:val="00B43146"/>
    <w:rsid w:val="00B46969"/>
    <w:rsid w:val="00B47A1D"/>
    <w:rsid w:val="00B512B7"/>
    <w:rsid w:val="00B617CD"/>
    <w:rsid w:val="00B66FC9"/>
    <w:rsid w:val="00B76AF5"/>
    <w:rsid w:val="00B805E0"/>
    <w:rsid w:val="00B878C1"/>
    <w:rsid w:val="00B955FF"/>
    <w:rsid w:val="00B962CB"/>
    <w:rsid w:val="00BB4A7A"/>
    <w:rsid w:val="00BB6CB3"/>
    <w:rsid w:val="00BC0047"/>
    <w:rsid w:val="00BC266F"/>
    <w:rsid w:val="00BC66B5"/>
    <w:rsid w:val="00BD2206"/>
    <w:rsid w:val="00BE48D2"/>
    <w:rsid w:val="00BE77B1"/>
    <w:rsid w:val="00BF0614"/>
    <w:rsid w:val="00BF6154"/>
    <w:rsid w:val="00BF67EE"/>
    <w:rsid w:val="00BF6F8B"/>
    <w:rsid w:val="00C04DCF"/>
    <w:rsid w:val="00C04F0F"/>
    <w:rsid w:val="00C06177"/>
    <w:rsid w:val="00C075EA"/>
    <w:rsid w:val="00C158DA"/>
    <w:rsid w:val="00C23990"/>
    <w:rsid w:val="00C25EC1"/>
    <w:rsid w:val="00C34C43"/>
    <w:rsid w:val="00C41BEB"/>
    <w:rsid w:val="00C4757D"/>
    <w:rsid w:val="00C50A26"/>
    <w:rsid w:val="00C53C00"/>
    <w:rsid w:val="00C61AC6"/>
    <w:rsid w:val="00C64AFE"/>
    <w:rsid w:val="00C702C7"/>
    <w:rsid w:val="00C7429C"/>
    <w:rsid w:val="00C762EB"/>
    <w:rsid w:val="00C81837"/>
    <w:rsid w:val="00C86B3B"/>
    <w:rsid w:val="00C8703B"/>
    <w:rsid w:val="00CA4E63"/>
    <w:rsid w:val="00CA5B05"/>
    <w:rsid w:val="00CB321E"/>
    <w:rsid w:val="00CC2A1A"/>
    <w:rsid w:val="00CC5E8F"/>
    <w:rsid w:val="00CD47B4"/>
    <w:rsid w:val="00CD5842"/>
    <w:rsid w:val="00CE1D9F"/>
    <w:rsid w:val="00CF3CA4"/>
    <w:rsid w:val="00CF51C2"/>
    <w:rsid w:val="00CF546E"/>
    <w:rsid w:val="00CF7F7F"/>
    <w:rsid w:val="00D0023B"/>
    <w:rsid w:val="00D0088B"/>
    <w:rsid w:val="00D01239"/>
    <w:rsid w:val="00D200F7"/>
    <w:rsid w:val="00D236E8"/>
    <w:rsid w:val="00D27B73"/>
    <w:rsid w:val="00D329DF"/>
    <w:rsid w:val="00D33A2B"/>
    <w:rsid w:val="00D35C72"/>
    <w:rsid w:val="00D36E73"/>
    <w:rsid w:val="00D4280C"/>
    <w:rsid w:val="00D5297D"/>
    <w:rsid w:val="00D52A6A"/>
    <w:rsid w:val="00D530DF"/>
    <w:rsid w:val="00D61DFC"/>
    <w:rsid w:val="00D6230E"/>
    <w:rsid w:val="00D6612D"/>
    <w:rsid w:val="00D75C24"/>
    <w:rsid w:val="00D768FD"/>
    <w:rsid w:val="00D7732D"/>
    <w:rsid w:val="00D814A3"/>
    <w:rsid w:val="00D815D0"/>
    <w:rsid w:val="00D91A69"/>
    <w:rsid w:val="00D95DED"/>
    <w:rsid w:val="00DA1962"/>
    <w:rsid w:val="00DB0CB1"/>
    <w:rsid w:val="00DB319A"/>
    <w:rsid w:val="00DB5D79"/>
    <w:rsid w:val="00DC4D91"/>
    <w:rsid w:val="00DC65D0"/>
    <w:rsid w:val="00DD5A1B"/>
    <w:rsid w:val="00DD715C"/>
    <w:rsid w:val="00DE18BC"/>
    <w:rsid w:val="00DE3293"/>
    <w:rsid w:val="00DF4B62"/>
    <w:rsid w:val="00DF5D90"/>
    <w:rsid w:val="00E044C3"/>
    <w:rsid w:val="00E0517E"/>
    <w:rsid w:val="00E15DEF"/>
    <w:rsid w:val="00E15E9E"/>
    <w:rsid w:val="00E26113"/>
    <w:rsid w:val="00E266A4"/>
    <w:rsid w:val="00E307B8"/>
    <w:rsid w:val="00E31C18"/>
    <w:rsid w:val="00E35306"/>
    <w:rsid w:val="00E35847"/>
    <w:rsid w:val="00E36C7A"/>
    <w:rsid w:val="00E4362E"/>
    <w:rsid w:val="00E51605"/>
    <w:rsid w:val="00E5307F"/>
    <w:rsid w:val="00E54BEF"/>
    <w:rsid w:val="00E56993"/>
    <w:rsid w:val="00E56F4A"/>
    <w:rsid w:val="00E62799"/>
    <w:rsid w:val="00E7797E"/>
    <w:rsid w:val="00E82807"/>
    <w:rsid w:val="00E87432"/>
    <w:rsid w:val="00E943B8"/>
    <w:rsid w:val="00E94C20"/>
    <w:rsid w:val="00EA300D"/>
    <w:rsid w:val="00EB178B"/>
    <w:rsid w:val="00EB209E"/>
    <w:rsid w:val="00EB3CC2"/>
    <w:rsid w:val="00EB5CD1"/>
    <w:rsid w:val="00EC6CC9"/>
    <w:rsid w:val="00ED3D75"/>
    <w:rsid w:val="00ED5DBC"/>
    <w:rsid w:val="00EE16D4"/>
    <w:rsid w:val="00EE2C87"/>
    <w:rsid w:val="00EE57A7"/>
    <w:rsid w:val="00EE61A2"/>
    <w:rsid w:val="00EF0925"/>
    <w:rsid w:val="00EF4086"/>
    <w:rsid w:val="00F045B9"/>
    <w:rsid w:val="00F05359"/>
    <w:rsid w:val="00F1518C"/>
    <w:rsid w:val="00F15F5C"/>
    <w:rsid w:val="00F23266"/>
    <w:rsid w:val="00F3081C"/>
    <w:rsid w:val="00F33830"/>
    <w:rsid w:val="00F448EC"/>
    <w:rsid w:val="00F506EF"/>
    <w:rsid w:val="00F5140D"/>
    <w:rsid w:val="00F565A3"/>
    <w:rsid w:val="00F64334"/>
    <w:rsid w:val="00F7435C"/>
    <w:rsid w:val="00F87189"/>
    <w:rsid w:val="00F9119D"/>
    <w:rsid w:val="00F973D7"/>
    <w:rsid w:val="00FA6EC4"/>
    <w:rsid w:val="00FB0CB7"/>
    <w:rsid w:val="00FB25C1"/>
    <w:rsid w:val="00FB6C38"/>
    <w:rsid w:val="00FC1E31"/>
    <w:rsid w:val="00FC2104"/>
    <w:rsid w:val="00FC2B0D"/>
    <w:rsid w:val="00FC3A87"/>
    <w:rsid w:val="00FC3DB1"/>
    <w:rsid w:val="00FC5C06"/>
    <w:rsid w:val="00FD505C"/>
    <w:rsid w:val="00FD5421"/>
    <w:rsid w:val="00FE5DB8"/>
    <w:rsid w:val="00FE7902"/>
    <w:rsid w:val="00FE7E6F"/>
    <w:rsid w:val="00FF0F52"/>
    <w:rsid w:val="00FF1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77573"/>
  <w15:chartTrackingRefBased/>
  <w15:docId w15:val="{9D761314-75C5-4111-A079-BD488DE8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Times New Roman"/>
        <w:lang w:val="cs-CZ" w:eastAsia="cs-CZ"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0"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5D90"/>
    <w:rPr>
      <w:sz w:val="18"/>
      <w:szCs w:val="22"/>
      <w:lang w:val="en-US" w:eastAsia="en-US"/>
    </w:rPr>
  </w:style>
  <w:style w:type="paragraph" w:styleId="Nadpis1">
    <w:name w:val="heading 1"/>
    <w:basedOn w:val="Normln"/>
    <w:next w:val="Normln"/>
    <w:link w:val="Nadpis1Char"/>
    <w:uiPriority w:val="9"/>
    <w:qFormat/>
    <w:rsid w:val="00DF5D90"/>
    <w:pPr>
      <w:keepNext/>
      <w:keepLines/>
      <w:outlineLvl w:val="0"/>
    </w:pPr>
    <w:rPr>
      <w:rFonts w:eastAsia="MingLiU"/>
      <w:b/>
      <w:bCs/>
      <w:color w:val="62B5E5"/>
      <w:szCs w:val="28"/>
    </w:rPr>
  </w:style>
  <w:style w:type="paragraph" w:styleId="Nadpis2">
    <w:name w:val="heading 2"/>
    <w:basedOn w:val="Normln"/>
    <w:next w:val="Normln"/>
    <w:link w:val="Nadpis2Char"/>
    <w:uiPriority w:val="9"/>
    <w:qFormat/>
    <w:rsid w:val="00DF5D90"/>
    <w:pPr>
      <w:keepNext/>
      <w:keepLines/>
      <w:outlineLvl w:val="1"/>
    </w:pPr>
    <w:rPr>
      <w:rFonts w:eastAsia="MingLiU"/>
      <w:b/>
      <w:bCs/>
      <w:color w:val="000000"/>
      <w:szCs w:val="26"/>
    </w:rPr>
  </w:style>
  <w:style w:type="paragraph" w:styleId="Nadpis3">
    <w:name w:val="heading 3"/>
    <w:basedOn w:val="Normln"/>
    <w:next w:val="Normln"/>
    <w:link w:val="Nadpis3Char"/>
    <w:uiPriority w:val="9"/>
    <w:qFormat/>
    <w:rsid w:val="00DF5D90"/>
    <w:pPr>
      <w:keepNext/>
      <w:keepLines/>
      <w:outlineLvl w:val="2"/>
    </w:pPr>
    <w:rPr>
      <w:rFonts w:eastAsia="MingLiU"/>
      <w:b/>
      <w:bCs/>
      <w:color w:val="75787B"/>
    </w:rPr>
  </w:style>
  <w:style w:type="paragraph" w:styleId="Nadpis4">
    <w:name w:val="heading 4"/>
    <w:basedOn w:val="Normln"/>
    <w:next w:val="Normln"/>
    <w:link w:val="Nadpis4Char"/>
    <w:uiPriority w:val="9"/>
    <w:semiHidden/>
    <w:qFormat/>
    <w:rsid w:val="00DF5D90"/>
    <w:pPr>
      <w:keepNext/>
      <w:keepLines/>
      <w:tabs>
        <w:tab w:val="left" w:pos="340"/>
      </w:tabs>
      <w:outlineLvl w:val="3"/>
    </w:pPr>
    <w:rPr>
      <w:rFonts w:eastAsia="MingLiU"/>
      <w:b/>
      <w:bCs/>
      <w:iCs/>
      <w:color w:val="000000"/>
    </w:rPr>
  </w:style>
  <w:style w:type="paragraph" w:styleId="Nadpis8">
    <w:name w:val="heading 8"/>
    <w:basedOn w:val="Normln"/>
    <w:next w:val="Normln"/>
    <w:link w:val="Nadpis8Char"/>
    <w:qFormat/>
    <w:rsid w:val="00DF5D90"/>
    <w:pPr>
      <w:keepNext/>
      <w:ind w:firstLine="720"/>
      <w:jc w:val="both"/>
      <w:outlineLvl w:val="7"/>
    </w:pPr>
    <w:rPr>
      <w:b/>
      <w:i/>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F5D90"/>
    <w:rPr>
      <w:rFonts w:eastAsia="MingLiU"/>
      <w:b/>
      <w:bCs/>
      <w:color w:val="62B5E5"/>
      <w:sz w:val="18"/>
      <w:szCs w:val="28"/>
      <w:lang w:val="en-US" w:eastAsia="en-US"/>
    </w:rPr>
  </w:style>
  <w:style w:type="character" w:customStyle="1" w:styleId="Nadpis2Char">
    <w:name w:val="Nadpis 2 Char"/>
    <w:link w:val="Nadpis2"/>
    <w:uiPriority w:val="9"/>
    <w:rsid w:val="00DF5D90"/>
    <w:rPr>
      <w:rFonts w:eastAsia="MingLiU"/>
      <w:b/>
      <w:bCs/>
      <w:color w:val="000000"/>
      <w:sz w:val="18"/>
      <w:szCs w:val="26"/>
      <w:lang w:val="en-US" w:eastAsia="en-US"/>
    </w:rPr>
  </w:style>
  <w:style w:type="paragraph" w:styleId="Textbubliny">
    <w:name w:val="Balloon Text"/>
    <w:basedOn w:val="Normln"/>
    <w:link w:val="TextbublinyChar"/>
    <w:uiPriority w:val="99"/>
    <w:semiHidden/>
    <w:rsid w:val="00DF5D90"/>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DF5D90"/>
    <w:rPr>
      <w:rFonts w:ascii="Tahoma" w:hAnsi="Tahoma" w:cs="Tahoma"/>
      <w:sz w:val="16"/>
      <w:szCs w:val="16"/>
      <w:lang w:val="en-US" w:eastAsia="en-US"/>
    </w:rPr>
  </w:style>
  <w:style w:type="paragraph" w:styleId="Titulek">
    <w:name w:val="caption"/>
    <w:basedOn w:val="Normln"/>
    <w:next w:val="Normln"/>
    <w:uiPriority w:val="35"/>
    <w:qFormat/>
    <w:rsid w:val="00DF5D90"/>
    <w:pPr>
      <w:keepNext/>
      <w:spacing w:line="240" w:lineRule="auto"/>
    </w:pPr>
    <w:rPr>
      <w:iCs/>
      <w:color w:val="75787B"/>
      <w:sz w:val="17"/>
      <w:szCs w:val="18"/>
    </w:rPr>
  </w:style>
  <w:style w:type="paragraph" w:customStyle="1" w:styleId="Contacttext">
    <w:name w:val="Contact text"/>
    <w:basedOn w:val="Normln"/>
    <w:qFormat/>
    <w:rsid w:val="00DF5D90"/>
  </w:style>
  <w:style w:type="paragraph" w:customStyle="1" w:styleId="Contactus">
    <w:name w:val="Contact us"/>
    <w:basedOn w:val="Contacttext"/>
    <w:next w:val="Contacttext"/>
    <w:qFormat/>
    <w:rsid w:val="00DF5D90"/>
    <w:pPr>
      <w:spacing w:after="240" w:line="340" w:lineRule="atLeast"/>
    </w:pPr>
    <w:rPr>
      <w:sz w:val="28"/>
    </w:rPr>
  </w:style>
  <w:style w:type="paragraph" w:customStyle="1" w:styleId="Sectiontitle">
    <w:name w:val="Section title"/>
    <w:basedOn w:val="Normln"/>
    <w:next w:val="Normln"/>
    <w:qFormat/>
    <w:rsid w:val="00DF5D90"/>
    <w:pPr>
      <w:spacing w:after="480" w:line="720" w:lineRule="atLeast"/>
    </w:pPr>
    <w:rPr>
      <w:sz w:val="60"/>
    </w:rPr>
  </w:style>
  <w:style w:type="paragraph" w:customStyle="1" w:styleId="Contentstitle">
    <w:name w:val="Contents title"/>
    <w:basedOn w:val="Sectiontitle"/>
    <w:next w:val="Normln"/>
    <w:qFormat/>
    <w:rsid w:val="00DF5D90"/>
  </w:style>
  <w:style w:type="table" w:customStyle="1" w:styleId="Deloittetable">
    <w:name w:val="Deloitte table"/>
    <w:basedOn w:val="Normlntabulka"/>
    <w:uiPriority w:val="99"/>
    <w:rsid w:val="00DF5D90"/>
    <w:pPr>
      <w:spacing w:line="240" w:lineRule="auto"/>
    </w:pPr>
    <w:rPr>
      <w:sz w:val="17"/>
    </w:rPr>
    <w:tblPr>
      <w:tblBorders>
        <w:top w:val="single" w:sz="4" w:space="0" w:color="62B5E5"/>
        <w:bottom w:val="single" w:sz="4" w:space="0" w:color="000000"/>
        <w:insideH w:val="single" w:sz="4" w:space="0" w:color="000000"/>
      </w:tblBorders>
      <w:tblCellMar>
        <w:top w:w="57" w:type="dxa"/>
        <w:left w:w="0" w:type="dxa"/>
        <w:bottom w:w="57" w:type="dxa"/>
        <w:right w:w="0" w:type="dxa"/>
      </w:tblCellMar>
    </w:tblPr>
    <w:tblStylePr w:type="firstRow">
      <w:rPr>
        <w:rFonts w:ascii="Verdana" w:hAnsi="Verdana"/>
        <w:b/>
        <w:color w:val="62B5E5"/>
        <w:sz w:val="17"/>
      </w:rPr>
      <w:tblPr/>
      <w:tcPr>
        <w:tcBorders>
          <w:top w:val="single" w:sz="24" w:space="0" w:color="62B5E5"/>
        </w:tcBorders>
      </w:tcPr>
    </w:tblStylePr>
  </w:style>
  <w:style w:type="paragraph" w:customStyle="1" w:styleId="Documentdate">
    <w:name w:val="Document date"/>
    <w:qFormat/>
    <w:rsid w:val="00DF5D90"/>
    <w:pPr>
      <w:spacing w:line="240" w:lineRule="atLeast"/>
    </w:pPr>
    <w:rPr>
      <w:sz w:val="18"/>
      <w:szCs w:val="22"/>
      <w:lang w:val="en-US" w:eastAsia="en-US"/>
    </w:rPr>
  </w:style>
  <w:style w:type="paragraph" w:customStyle="1" w:styleId="Documentsubtitle">
    <w:name w:val="Document subtitle"/>
    <w:basedOn w:val="Normln"/>
    <w:qFormat/>
    <w:rsid w:val="00DF5D90"/>
    <w:pPr>
      <w:spacing w:after="120" w:line="440" w:lineRule="atLeast"/>
    </w:pPr>
    <w:rPr>
      <w:sz w:val="36"/>
    </w:rPr>
  </w:style>
  <w:style w:type="paragraph" w:customStyle="1" w:styleId="Documenttitle">
    <w:name w:val="Document title"/>
    <w:next w:val="Documentsubtitle"/>
    <w:qFormat/>
    <w:rsid w:val="00DF5D90"/>
    <w:pPr>
      <w:spacing w:line="440" w:lineRule="atLeast"/>
    </w:pPr>
    <w:rPr>
      <w:rFonts w:eastAsia="MingLiU"/>
      <w:b/>
      <w:bCs/>
      <w:color w:val="000000"/>
      <w:sz w:val="36"/>
      <w:szCs w:val="28"/>
      <w:lang w:val="en-GB" w:eastAsia="en-US"/>
    </w:rPr>
  </w:style>
  <w:style w:type="paragraph" w:styleId="Zpat">
    <w:name w:val="footer"/>
    <w:basedOn w:val="Normln"/>
    <w:link w:val="ZpatChar"/>
    <w:uiPriority w:val="99"/>
    <w:rsid w:val="00DF5D90"/>
    <w:pPr>
      <w:tabs>
        <w:tab w:val="right" w:pos="7371"/>
      </w:tabs>
    </w:pPr>
    <w:rPr>
      <w:sz w:val="16"/>
    </w:rPr>
  </w:style>
  <w:style w:type="character" w:customStyle="1" w:styleId="ZpatChar">
    <w:name w:val="Zápatí Char"/>
    <w:link w:val="Zpat"/>
    <w:uiPriority w:val="99"/>
    <w:rsid w:val="00DF5D90"/>
    <w:rPr>
      <w:sz w:val="16"/>
      <w:szCs w:val="22"/>
      <w:lang w:val="en-US" w:eastAsia="en-US"/>
    </w:rPr>
  </w:style>
  <w:style w:type="character" w:customStyle="1" w:styleId="Nadpis3Char">
    <w:name w:val="Nadpis 3 Char"/>
    <w:link w:val="Nadpis3"/>
    <w:uiPriority w:val="9"/>
    <w:rsid w:val="00DF5D90"/>
    <w:rPr>
      <w:rFonts w:eastAsia="MingLiU"/>
      <w:b/>
      <w:bCs/>
      <w:color w:val="75787B"/>
      <w:sz w:val="18"/>
      <w:szCs w:val="22"/>
      <w:lang w:val="en-US" w:eastAsia="en-US"/>
    </w:rPr>
  </w:style>
  <w:style w:type="character" w:customStyle="1" w:styleId="Nadpis4Char">
    <w:name w:val="Nadpis 4 Char"/>
    <w:link w:val="Nadpis4"/>
    <w:uiPriority w:val="9"/>
    <w:semiHidden/>
    <w:rsid w:val="00DF5D90"/>
    <w:rPr>
      <w:rFonts w:eastAsia="MingLiU"/>
      <w:b/>
      <w:bCs/>
      <w:iCs/>
      <w:color w:val="000000"/>
      <w:sz w:val="18"/>
      <w:szCs w:val="22"/>
      <w:lang w:val="en-US" w:eastAsia="en-US"/>
    </w:rPr>
  </w:style>
  <w:style w:type="character" w:styleId="Znakapoznpodarou">
    <w:name w:val="footnote reference"/>
    <w:uiPriority w:val="99"/>
    <w:rsid w:val="00DF5D90"/>
    <w:rPr>
      <w:vertAlign w:val="superscript"/>
    </w:rPr>
  </w:style>
  <w:style w:type="paragraph" w:styleId="Textpoznpodarou">
    <w:name w:val="footnote text"/>
    <w:basedOn w:val="Normln"/>
    <w:link w:val="TextpoznpodarouChar"/>
    <w:uiPriority w:val="99"/>
    <w:rsid w:val="00DF5D90"/>
    <w:pPr>
      <w:spacing w:line="240" w:lineRule="auto"/>
    </w:pPr>
    <w:rPr>
      <w:sz w:val="16"/>
      <w:szCs w:val="20"/>
    </w:rPr>
  </w:style>
  <w:style w:type="character" w:customStyle="1" w:styleId="TextpoznpodarouChar">
    <w:name w:val="Text pozn. pod čarou Char"/>
    <w:link w:val="Textpoznpodarou"/>
    <w:uiPriority w:val="99"/>
    <w:rsid w:val="00DF5D90"/>
    <w:rPr>
      <w:sz w:val="16"/>
      <w:lang w:val="en-US" w:eastAsia="en-US"/>
    </w:rPr>
  </w:style>
  <w:style w:type="paragraph" w:customStyle="1" w:styleId="Formoreinfocalloutwhite8512ptPullOutStyles">
    <w:name w:val="For more info call out (white 8.5/12pt) (Pull Out Styles)"/>
    <w:basedOn w:val="Normln"/>
    <w:uiPriority w:val="99"/>
    <w:rsid w:val="00DF5D90"/>
    <w:pPr>
      <w:tabs>
        <w:tab w:val="left" w:pos="283"/>
        <w:tab w:val="left" w:pos="567"/>
      </w:tabs>
      <w:suppressAutoHyphens/>
      <w:autoSpaceDE w:val="0"/>
      <w:autoSpaceDN w:val="0"/>
      <w:adjustRightInd w:val="0"/>
      <w:textAlignment w:val="center"/>
    </w:pPr>
    <w:rPr>
      <w:rFonts w:ascii="OpenSans-Bold" w:hAnsi="OpenSans-Bold" w:cs="OpenSans-Bold"/>
      <w:b/>
      <w:bCs/>
      <w:color w:val="FFFFFF"/>
      <w:spacing w:val="-2"/>
      <w:sz w:val="17"/>
      <w:szCs w:val="17"/>
    </w:rPr>
  </w:style>
  <w:style w:type="paragraph" w:styleId="Zhlav">
    <w:name w:val="header"/>
    <w:link w:val="ZhlavChar"/>
    <w:uiPriority w:val="99"/>
    <w:rsid w:val="00DF5D90"/>
    <w:pPr>
      <w:tabs>
        <w:tab w:val="center" w:pos="4513"/>
        <w:tab w:val="right" w:pos="9026"/>
      </w:tabs>
    </w:pPr>
    <w:rPr>
      <w:b/>
      <w:sz w:val="14"/>
      <w:szCs w:val="22"/>
      <w:lang w:val="en-US" w:eastAsia="en-US"/>
    </w:rPr>
  </w:style>
  <w:style w:type="character" w:customStyle="1" w:styleId="ZhlavChar">
    <w:name w:val="Záhlaví Char"/>
    <w:link w:val="Zhlav"/>
    <w:uiPriority w:val="99"/>
    <w:rsid w:val="00DF5D90"/>
    <w:rPr>
      <w:b/>
      <w:sz w:val="14"/>
      <w:szCs w:val="22"/>
      <w:lang w:val="en-US" w:eastAsia="en-US"/>
    </w:rPr>
  </w:style>
  <w:style w:type="character" w:styleId="Hypertextovodkaz">
    <w:name w:val="Hyperlink"/>
    <w:uiPriority w:val="99"/>
    <w:unhideWhenUsed/>
    <w:rsid w:val="00DF5D90"/>
    <w:rPr>
      <w:color w:val="00A3E0"/>
      <w:u w:val="single"/>
    </w:rPr>
  </w:style>
  <w:style w:type="paragraph" w:customStyle="1" w:styleId="Charttitle">
    <w:name w:val="Chart title"/>
    <w:basedOn w:val="Nadpis2"/>
    <w:qFormat/>
    <w:rsid w:val="00DF5D90"/>
  </w:style>
  <w:style w:type="paragraph" w:customStyle="1" w:styleId="Legaltext">
    <w:name w:val="Legal text"/>
    <w:basedOn w:val="Normln"/>
    <w:qFormat/>
    <w:rsid w:val="00DF5D90"/>
    <w:pPr>
      <w:spacing w:line="180" w:lineRule="atLeast"/>
      <w:ind w:right="5387"/>
    </w:pPr>
    <w:rPr>
      <w:sz w:val="14"/>
    </w:rPr>
  </w:style>
  <w:style w:type="paragraph" w:styleId="Seznamsodrkami">
    <w:name w:val="List Bullet"/>
    <w:basedOn w:val="Normln"/>
    <w:uiPriority w:val="99"/>
    <w:qFormat/>
    <w:rsid w:val="00DF5D90"/>
    <w:pPr>
      <w:numPr>
        <w:numId w:val="29"/>
      </w:numPr>
      <w:tabs>
        <w:tab w:val="clear" w:pos="360"/>
      </w:tabs>
      <w:contextualSpacing/>
    </w:pPr>
  </w:style>
  <w:style w:type="paragraph" w:styleId="Seznamsodrkami2">
    <w:name w:val="List Bullet 2"/>
    <w:basedOn w:val="Normln"/>
    <w:uiPriority w:val="99"/>
    <w:qFormat/>
    <w:rsid w:val="00DF5D90"/>
    <w:pPr>
      <w:numPr>
        <w:numId w:val="30"/>
      </w:numPr>
      <w:contextualSpacing/>
    </w:pPr>
  </w:style>
  <w:style w:type="paragraph" w:styleId="slovanseznam">
    <w:name w:val="List Number"/>
    <w:basedOn w:val="Normln"/>
    <w:uiPriority w:val="99"/>
    <w:qFormat/>
    <w:rsid w:val="00DF5D90"/>
    <w:pPr>
      <w:numPr>
        <w:numId w:val="31"/>
      </w:numPr>
      <w:tabs>
        <w:tab w:val="clear" w:pos="360"/>
      </w:tabs>
      <w:contextualSpacing/>
    </w:pPr>
  </w:style>
  <w:style w:type="paragraph" w:styleId="slovanseznam2">
    <w:name w:val="List Number 2"/>
    <w:basedOn w:val="Normln"/>
    <w:uiPriority w:val="99"/>
    <w:qFormat/>
    <w:rsid w:val="00DF5D90"/>
    <w:pPr>
      <w:numPr>
        <w:numId w:val="32"/>
      </w:numPr>
      <w:contextualSpacing/>
    </w:pPr>
  </w:style>
  <w:style w:type="paragraph" w:customStyle="1" w:styleId="Paneltext">
    <w:name w:val="Panel text"/>
    <w:basedOn w:val="Normln"/>
    <w:qFormat/>
    <w:rsid w:val="00DF5D90"/>
    <w:rPr>
      <w:color w:val="FFFFFF"/>
      <w:sz w:val="17"/>
    </w:rPr>
  </w:style>
  <w:style w:type="paragraph" w:customStyle="1" w:styleId="Paneltitle">
    <w:name w:val="Panel title"/>
    <w:basedOn w:val="Paneltext"/>
    <w:next w:val="Paneltext"/>
    <w:qFormat/>
    <w:rsid w:val="00DF5D90"/>
    <w:pPr>
      <w:spacing w:line="360" w:lineRule="atLeast"/>
    </w:pPr>
    <w:rPr>
      <w:b/>
      <w:sz w:val="28"/>
    </w:rPr>
  </w:style>
  <w:style w:type="character" w:styleId="Zstupntext">
    <w:name w:val="Placeholder Text"/>
    <w:uiPriority w:val="99"/>
    <w:semiHidden/>
    <w:rsid w:val="00DF5D90"/>
    <w:rPr>
      <w:color w:val="808080"/>
    </w:rPr>
  </w:style>
  <w:style w:type="paragraph" w:customStyle="1" w:styleId="PulloutBlue">
    <w:name w:val="Pullout Blue"/>
    <w:basedOn w:val="Normln"/>
    <w:next w:val="Normln"/>
    <w:qFormat/>
    <w:rsid w:val="00DF5D90"/>
    <w:pPr>
      <w:spacing w:line="360" w:lineRule="atLeast"/>
    </w:pPr>
    <w:rPr>
      <w:color w:val="62B5E5"/>
      <w:sz w:val="28"/>
    </w:rPr>
  </w:style>
  <w:style w:type="paragraph" w:customStyle="1" w:styleId="PulloutGreen">
    <w:name w:val="Pullout Green"/>
    <w:basedOn w:val="PulloutBlue"/>
    <w:next w:val="Normln"/>
    <w:qFormat/>
    <w:rsid w:val="00DF5D90"/>
    <w:rPr>
      <w:color w:val="86BC25"/>
    </w:rPr>
  </w:style>
  <w:style w:type="paragraph" w:customStyle="1" w:styleId="QuotesourceBlue">
    <w:name w:val="Quote source Blue"/>
    <w:basedOn w:val="Normln"/>
    <w:next w:val="Normln"/>
    <w:qFormat/>
    <w:rsid w:val="00DF5D90"/>
    <w:pPr>
      <w:contextualSpacing/>
    </w:pPr>
    <w:rPr>
      <w:b/>
      <w:color w:val="62B5E5"/>
      <w:sz w:val="17"/>
    </w:rPr>
  </w:style>
  <w:style w:type="paragraph" w:customStyle="1" w:styleId="QuotesourceGreen">
    <w:name w:val="Quote source Green"/>
    <w:basedOn w:val="QuotesourceBlue"/>
    <w:next w:val="Normln"/>
    <w:qFormat/>
    <w:rsid w:val="00DF5D90"/>
    <w:rPr>
      <w:color w:val="86BC25"/>
    </w:rPr>
  </w:style>
  <w:style w:type="paragraph" w:customStyle="1" w:styleId="Quotetext">
    <w:name w:val="Quote text"/>
    <w:basedOn w:val="PulloutBlue"/>
    <w:qFormat/>
    <w:rsid w:val="00DF5D90"/>
    <w:pPr>
      <w:spacing w:line="720" w:lineRule="atLeast"/>
    </w:pPr>
    <w:rPr>
      <w:color w:val="FFFFFF"/>
      <w:sz w:val="60"/>
    </w:rPr>
  </w:style>
  <w:style w:type="paragraph" w:customStyle="1" w:styleId="Sectionintro">
    <w:name w:val="Section intro"/>
    <w:basedOn w:val="Normln"/>
    <w:next w:val="Normln"/>
    <w:qFormat/>
    <w:rsid w:val="00DF5D90"/>
    <w:pPr>
      <w:spacing w:line="360" w:lineRule="atLeast"/>
    </w:pPr>
    <w:rPr>
      <w:sz w:val="28"/>
    </w:rPr>
  </w:style>
  <w:style w:type="paragraph" w:customStyle="1" w:styleId="Smlouvaheading1">
    <w:name w:val="Smlouva heading 1"/>
    <w:basedOn w:val="Normln"/>
    <w:link w:val="Smlouvaheading1Char"/>
    <w:qFormat/>
    <w:rsid w:val="00DF5D90"/>
    <w:pPr>
      <w:numPr>
        <w:numId w:val="36"/>
      </w:numPr>
      <w:spacing w:before="240" w:after="120"/>
      <w:jc w:val="both"/>
    </w:pPr>
    <w:rPr>
      <w:b/>
    </w:rPr>
  </w:style>
  <w:style w:type="character" w:customStyle="1" w:styleId="Smlouvaheading1Char">
    <w:name w:val="Smlouva heading 1 Char"/>
    <w:link w:val="Smlouvaheading1"/>
    <w:rsid w:val="00DF5D90"/>
    <w:rPr>
      <w:b/>
      <w:sz w:val="18"/>
      <w:szCs w:val="22"/>
      <w:lang w:val="en-US" w:eastAsia="en-US"/>
    </w:rPr>
  </w:style>
  <w:style w:type="paragraph" w:customStyle="1" w:styleId="Smlouvaheading2">
    <w:name w:val="Smlouva heading 2"/>
    <w:link w:val="Smlouvaheading2Char"/>
    <w:qFormat/>
    <w:rsid w:val="00DF5D90"/>
    <w:pPr>
      <w:numPr>
        <w:ilvl w:val="1"/>
        <w:numId w:val="36"/>
      </w:numPr>
      <w:spacing w:before="120" w:after="120" w:line="240" w:lineRule="atLeast"/>
      <w:jc w:val="both"/>
    </w:pPr>
    <w:rPr>
      <w:sz w:val="18"/>
      <w:szCs w:val="22"/>
      <w:lang w:val="en-US" w:eastAsia="en-US"/>
    </w:rPr>
  </w:style>
  <w:style w:type="character" w:customStyle="1" w:styleId="Smlouvaheading2Char">
    <w:name w:val="Smlouva heading 2 Char"/>
    <w:link w:val="Smlouvaheading2"/>
    <w:rsid w:val="00DF5D90"/>
    <w:rPr>
      <w:sz w:val="18"/>
      <w:szCs w:val="22"/>
      <w:lang w:val="en-US" w:eastAsia="en-US"/>
    </w:rPr>
  </w:style>
  <w:style w:type="paragraph" w:customStyle="1" w:styleId="Smlouvaheading3">
    <w:name w:val="Smlouva heading 3"/>
    <w:qFormat/>
    <w:rsid w:val="00DF5D90"/>
    <w:pPr>
      <w:numPr>
        <w:ilvl w:val="2"/>
        <w:numId w:val="36"/>
      </w:numPr>
      <w:spacing w:after="120" w:line="240" w:lineRule="atLeast"/>
      <w:jc w:val="both"/>
    </w:pPr>
    <w:rPr>
      <w:sz w:val="18"/>
      <w:szCs w:val="22"/>
      <w:lang w:val="en-US" w:eastAsia="en-US"/>
    </w:rPr>
  </w:style>
  <w:style w:type="paragraph" w:customStyle="1" w:styleId="Smlouvaheading4">
    <w:name w:val="Smlouva heading 4"/>
    <w:qFormat/>
    <w:rsid w:val="00DF5D90"/>
    <w:pPr>
      <w:numPr>
        <w:ilvl w:val="3"/>
        <w:numId w:val="36"/>
      </w:numPr>
      <w:spacing w:after="120" w:line="240" w:lineRule="atLeast"/>
      <w:jc w:val="both"/>
    </w:pPr>
    <w:rPr>
      <w:sz w:val="18"/>
      <w:szCs w:val="22"/>
      <w:lang w:val="en-US" w:eastAsia="en-US"/>
    </w:rPr>
  </w:style>
  <w:style w:type="paragraph" w:customStyle="1" w:styleId="SourcetextTableorChart">
    <w:name w:val="Source text Table or Chart"/>
    <w:basedOn w:val="Titulek"/>
    <w:next w:val="Normln"/>
    <w:qFormat/>
    <w:rsid w:val="00DF5D90"/>
    <w:pPr>
      <w:spacing w:before="120"/>
    </w:pPr>
    <w:rPr>
      <w:sz w:val="14"/>
    </w:rPr>
  </w:style>
  <w:style w:type="paragraph" w:customStyle="1" w:styleId="Subheading">
    <w:name w:val="Subheading"/>
    <w:basedOn w:val="Normln"/>
    <w:next w:val="Normln"/>
    <w:semiHidden/>
    <w:qFormat/>
    <w:rsid w:val="00DF5D90"/>
    <w:rPr>
      <w:rFonts w:eastAsia="MingLiU"/>
      <w:b/>
      <w:bCs/>
      <w:iCs/>
      <w:color w:val="000000"/>
    </w:rPr>
  </w:style>
  <w:style w:type="paragraph" w:customStyle="1" w:styleId="Subject">
    <w:name w:val="Subject"/>
    <w:basedOn w:val="Normln"/>
    <w:semiHidden/>
    <w:qFormat/>
    <w:rsid w:val="00DF5D90"/>
    <w:rPr>
      <w:b/>
    </w:rPr>
  </w:style>
  <w:style w:type="paragraph" w:customStyle="1" w:styleId="Tabletext">
    <w:name w:val="Table text"/>
    <w:basedOn w:val="Normln"/>
    <w:qFormat/>
    <w:rsid w:val="00DF5D90"/>
    <w:rPr>
      <w:sz w:val="17"/>
    </w:rPr>
  </w:style>
  <w:style w:type="paragraph" w:customStyle="1" w:styleId="Tablebullets">
    <w:name w:val="Table bullets"/>
    <w:basedOn w:val="Tabletext"/>
    <w:qFormat/>
    <w:rsid w:val="00DF5D90"/>
    <w:pPr>
      <w:numPr>
        <w:numId w:val="37"/>
      </w:numPr>
    </w:pPr>
  </w:style>
  <w:style w:type="table" w:styleId="Mkatabulky">
    <w:name w:val="Table Grid"/>
    <w:basedOn w:val="Normlntabulka"/>
    <w:uiPriority w:val="59"/>
    <w:rsid w:val="00DF5D90"/>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customStyle="1" w:styleId="Tablenumbered">
    <w:name w:val="Table numbered"/>
    <w:basedOn w:val="Tablebullets"/>
    <w:qFormat/>
    <w:rsid w:val="00DF5D90"/>
    <w:pPr>
      <w:numPr>
        <w:numId w:val="38"/>
      </w:numPr>
    </w:pPr>
  </w:style>
  <w:style w:type="paragraph" w:customStyle="1" w:styleId="Tabletitle">
    <w:name w:val="Table title"/>
    <w:basedOn w:val="Tabletext"/>
    <w:qFormat/>
    <w:rsid w:val="00DF5D90"/>
    <w:rPr>
      <w:b/>
      <w:color w:val="62B5E5"/>
    </w:rPr>
  </w:style>
  <w:style w:type="paragraph" w:styleId="Obsah1">
    <w:name w:val="toc 1"/>
    <w:basedOn w:val="Normln"/>
    <w:next w:val="Normln"/>
    <w:autoRedefine/>
    <w:uiPriority w:val="39"/>
    <w:rsid w:val="00DF5D90"/>
    <w:pPr>
      <w:tabs>
        <w:tab w:val="right" w:pos="6935"/>
      </w:tabs>
      <w:spacing w:after="120" w:line="360" w:lineRule="atLeast"/>
    </w:pPr>
    <w:rPr>
      <w:sz w:val="28"/>
    </w:rPr>
  </w:style>
  <w:style w:type="character" w:customStyle="1" w:styleId="Nadpis8Char">
    <w:name w:val="Nadpis 8 Char"/>
    <w:basedOn w:val="Standardnpsmoodstavce"/>
    <w:link w:val="Nadpis8"/>
    <w:rsid w:val="00DF5D90"/>
    <w:rPr>
      <w:rFonts w:ascii="Times New Roman" w:eastAsia="Times New Roman" w:hAnsi="Times New Roman"/>
      <w:b/>
      <w:i/>
      <w:sz w:val="22"/>
      <w:lang w:val="en-GB" w:eastAsia="en-US"/>
    </w:rPr>
  </w:style>
  <w:style w:type="paragraph" w:styleId="Odstavecseseznamem">
    <w:name w:val="List Paragraph"/>
    <w:basedOn w:val="Normln"/>
    <w:uiPriority w:val="34"/>
    <w:qFormat/>
    <w:rsid w:val="001014A5"/>
    <w:pPr>
      <w:ind w:left="720"/>
      <w:contextualSpacing/>
    </w:pPr>
  </w:style>
  <w:style w:type="character" w:customStyle="1" w:styleId="nowrap">
    <w:name w:val="nowrap"/>
    <w:basedOn w:val="Standardnpsmoodstavce"/>
    <w:rsid w:val="0062716B"/>
  </w:style>
  <w:style w:type="character" w:styleId="Nevyeenzmnka">
    <w:name w:val="Unresolved Mention"/>
    <w:basedOn w:val="Standardnpsmoodstavce"/>
    <w:uiPriority w:val="99"/>
    <w:semiHidden/>
    <w:unhideWhenUsed/>
    <w:rsid w:val="009B0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1316759515">
      <w:bodyDiv w:val="1"/>
      <w:marLeft w:val="0"/>
      <w:marRight w:val="0"/>
      <w:marTop w:val="0"/>
      <w:marBottom w:val="0"/>
      <w:divBdr>
        <w:top w:val="none" w:sz="0" w:space="0" w:color="auto"/>
        <w:left w:val="none" w:sz="0" w:space="0" w:color="auto"/>
        <w:bottom w:val="none" w:sz="0" w:space="0" w:color="auto"/>
        <w:right w:val="none" w:sz="0" w:space="0" w:color="auto"/>
      </w:divBdr>
      <w:divsChild>
        <w:div w:id="798718042">
          <w:marLeft w:val="0"/>
          <w:marRight w:val="0"/>
          <w:marTop w:val="0"/>
          <w:marBottom w:val="0"/>
          <w:divBdr>
            <w:top w:val="none" w:sz="0" w:space="0" w:color="auto"/>
            <w:left w:val="none" w:sz="0" w:space="0" w:color="auto"/>
            <w:bottom w:val="none" w:sz="0" w:space="0" w:color="auto"/>
            <w:right w:val="none" w:sz="0" w:space="0" w:color="auto"/>
          </w:divBdr>
          <w:divsChild>
            <w:div w:id="1380668043">
              <w:marLeft w:val="0"/>
              <w:marRight w:val="0"/>
              <w:marTop w:val="0"/>
              <w:marBottom w:val="0"/>
              <w:divBdr>
                <w:top w:val="none" w:sz="0" w:space="0" w:color="auto"/>
                <w:left w:val="none" w:sz="0" w:space="0" w:color="auto"/>
                <w:bottom w:val="none" w:sz="0" w:space="0" w:color="auto"/>
                <w:right w:val="none" w:sz="0" w:space="0" w:color="auto"/>
              </w:divBdr>
              <w:divsChild>
                <w:div w:id="214315400">
                  <w:marLeft w:val="0"/>
                  <w:marRight w:val="0"/>
                  <w:marTop w:val="0"/>
                  <w:marBottom w:val="0"/>
                  <w:divBdr>
                    <w:top w:val="none" w:sz="0" w:space="0" w:color="auto"/>
                    <w:left w:val="none" w:sz="0" w:space="0" w:color="auto"/>
                    <w:bottom w:val="none" w:sz="0" w:space="0" w:color="auto"/>
                    <w:right w:val="none" w:sz="0" w:space="0" w:color="auto"/>
                  </w:divBdr>
                  <w:divsChild>
                    <w:div w:id="228199475">
                      <w:marLeft w:val="0"/>
                      <w:marRight w:val="0"/>
                      <w:marTop w:val="0"/>
                      <w:marBottom w:val="0"/>
                      <w:divBdr>
                        <w:top w:val="none" w:sz="0" w:space="0" w:color="auto"/>
                        <w:left w:val="none" w:sz="0" w:space="0" w:color="auto"/>
                        <w:bottom w:val="none" w:sz="0" w:space="0" w:color="auto"/>
                        <w:right w:val="none" w:sz="0" w:space="0" w:color="auto"/>
                      </w:divBdr>
                      <w:divsChild>
                        <w:div w:id="2109158731">
                          <w:marLeft w:val="0"/>
                          <w:marRight w:val="0"/>
                          <w:marTop w:val="0"/>
                          <w:marBottom w:val="0"/>
                          <w:divBdr>
                            <w:top w:val="none" w:sz="0" w:space="0" w:color="auto"/>
                            <w:left w:val="none" w:sz="0" w:space="0" w:color="auto"/>
                            <w:bottom w:val="none" w:sz="0" w:space="0" w:color="auto"/>
                            <w:right w:val="none" w:sz="0" w:space="0" w:color="auto"/>
                          </w:divBdr>
                          <w:divsChild>
                            <w:div w:id="911893277">
                              <w:marLeft w:val="0"/>
                              <w:marRight w:val="0"/>
                              <w:marTop w:val="0"/>
                              <w:marBottom w:val="0"/>
                              <w:divBdr>
                                <w:top w:val="none" w:sz="0" w:space="0" w:color="auto"/>
                                <w:left w:val="none" w:sz="0" w:space="0" w:color="auto"/>
                                <w:bottom w:val="none" w:sz="0" w:space="0" w:color="auto"/>
                                <w:right w:val="none" w:sz="0" w:space="0" w:color="auto"/>
                              </w:divBdr>
                              <w:divsChild>
                                <w:div w:id="477042684">
                                  <w:marLeft w:val="0"/>
                                  <w:marRight w:val="0"/>
                                  <w:marTop w:val="0"/>
                                  <w:marBottom w:val="0"/>
                                  <w:divBdr>
                                    <w:top w:val="none" w:sz="0" w:space="0" w:color="auto"/>
                                    <w:left w:val="none" w:sz="0" w:space="0" w:color="auto"/>
                                    <w:bottom w:val="none" w:sz="0" w:space="0" w:color="auto"/>
                                    <w:right w:val="none" w:sz="0" w:space="0" w:color="auto"/>
                                  </w:divBdr>
                                  <w:divsChild>
                                    <w:div w:id="743769920">
                                      <w:marLeft w:val="0"/>
                                      <w:marRight w:val="0"/>
                                      <w:marTop w:val="0"/>
                                      <w:marBottom w:val="0"/>
                                      <w:divBdr>
                                        <w:top w:val="none" w:sz="0" w:space="0" w:color="auto"/>
                                        <w:left w:val="none" w:sz="0" w:space="0" w:color="auto"/>
                                        <w:bottom w:val="none" w:sz="0" w:space="0" w:color="auto"/>
                                        <w:right w:val="none" w:sz="0" w:space="0" w:color="auto"/>
                                      </w:divBdr>
                                      <w:divsChild>
                                        <w:div w:id="1334603301">
                                          <w:marLeft w:val="0"/>
                                          <w:marRight w:val="0"/>
                                          <w:marTop w:val="0"/>
                                          <w:marBottom w:val="495"/>
                                          <w:divBdr>
                                            <w:top w:val="none" w:sz="0" w:space="0" w:color="auto"/>
                                            <w:left w:val="none" w:sz="0" w:space="0" w:color="auto"/>
                                            <w:bottom w:val="none" w:sz="0" w:space="0" w:color="auto"/>
                                            <w:right w:val="none" w:sz="0" w:space="0" w:color="auto"/>
                                          </w:divBdr>
                                          <w:divsChild>
                                            <w:div w:id="19161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cz@deloittece.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cz@deloittec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Deloitte_US_Letter_Print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4b95afa-2213-4486-8c1e-3596e478df32">URMEMWNRR2T3-77-107</_dlc_DocId>
    <_dlc_DocIdUrl xmlns="e4b95afa-2213-4486-8c1e-3596e478df32">
      <Url>https://cz.deloitteresources.com/functions/tax/_layouts/15/DocIdRedir.aspx?ID=URMEMWNRR2T3-77-107</Url>
      <Description>URMEMWNRR2T3-77-107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C8B8390AE36848821D539779D3D8DF" ma:contentTypeVersion="1" ma:contentTypeDescription="Create a new document." ma:contentTypeScope="" ma:versionID="404df447ce79a9c78eb83f5e3012a664">
  <xsd:schema xmlns:xsd="http://www.w3.org/2001/XMLSchema" xmlns:xs="http://www.w3.org/2001/XMLSchema" xmlns:p="http://schemas.microsoft.com/office/2006/metadata/properties" xmlns:ns2="e4b95afa-2213-4486-8c1e-3596e478df32" targetNamespace="http://schemas.microsoft.com/office/2006/metadata/properties" ma:root="true" ma:fieldsID="389fef05a08950a3a2b30ccadfa1918e" ns2:_="">
    <xsd:import namespace="e4b95afa-2213-4486-8c1e-3596e478df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95afa-2213-4486-8c1e-3596e478df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80129-CD8C-4C7F-AADB-935B3F570162}">
  <ds:schemaRefs>
    <ds:schemaRef ds:uri="http://schemas.microsoft.com/sharepoint/v3/contenttype/forms"/>
  </ds:schemaRefs>
</ds:datastoreItem>
</file>

<file path=customXml/itemProps2.xml><?xml version="1.0" encoding="utf-8"?>
<ds:datastoreItem xmlns:ds="http://schemas.openxmlformats.org/officeDocument/2006/customXml" ds:itemID="{064C401C-AB91-4847-A219-3DF0BA682672}">
  <ds:schemaRefs>
    <ds:schemaRef ds:uri="http://schemas.microsoft.com/office/2006/metadata/properties"/>
    <ds:schemaRef ds:uri="http://schemas.microsoft.com/office/infopath/2007/PartnerControls"/>
    <ds:schemaRef ds:uri="e4b95afa-2213-4486-8c1e-3596e478df32"/>
  </ds:schemaRefs>
</ds:datastoreItem>
</file>

<file path=customXml/itemProps3.xml><?xml version="1.0" encoding="utf-8"?>
<ds:datastoreItem xmlns:ds="http://schemas.openxmlformats.org/officeDocument/2006/customXml" ds:itemID="{CB7FCA6D-58DA-4A46-999F-654AAE51A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95afa-2213-4486-8c1e-3596e478d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9ED192-25BA-4C8A-9889-79E7CE43BD8C}">
  <ds:schemaRefs>
    <ds:schemaRef ds:uri="http://schemas.microsoft.com/sharepoint/events"/>
  </ds:schemaRefs>
</ds:datastoreItem>
</file>

<file path=customXml/itemProps5.xml><?xml version="1.0" encoding="utf-8"?>
<ds:datastoreItem xmlns:ds="http://schemas.openxmlformats.org/officeDocument/2006/customXml" ds:itemID="{300F21B0-AC68-4DE2-A404-1FA40906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2093</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Proposal_A4</vt:lpstr>
    </vt:vector>
  </TitlesOfParts>
  <Company>Deloitte Touche Tohmatsu Services, Inc.</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Proposal_A4</dc:title>
  <dc:subject/>
  <dc:creator>Brejchova, Michaela (CZ - Prague)</dc:creator>
  <cp:keywords/>
  <dc:description/>
  <cp:lastModifiedBy>Zuzana Poláková</cp:lastModifiedBy>
  <cp:revision>6</cp:revision>
  <cp:lastPrinted>2018-04-20T07:19:00Z</cp:lastPrinted>
  <dcterms:created xsi:type="dcterms:W3CDTF">2019-11-25T13:05:00Z</dcterms:created>
  <dcterms:modified xsi:type="dcterms:W3CDTF">2019-11-27T08:09:00Z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0x0101003EC8B8390AE36848821D539779D3D8DF</vt:lpwstr>
  </property>
  <property fmtid="{D5CDD505-2E9C-101B-9397-08002B2CF9AE}" pid="3" name="_dlc_DocIdItemGuid">
    <vt:lpwstr>9a169339-d304-413e-b717-bbbd1858ef1a</vt:lpwstr>
  </property>
</Properties>
</file>