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282A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82A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282A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026B5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2619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6196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282AC8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026B51">
        <w:rPr>
          <w:b/>
          <w:snapToGrid w:val="0"/>
          <w:sz w:val="28"/>
          <w:szCs w:val="28"/>
        </w:rPr>
        <w:t>1</w:t>
      </w:r>
      <w:r w:rsidR="0026196F">
        <w:rPr>
          <w:b/>
          <w:snapToGrid w:val="0"/>
          <w:sz w:val="28"/>
          <w:szCs w:val="28"/>
        </w:rPr>
        <w:t>4</w:t>
      </w:r>
      <w:r w:rsidR="008F536D">
        <w:rPr>
          <w:b/>
          <w:snapToGrid w:val="0"/>
          <w:sz w:val="28"/>
          <w:szCs w:val="28"/>
        </w:rPr>
        <w:t>/201</w:t>
      </w:r>
      <w:r w:rsidR="0026196F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03709">
        <w:rPr>
          <w:rFonts w:ascii="Times New Roman" w:hAnsi="Times New Roman"/>
          <w:snapToGrid w:val="0"/>
          <w:sz w:val="24"/>
        </w:rPr>
        <w:t>xxx</w:t>
      </w:r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26196F">
        <w:rPr>
          <w:snapToGrid w:val="0"/>
          <w:sz w:val="24"/>
        </w:rPr>
        <w:t>142080001</w:t>
      </w:r>
    </w:p>
    <w:p w:rsidR="0026196F" w:rsidRDefault="0026196F" w:rsidP="002619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1544F">
        <w:rPr>
          <w:rFonts w:ascii="Times New Roman" w:hAnsi="Times New Roman"/>
          <w:b/>
          <w:snapToGrid w:val="0"/>
          <w:sz w:val="24"/>
        </w:rPr>
        <w:t>P A C , spol. s r.o.</w:t>
      </w:r>
    </w:p>
    <w:p w:rsidR="0026196F" w:rsidRDefault="0026196F" w:rsidP="002619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Husova 1250/71, Jižní Předměstí, 301 00 Plzeň</w:t>
      </w:r>
    </w:p>
    <w:p w:rsidR="0026196F" w:rsidRPr="0081544F" w:rsidRDefault="0026196F" w:rsidP="002619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Lenkou Kožušníkovou, jednatelem</w:t>
      </w:r>
    </w:p>
    <w:p w:rsidR="0026196F" w:rsidRDefault="0026196F" w:rsidP="002619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42865077</w:t>
      </w:r>
    </w:p>
    <w:p w:rsidR="0026196F" w:rsidRDefault="0026196F" w:rsidP="002619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42865077</w:t>
      </w:r>
    </w:p>
    <w:p w:rsidR="0026196F" w:rsidRDefault="0026196F" w:rsidP="002619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1906</w:t>
      </w:r>
    </w:p>
    <w:p w:rsidR="0026196F" w:rsidRDefault="0026196F" w:rsidP="002619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544F">
        <w:rPr>
          <w:rFonts w:ascii="Times New Roman" w:hAnsi="Times New Roman"/>
          <w:snapToGrid w:val="0"/>
          <w:sz w:val="24"/>
          <w:u w:val="single"/>
        </w:rPr>
        <w:t>P A C , spol. s r.o.</w:t>
      </w:r>
      <w:r>
        <w:rPr>
          <w:rFonts w:ascii="Times New Roman" w:hAnsi="Times New Roman"/>
          <w:snapToGrid w:val="0"/>
          <w:sz w:val="24"/>
          <w:u w:val="single"/>
        </w:rPr>
        <w:t>, E. F. Buriana 869/4a, 736 01 Havířov-Město</w:t>
      </w:r>
    </w:p>
    <w:p w:rsidR="0026196F" w:rsidRPr="003721EA" w:rsidRDefault="0026196F" w:rsidP="0026196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6196F" w:rsidRPr="0081544F" w:rsidRDefault="0026196F" w:rsidP="0026196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03709">
        <w:rPr>
          <w:rFonts w:ascii="Times New Roman" w:hAnsi="Times New Roman"/>
          <w:b/>
          <w:snapToGrid w:val="0"/>
          <w:sz w:val="24"/>
        </w:rPr>
        <w:t>xxx</w:t>
      </w:r>
    </w:p>
    <w:p w:rsidR="0026196F" w:rsidRPr="00DE2BC9" w:rsidRDefault="0026196F" w:rsidP="0026196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42865077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6196F" w:rsidRPr="00DE2BC9" w:rsidRDefault="0026196F" w:rsidP="0026196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6196F">
        <w:rPr>
          <w:rFonts w:ascii="Times New Roman" w:hAnsi="Times New Roman"/>
          <w:b/>
          <w:sz w:val="24"/>
        </w:rPr>
        <w:t>18</w:t>
      </w:r>
      <w:r w:rsidR="00A07879">
        <w:rPr>
          <w:rFonts w:ascii="Times New Roman" w:hAnsi="Times New Roman"/>
          <w:b/>
          <w:sz w:val="24"/>
        </w:rPr>
        <w:t>.</w:t>
      </w:r>
      <w:r w:rsidR="008E6E26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.201</w:t>
      </w:r>
      <w:r w:rsidR="0026196F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E6E26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26B51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6196F">
        <w:rPr>
          <w:rFonts w:ascii="Times New Roman" w:hAnsi="Times New Roman"/>
          <w:b/>
          <w:snapToGrid w:val="0"/>
          <w:sz w:val="24"/>
          <w:szCs w:val="24"/>
        </w:rPr>
        <w:t>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6196F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26196F" w:rsidRDefault="0026196F" w:rsidP="0026196F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54815">
        <w:rPr>
          <w:rFonts w:ascii="Times New Roman" w:hAnsi="Times New Roman"/>
          <w:b/>
          <w:sz w:val="24"/>
        </w:rPr>
        <w:lastRenderedPageBreak/>
        <w:t xml:space="preserve">2. </w:t>
      </w:r>
      <w:r w:rsidRPr="00954815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954815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záhlaví</w:t>
      </w:r>
      <w:r w:rsidRPr="00954815">
        <w:rPr>
          <w:rFonts w:ascii="Times New Roman" w:hAnsi="Times New Roman"/>
          <w:b/>
          <w:sz w:val="24"/>
        </w:rPr>
        <w:t xml:space="preserve"> na straně Příkazce.</w:t>
      </w:r>
    </w:p>
    <w:p w:rsidR="00026B51" w:rsidRDefault="007D2664" w:rsidP="0026196F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026B51" w:rsidRPr="002D570B">
        <w:rPr>
          <w:rFonts w:ascii="Times New Roman" w:hAnsi="Times New Roman"/>
          <w:b/>
          <w:sz w:val="24"/>
        </w:rPr>
        <w:t xml:space="preserve">Dosavadní ustanovení </w:t>
      </w:r>
      <w:r w:rsidR="00026B51">
        <w:rPr>
          <w:rFonts w:ascii="Times New Roman" w:hAnsi="Times New Roman"/>
          <w:b/>
          <w:sz w:val="24"/>
        </w:rPr>
        <w:t>čl. V. Zvláštní ujednání</w:t>
      </w:r>
      <w:r w:rsidR="00026B51" w:rsidRPr="002D570B">
        <w:rPr>
          <w:rFonts w:ascii="Times New Roman" w:hAnsi="Times New Roman"/>
          <w:b/>
          <w:sz w:val="24"/>
        </w:rPr>
        <w:t xml:space="preserve">, </w:t>
      </w:r>
      <w:r w:rsidR="00026B51">
        <w:rPr>
          <w:rFonts w:ascii="Times New Roman" w:hAnsi="Times New Roman"/>
          <w:b/>
          <w:sz w:val="24"/>
        </w:rPr>
        <w:t xml:space="preserve">odst. 5.4, </w:t>
      </w:r>
      <w:r w:rsidR="00026B51" w:rsidRPr="002D570B">
        <w:rPr>
          <w:rFonts w:ascii="Times New Roman" w:hAnsi="Times New Roman"/>
          <w:b/>
          <w:sz w:val="24"/>
        </w:rPr>
        <w:t xml:space="preserve">Smlouvy </w:t>
      </w:r>
      <w:r w:rsidR="00026B51" w:rsidRPr="002D570B">
        <w:rPr>
          <w:rFonts w:ascii="Times New Roman" w:hAnsi="Times New Roman"/>
          <w:b/>
          <w:sz w:val="24"/>
          <w:u w:val="single"/>
        </w:rPr>
        <w:t>se ruší</w:t>
      </w:r>
      <w:r w:rsidR="00026B51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026B51" w:rsidRDefault="00026B51" w:rsidP="00026B51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026B51" w:rsidRDefault="00026B51" w:rsidP="0026196F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026B51" w:rsidRDefault="00026B51" w:rsidP="00026B51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026B51" w:rsidP="0026196F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03709" w:rsidRDefault="00703709" w:rsidP="0026196F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:rsidR="00C57379" w:rsidRPr="0090644A" w:rsidRDefault="00026B51" w:rsidP="0026196F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03709" w:rsidRDefault="00703709" w:rsidP="0026196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26196F" w:rsidRPr="00DB577C" w:rsidRDefault="00026B51" w:rsidP="0026196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26196F">
        <w:t>Tento dodatek se stává platným dnem jeho podpisu oběma smluvními stranami</w:t>
      </w:r>
      <w:r w:rsidR="0026196F">
        <w:rPr>
          <w:b/>
          <w:szCs w:val="24"/>
        </w:rPr>
        <w:t xml:space="preserve"> a účinným 1. </w:t>
      </w:r>
      <w:r w:rsidR="0026196F" w:rsidRPr="00764A27">
        <w:rPr>
          <w:b/>
          <w:szCs w:val="24"/>
        </w:rPr>
        <w:t xml:space="preserve">kalendářním dnem měsíce následujícího po měsíci, v </w:t>
      </w:r>
      <w:r w:rsidR="0026196F">
        <w:rPr>
          <w:b/>
          <w:szCs w:val="24"/>
        </w:rPr>
        <w:t>němž byl zveřejněn</w:t>
      </w:r>
      <w:r w:rsidR="0026196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26196F">
        <w:rPr>
          <w:b/>
          <w:szCs w:val="24"/>
        </w:rPr>
        <w:t xml:space="preserve">tohoto dodatku </w:t>
      </w:r>
      <w:r w:rsidR="0026196F" w:rsidRPr="00764A27">
        <w:rPr>
          <w:b/>
          <w:szCs w:val="24"/>
        </w:rPr>
        <w:t>správci registru smluv Příkazník.</w:t>
      </w:r>
    </w:p>
    <w:p w:rsidR="00922CA7" w:rsidRDefault="00026B51" w:rsidP="0026196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26B51" w:rsidP="0026196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26196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6196F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26196F">
        <w:rPr>
          <w:rFonts w:ascii="Times New Roman" w:hAnsi="Times New Roman"/>
          <w:snapToGrid w:val="0"/>
          <w:sz w:val="24"/>
        </w:rPr>
        <w:t>Ing. Lenka Kožušníková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26196F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282AC8">
      <w:rPr>
        <w:sz w:val="16"/>
      </w:rPr>
      <w:t>7</w:t>
    </w:r>
    <w:r w:rsidR="002F71B9">
      <w:rPr>
        <w:sz w:val="16"/>
      </w:rPr>
      <w:t xml:space="preserve"> – </w:t>
    </w:r>
    <w:r w:rsidR="00026B51">
      <w:rPr>
        <w:sz w:val="16"/>
      </w:rPr>
      <w:t>1</w:t>
    </w:r>
    <w:r w:rsidR="0026196F">
      <w:rPr>
        <w:sz w:val="16"/>
      </w:rPr>
      <w:t>4</w:t>
    </w:r>
    <w:r w:rsidR="008F536D">
      <w:rPr>
        <w:sz w:val="16"/>
      </w:rPr>
      <w:t>/201</w:t>
    </w:r>
    <w:r w:rsidR="0026196F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03709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26B51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6196F"/>
    <w:rsid w:val="0027188F"/>
    <w:rsid w:val="00282AC8"/>
    <w:rsid w:val="0028572C"/>
    <w:rsid w:val="00293F9C"/>
    <w:rsid w:val="00295773"/>
    <w:rsid w:val="0029779E"/>
    <w:rsid w:val="002A5B84"/>
    <w:rsid w:val="002B1BD4"/>
    <w:rsid w:val="002C0A95"/>
    <w:rsid w:val="002D2FBF"/>
    <w:rsid w:val="002D4AD9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3709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6E26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36DF5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3739A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45A2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AF1B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2</cp:revision>
  <cp:lastPrinted>2019-10-15T10:32:00Z</cp:lastPrinted>
  <dcterms:created xsi:type="dcterms:W3CDTF">2019-11-26T13:48:00Z</dcterms:created>
  <dcterms:modified xsi:type="dcterms:W3CDTF">2019-11-26T13:48:00Z</dcterms:modified>
</cp:coreProperties>
</file>