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FE" w:rsidRDefault="0035110E">
      <w:pPr>
        <w:pStyle w:val="Jin0"/>
        <w:shd w:val="clear" w:color="auto" w:fill="auto"/>
        <w:spacing w:line="240" w:lineRule="auto"/>
        <w:ind w:left="2340" w:firstLine="0"/>
        <w:rPr>
          <w:sz w:val="50"/>
          <w:szCs w:val="50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139700</wp:posOffset>
                </wp:positionV>
                <wp:extent cx="1524635" cy="4711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471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10FE" w:rsidRDefault="0035110E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t>Ref. no: IEAP_25112019-l</w:t>
                            </w:r>
                          </w:p>
                          <w:p w:rsidR="004C10FE" w:rsidRDefault="0035110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Date: 25.11.2019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1.5pt;margin-top:11.pt;width:120.05pt;height:37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Ref. no: IEAP_25112019-l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Date: 25.11.2019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Arial" w:eastAsia="Arial" w:hAnsi="Arial" w:cs="Arial"/>
          <w:sz w:val="50"/>
          <w:szCs w:val="50"/>
        </w:rPr>
        <w:t>ADVACAM</w:t>
      </w:r>
    </w:p>
    <w:p w:rsidR="004C10FE" w:rsidRDefault="0035110E">
      <w:pPr>
        <w:pStyle w:val="Jin0"/>
        <w:shd w:val="clear" w:color="auto" w:fill="auto"/>
        <w:spacing w:after="380" w:line="230" w:lineRule="auto"/>
        <w:ind w:firstLine="0"/>
        <w:jc w:val="righ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Imaging the Unseen</w:t>
      </w:r>
    </w:p>
    <w:p w:rsidR="004C10FE" w:rsidRDefault="0035110E">
      <w:pPr>
        <w:pStyle w:val="Zkladntext20"/>
        <w:shd w:val="clear" w:color="auto" w:fill="auto"/>
        <w:tabs>
          <w:tab w:val="left" w:pos="684"/>
        </w:tabs>
      </w:pPr>
      <w:r>
        <w:t>To:</w:t>
      </w:r>
      <w:r>
        <w:tab/>
        <w:t xml:space="preserve">IEAP CTU in Prague, </w:t>
      </w:r>
      <w:r>
        <w:rPr>
          <w:lang w:val="cs-CZ" w:eastAsia="cs-CZ" w:bidi="cs-CZ"/>
        </w:rPr>
        <w:t xml:space="preserve">Horská </w:t>
      </w:r>
      <w:r>
        <w:t>3a/22, CZ-128 00 Praha 2 - Albertov, Czech Republic</w:t>
      </w:r>
    </w:p>
    <w:p w:rsidR="004C10FE" w:rsidRDefault="0035110E">
      <w:pPr>
        <w:pStyle w:val="Jin0"/>
        <w:shd w:val="clear" w:color="auto" w:fill="auto"/>
        <w:spacing w:after="24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Offer for Si planar 300 um single sensor chips</w:t>
      </w:r>
    </w:p>
    <w:p w:rsidR="004C10FE" w:rsidRDefault="0035110E">
      <w:pPr>
        <w:pStyle w:val="Zkladntext1"/>
        <w:shd w:val="clear" w:color="auto" w:fill="auto"/>
        <w:spacing w:after="240"/>
        <w:ind w:firstLine="0"/>
      </w:pPr>
      <w:r>
        <w:t>Dear</w:t>
      </w:r>
      <w:bookmarkStart w:id="0" w:name="_GoBack"/>
      <w:bookmarkEnd w:id="0"/>
      <w:r>
        <w:t>,</w:t>
      </w:r>
    </w:p>
    <w:p w:rsidR="004C10FE" w:rsidRDefault="0035110E">
      <w:pPr>
        <w:pStyle w:val="Zkladntext1"/>
        <w:shd w:val="clear" w:color="auto" w:fill="auto"/>
        <w:spacing w:after="160"/>
        <w:ind w:firstLine="0"/>
      </w:pPr>
      <w:r>
        <w:t xml:space="preserve">Advacam offers TPIX </w:t>
      </w:r>
      <w:r>
        <w:t>- Si planar 300 um single sensor modules as follows:</w:t>
      </w:r>
    </w:p>
    <w:p w:rsidR="004C10FE" w:rsidRDefault="0035110E">
      <w:pPr>
        <w:pStyle w:val="Zkladntext1"/>
        <w:shd w:val="clear" w:color="auto" w:fill="auto"/>
        <w:spacing w:after="16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Task #1: </w:t>
      </w:r>
      <w:r>
        <w:rPr>
          <w:sz w:val="20"/>
          <w:szCs w:val="20"/>
          <w:u w:val="single"/>
        </w:rPr>
        <w:t>TPIX3 - Si planar 300 um single sensor modules:</w:t>
      </w:r>
    </w:p>
    <w:p w:rsidR="004C10FE" w:rsidRDefault="0035110E">
      <w:pPr>
        <w:pStyle w:val="Zkladntext1"/>
        <w:shd w:val="clear" w:color="auto" w:fill="auto"/>
        <w:spacing w:line="276" w:lineRule="auto"/>
        <w:ind w:left="700"/>
      </w:pPr>
      <w:r>
        <w:t>20 pcs of Si planar 300 um thick single sensor chips with UBM and pixel array of 257 x 256. "SRv3" single Si sensors with size 16.31 mm x 16.31 mm</w:t>
      </w:r>
      <w:r>
        <w:t xml:space="preserve"> will be used for this work.</w:t>
      </w:r>
    </w:p>
    <w:p w:rsidR="004C10FE" w:rsidRDefault="0035110E">
      <w:pPr>
        <w:pStyle w:val="Zkladntext1"/>
        <w:shd w:val="clear" w:color="auto" w:fill="auto"/>
        <w:spacing w:line="276" w:lineRule="auto"/>
        <w:ind w:left="700"/>
      </w:pPr>
      <w:r>
        <w:t>Flip chip bonding of lEAP's TPIX3 ASICs stored at Advacam to Si sensors. Flip chip bonding cost will be covered by an existing IEAP purchase order# 3520180359.</w:t>
      </w:r>
    </w:p>
    <w:p w:rsidR="004C10FE" w:rsidRDefault="0035110E">
      <w:pPr>
        <w:pStyle w:val="Zkladntext1"/>
        <w:shd w:val="clear" w:color="auto" w:fill="auto"/>
        <w:spacing w:after="160" w:line="276" w:lineRule="auto"/>
        <w:ind w:firstLine="700"/>
      </w:pPr>
      <w:r>
        <w:t>IV characteristics of the sensor modules will be measured after fli</w:t>
      </w:r>
      <w:r>
        <w:t>p chip bonding.</w:t>
      </w:r>
    </w:p>
    <w:p w:rsidR="004C10FE" w:rsidRDefault="0035110E">
      <w:pPr>
        <w:pStyle w:val="Zkladntext1"/>
        <w:shd w:val="clear" w:color="auto" w:fill="auto"/>
        <w:spacing w:line="240" w:lineRule="auto"/>
        <w:ind w:firstLine="700"/>
      </w:pPr>
      <w:r>
        <w:t>Specifications:</w:t>
      </w:r>
    </w:p>
    <w:p w:rsidR="004C10FE" w:rsidRDefault="0035110E">
      <w:pPr>
        <w:pStyle w:val="Zkladntext1"/>
        <w:shd w:val="clear" w:color="auto" w:fill="auto"/>
        <w:spacing w:line="240" w:lineRule="auto"/>
        <w:ind w:left="1040" w:firstLine="0"/>
      </w:pPr>
      <w:r>
        <w:t>o Full depletion voltage: typically &lt; 40 V, Max 60 V.</w:t>
      </w:r>
    </w:p>
    <w:p w:rsidR="004C10FE" w:rsidRDefault="0035110E">
      <w:pPr>
        <w:pStyle w:val="Zkladntext1"/>
        <w:shd w:val="clear" w:color="auto" w:fill="auto"/>
        <w:spacing w:line="240" w:lineRule="auto"/>
        <w:ind w:left="1040" w:firstLine="0"/>
      </w:pPr>
      <w:r>
        <w:t>o Breakdown voltage (10 pA): Min 200 V, Typically &gt; 500V</w:t>
      </w:r>
    </w:p>
    <w:p w:rsidR="004C10FE" w:rsidRDefault="0035110E">
      <w:pPr>
        <w:pStyle w:val="Zkladntext1"/>
        <w:shd w:val="clear" w:color="auto" w:fill="auto"/>
        <w:spacing w:after="160" w:line="240" w:lineRule="auto"/>
        <w:ind w:left="700" w:firstLine="380"/>
      </w:pPr>
      <w:r>
        <w:t>o Guard leakage current (measured in dark at 20 C): &lt; 100 nA per cm</w:t>
      </w:r>
      <w:r>
        <w:rPr>
          <w:vertAlign w:val="superscript"/>
        </w:rPr>
        <w:t>2</w:t>
      </w:r>
      <w:r>
        <w:t xml:space="preserve"> at 100 V Price: 11,200 € (560 € per sensor c</w:t>
      </w:r>
      <w:r>
        <w:t>hip)</w:t>
      </w:r>
    </w:p>
    <w:p w:rsidR="004C10FE" w:rsidRDefault="0035110E">
      <w:pPr>
        <w:pStyle w:val="Zkladntext1"/>
        <w:shd w:val="clear" w:color="auto" w:fill="auto"/>
        <w:spacing w:after="16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Task #2: </w:t>
      </w:r>
      <w:r>
        <w:rPr>
          <w:sz w:val="20"/>
          <w:szCs w:val="20"/>
          <w:u w:val="single"/>
        </w:rPr>
        <w:t>Preparing the material for shipping</w:t>
      </w:r>
    </w:p>
    <w:p w:rsidR="004C10FE" w:rsidRDefault="0035110E">
      <w:pPr>
        <w:pStyle w:val="Zkladntext1"/>
        <w:shd w:val="clear" w:color="auto" w:fill="auto"/>
        <w:ind w:firstLine="700"/>
      </w:pPr>
      <w:r>
        <w:t>Documentation, materials, packing etc.</w:t>
      </w:r>
    </w:p>
    <w:p w:rsidR="004C10FE" w:rsidRDefault="0035110E">
      <w:pPr>
        <w:pStyle w:val="Zkladntext1"/>
        <w:shd w:val="clear" w:color="auto" w:fill="auto"/>
        <w:ind w:firstLine="700"/>
      </w:pPr>
      <w:r>
        <w:t>Dispatch of goods in one batch.</w:t>
      </w:r>
    </w:p>
    <w:p w:rsidR="004C10FE" w:rsidRDefault="0035110E">
      <w:pPr>
        <w:pStyle w:val="Zkladntext1"/>
        <w:shd w:val="clear" w:color="auto" w:fill="auto"/>
        <w:spacing w:after="160"/>
        <w:ind w:firstLine="700"/>
      </w:pPr>
      <w:r>
        <w:rPr>
          <w:noProof/>
          <w:lang w:val="cs-CZ" w:eastAsia="cs-CZ" w:bidi="ar-SA"/>
        </w:rPr>
        <w:drawing>
          <wp:anchor distT="151130" distB="200660" distL="130175" distR="1967865" simplePos="0" relativeHeight="125829380" behindDoc="0" locked="0" layoutInCell="1" allowOverlap="1">
            <wp:simplePos x="0" y="0"/>
            <wp:positionH relativeFrom="page">
              <wp:posOffset>1279525</wp:posOffset>
            </wp:positionH>
            <wp:positionV relativeFrom="paragraph">
              <wp:posOffset>2957830</wp:posOffset>
            </wp:positionV>
            <wp:extent cx="445135" cy="45085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513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3387725</wp:posOffset>
                </wp:positionV>
                <wp:extent cx="482600" cy="10731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107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10FE" w:rsidRDefault="0035110E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ADVACAM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9.5pt;margin-top:266.75pt;width:38.pt;height:8.449999999999999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ADVACAM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 w:bidi="ar-SA"/>
        </w:rPr>
        <w:drawing>
          <wp:anchor distT="0" distB="0" distL="1200150" distR="114300" simplePos="0" relativeHeight="125829381" behindDoc="0" locked="0" layoutInCell="1" allowOverlap="1">
            <wp:simplePos x="0" y="0"/>
            <wp:positionH relativeFrom="page">
              <wp:posOffset>2349500</wp:posOffset>
            </wp:positionH>
            <wp:positionV relativeFrom="paragraph">
              <wp:posOffset>2806700</wp:posOffset>
            </wp:positionV>
            <wp:extent cx="1231265" cy="798830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312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6283960</wp:posOffset>
                </wp:positionH>
                <wp:positionV relativeFrom="paragraph">
                  <wp:posOffset>2908300</wp:posOffset>
                </wp:positionV>
                <wp:extent cx="560070" cy="1689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10FE" w:rsidRDefault="0035110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Page 1 of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94.80000000000001pt;margin-top:229.pt;width:44.100000000000001pt;height:13.30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en-US" w:eastAsia="en-US" w:bidi="en-US"/>
                        </w:rPr>
                        <w:t>Page 1 of 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Price: </w:t>
      </w:r>
      <w:r>
        <w:t>€</w:t>
      </w:r>
    </w:p>
    <w:p w:rsidR="004C10FE" w:rsidRDefault="0035110E">
      <w:pPr>
        <w:pStyle w:val="Titulektabulky0"/>
        <w:shd w:val="clear" w:color="auto" w:fill="auto"/>
        <w:ind w:left="5515"/>
      </w:pPr>
      <w:r>
        <w:t>Ref. no: IEAP_2S112019-l</w:t>
      </w:r>
    </w:p>
    <w:tbl>
      <w:tblPr>
        <w:tblOverlap w:val="never"/>
        <w:tblW w:w="8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3809"/>
        <w:gridCol w:w="1804"/>
        <w:gridCol w:w="886"/>
        <w:gridCol w:w="1180"/>
      </w:tblGrid>
      <w:tr w:rsidR="004C10FE" w:rsidTr="0035110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968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46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Task</w:t>
            </w:r>
          </w:p>
        </w:tc>
        <w:tc>
          <w:tcPr>
            <w:tcW w:w="3809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24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Name</w:t>
            </w:r>
          </w:p>
        </w:tc>
        <w:tc>
          <w:tcPr>
            <w:tcW w:w="1804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920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No. of units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Unit price</w:t>
            </w:r>
          </w:p>
        </w:tc>
        <w:tc>
          <w:tcPr>
            <w:tcW w:w="1180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Price</w:t>
            </w:r>
          </w:p>
        </w:tc>
      </w:tr>
      <w:tr w:rsidR="004C10FE" w:rsidTr="0035110E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560"/>
              <w:rPr>
                <w:sz w:val="14"/>
                <w:szCs w:val="14"/>
              </w:rPr>
            </w:pPr>
            <w:r>
              <w:rPr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38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TPIX3 -Si planar 300 um </w:t>
            </w:r>
            <w:r>
              <w:rPr>
                <w:sz w:val="14"/>
                <w:szCs w:val="14"/>
              </w:rPr>
              <w:t>single sensor modules</w:t>
            </w: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left="118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10FE" w:rsidRDefault="0035110E" w:rsidP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€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10FE" w:rsidRDefault="0035110E" w:rsidP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€</w:t>
            </w:r>
            <w:r>
              <w:rPr>
                <w:sz w:val="14"/>
                <w:szCs w:val="14"/>
              </w:rPr>
              <w:t>00</w:t>
            </w:r>
          </w:p>
        </w:tc>
      </w:tr>
      <w:tr w:rsidR="004C10FE" w:rsidTr="0035110E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968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5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809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Preparing material for shipping</w:t>
            </w:r>
          </w:p>
        </w:tc>
        <w:tc>
          <w:tcPr>
            <w:tcW w:w="1804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left="118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86" w:type="dxa"/>
            <w:shd w:val="clear" w:color="auto" w:fill="FFFFFF"/>
            <w:vAlign w:val="bottom"/>
          </w:tcPr>
          <w:p w:rsidR="004C10FE" w:rsidRDefault="0035110E" w:rsidP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€</w:t>
            </w:r>
            <w:r>
              <w:rPr>
                <w:sz w:val="14"/>
                <w:szCs w:val="14"/>
              </w:rPr>
              <w:t>0,00</w:t>
            </w:r>
          </w:p>
        </w:tc>
        <w:tc>
          <w:tcPr>
            <w:tcW w:w="1180" w:type="dxa"/>
            <w:shd w:val="clear" w:color="auto" w:fill="FFFFFF"/>
            <w:vAlign w:val="bottom"/>
          </w:tcPr>
          <w:p w:rsidR="004C10FE" w:rsidRDefault="0035110E" w:rsidP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€</w:t>
            </w:r>
            <w:r>
              <w:rPr>
                <w:sz w:val="14"/>
                <w:szCs w:val="14"/>
              </w:rPr>
              <w:t>00</w:t>
            </w:r>
          </w:p>
        </w:tc>
      </w:tr>
      <w:tr w:rsidR="004C10FE" w:rsidTr="0035110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0FE" w:rsidRDefault="004C10FE">
            <w:pPr>
              <w:rPr>
                <w:sz w:val="10"/>
                <w:szCs w:val="10"/>
              </w:rPr>
            </w:pPr>
          </w:p>
        </w:tc>
        <w:tc>
          <w:tcPr>
            <w:tcW w:w="3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0FE" w:rsidRDefault="004C10FE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10FE" w:rsidRDefault="004C10FE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10FE" w:rsidRDefault="0035110E" w:rsidP="0035110E">
            <w:pPr>
              <w:pStyle w:val="Jin0"/>
              <w:shd w:val="clear" w:color="auto" w:fill="auto"/>
              <w:spacing w:line="240" w:lineRule="auto"/>
              <w:ind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€</w:t>
            </w:r>
          </w:p>
        </w:tc>
      </w:tr>
    </w:tbl>
    <w:p w:rsidR="004C10FE" w:rsidRDefault="004C10FE">
      <w:pPr>
        <w:spacing w:after="619" w:line="1" w:lineRule="exact"/>
      </w:pPr>
    </w:p>
    <w:p w:rsidR="004C10FE" w:rsidRDefault="004C10F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6667"/>
      </w:tblGrid>
      <w:tr w:rsidR="004C10FE">
        <w:tblPrEx>
          <w:tblCellMar>
            <w:top w:w="0" w:type="dxa"/>
            <w:bottom w:w="0" w:type="dxa"/>
          </w:tblCellMar>
        </w:tblPrEx>
        <w:trPr>
          <w:trHeight w:hRule="exact" w:val="1256"/>
          <w:jc w:val="center"/>
        </w:trPr>
        <w:tc>
          <w:tcPr>
            <w:tcW w:w="1660" w:type="dxa"/>
            <w:shd w:val="clear" w:color="auto" w:fill="FFFFFF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Payments:</w:t>
            </w:r>
          </w:p>
        </w:tc>
        <w:tc>
          <w:tcPr>
            <w:tcW w:w="6667" w:type="dxa"/>
            <w:shd w:val="clear" w:color="auto" w:fill="FFFFFF"/>
          </w:tcPr>
          <w:p w:rsidR="004C10FE" w:rsidRDefault="0035110E">
            <w:pPr>
              <w:pStyle w:val="Jin0"/>
              <w:shd w:val="clear" w:color="auto" w:fill="auto"/>
              <w:spacing w:line="293" w:lineRule="auto"/>
              <w:ind w:left="300" w:firstLine="0"/>
            </w:pPr>
            <w:r>
              <w:t xml:space="preserve">The total price of the commission is ll,600€. The invoice will be sent immediately after the PO has been processed. The VAT or </w:t>
            </w:r>
            <w:r>
              <w:t>any other taxes and fees imposed by the foreign authorities or customs shall be added to the price, when applicable.</w:t>
            </w:r>
          </w:p>
        </w:tc>
      </w:tr>
      <w:tr w:rsidR="004C10F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Validity Period:</w:t>
            </w:r>
          </w:p>
        </w:tc>
        <w:tc>
          <w:tcPr>
            <w:tcW w:w="6667" w:type="dxa"/>
            <w:shd w:val="clear" w:color="auto" w:fill="FFFFFF"/>
            <w:vAlign w:val="bottom"/>
          </w:tcPr>
          <w:p w:rsidR="004C10FE" w:rsidRDefault="0035110E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This quotation is valid for one month starting from the date of the offer.</w:t>
            </w:r>
          </w:p>
        </w:tc>
      </w:tr>
    </w:tbl>
    <w:p w:rsidR="004C10FE" w:rsidRDefault="004C10FE">
      <w:pPr>
        <w:spacing w:after="839" w:line="1" w:lineRule="exact"/>
      </w:pPr>
    </w:p>
    <w:p w:rsidR="004C10FE" w:rsidRDefault="0035110E">
      <w:pPr>
        <w:pStyle w:val="Jin0"/>
        <w:shd w:val="clear" w:color="auto" w:fill="auto"/>
        <w:spacing w:line="240" w:lineRule="auto"/>
        <w:ind w:left="1040" w:firstLine="40"/>
        <w:rPr>
          <w:sz w:val="16"/>
          <w:szCs w:val="16"/>
        </w:rPr>
      </w:pPr>
      <w:r>
        <w:rPr>
          <w:b/>
          <w:bCs/>
          <w:sz w:val="16"/>
          <w:szCs w:val="16"/>
        </w:rPr>
        <w:t>ADVACAM s.r.o</w:t>
      </w:r>
    </w:p>
    <w:p w:rsidR="004C10FE" w:rsidRDefault="004C10FE">
      <w:pPr>
        <w:pStyle w:val="Zkladntext30"/>
        <w:shd w:val="clear" w:color="auto" w:fill="auto"/>
      </w:pPr>
    </w:p>
    <w:sectPr w:rsidR="004C10FE">
      <w:pgSz w:w="11900" w:h="16840"/>
      <w:pgMar w:top="1275" w:right="1665" w:bottom="1275" w:left="1882" w:header="847" w:footer="8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110E">
      <w:r>
        <w:separator/>
      </w:r>
    </w:p>
  </w:endnote>
  <w:endnote w:type="continuationSeparator" w:id="0">
    <w:p w:rsidR="00000000" w:rsidRDefault="003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FE" w:rsidRDefault="004C10FE"/>
  </w:footnote>
  <w:footnote w:type="continuationSeparator" w:id="0">
    <w:p w:rsidR="004C10FE" w:rsidRDefault="004C10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FE"/>
    <w:rsid w:val="0035110E"/>
    <w:rsid w:val="004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3AB0"/>
  <w15:docId w15:val="{A28DFD12-9BD1-4584-BC3F-5B8E5F50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9" w:lineRule="auto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1"/>
      <w:szCs w:val="11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9" w:lineRule="auto"/>
      <w:ind w:firstLine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60" w:line="254" w:lineRule="auto"/>
      <w:ind w:left="1040" w:firstLine="40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2019-11-26T10:55:00Z</dcterms:created>
  <dcterms:modified xsi:type="dcterms:W3CDTF">2019-11-26T10:55:00Z</dcterms:modified>
</cp:coreProperties>
</file>