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1EEF" w14:textId="19EEB023" w:rsidR="00B15E78" w:rsidRDefault="00B15E78" w:rsidP="00B15E78">
      <w:pPr>
        <w:rPr>
          <w:rFonts w:asciiTheme="minorHAnsi" w:hAnsiTheme="minorHAnsi" w:cstheme="minorHAnsi"/>
          <w:szCs w:val="24"/>
        </w:rPr>
      </w:pPr>
      <w:r w:rsidRPr="00B15E78">
        <w:rPr>
          <w:rFonts w:asciiTheme="minorHAnsi" w:hAnsiTheme="minorHAnsi" w:cstheme="minorHAnsi"/>
          <w:szCs w:val="24"/>
        </w:rPr>
        <w:t xml:space="preserve">Příloha č. </w:t>
      </w:r>
      <w:r w:rsidR="002327DA">
        <w:rPr>
          <w:rFonts w:asciiTheme="minorHAnsi" w:hAnsiTheme="minorHAnsi" w:cstheme="minorHAnsi"/>
          <w:szCs w:val="24"/>
        </w:rPr>
        <w:t>1 Kupní smlouvy</w:t>
      </w:r>
      <w:bookmarkStart w:id="0" w:name="_GoBack"/>
      <w:bookmarkEnd w:id="0"/>
    </w:p>
    <w:p w14:paraId="34C39F33" w14:textId="77777777" w:rsidR="00B15E78" w:rsidRPr="00B15E78" w:rsidRDefault="00B15E78" w:rsidP="00B15E78">
      <w:pPr>
        <w:rPr>
          <w:rFonts w:asciiTheme="minorHAnsi" w:hAnsiTheme="minorHAnsi" w:cstheme="minorHAnsi"/>
          <w:szCs w:val="24"/>
        </w:rPr>
      </w:pPr>
    </w:p>
    <w:p w14:paraId="4FBF426A" w14:textId="77777777" w:rsidR="00FE294F" w:rsidRPr="000938BC" w:rsidRDefault="005E2BE0" w:rsidP="00D475C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D475C8" w:rsidRPr="000938BC">
        <w:rPr>
          <w:rFonts w:asciiTheme="minorHAnsi" w:hAnsiTheme="minorHAnsi" w:cstheme="minorHAnsi"/>
          <w:b/>
          <w:sz w:val="32"/>
          <w:szCs w:val="32"/>
          <w:u w:val="single"/>
        </w:rPr>
        <w:t>Rastrovacího elektronový mikroskop s velkou komorou, EDS analyzátorem, EBSD detektorem a nanoindentorem</w:t>
      </w:r>
    </w:p>
    <w:p w14:paraId="7763C302" w14:textId="77777777" w:rsidR="00D475C8" w:rsidRPr="000938BC" w:rsidRDefault="00D475C8" w:rsidP="00D475C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3D1026" w14:textId="77777777" w:rsidR="00C71B16" w:rsidRPr="000938BC" w:rsidRDefault="00BA2DEF" w:rsidP="00B70326">
      <w:pPr>
        <w:jc w:val="both"/>
        <w:rPr>
          <w:rFonts w:asciiTheme="minorHAnsi" w:hAnsiTheme="minorHAnsi" w:cstheme="minorHAnsi"/>
        </w:rPr>
      </w:pPr>
      <w:r w:rsidRPr="000938BC">
        <w:rPr>
          <w:rFonts w:asciiTheme="minorHAnsi" w:hAnsiTheme="minorHAnsi" w:cstheme="minorHAnsi"/>
        </w:rPr>
        <w:t xml:space="preserve">Předmětem veřejné zakázky je </w:t>
      </w:r>
      <w:r w:rsidR="00B70326" w:rsidRPr="000938BC">
        <w:rPr>
          <w:rFonts w:asciiTheme="minorHAnsi" w:hAnsiTheme="minorHAnsi" w:cstheme="minorHAnsi"/>
        </w:rPr>
        <w:t xml:space="preserve">kompletní </w:t>
      </w:r>
      <w:r w:rsidRPr="000938BC">
        <w:rPr>
          <w:rFonts w:asciiTheme="minorHAnsi" w:hAnsiTheme="minorHAnsi" w:cstheme="minorHAnsi"/>
        </w:rPr>
        <w:t xml:space="preserve">dodávka rastrovacího elektronového mikroskopu </w:t>
      </w:r>
      <w:r w:rsidR="00B70326" w:rsidRPr="000938BC">
        <w:rPr>
          <w:rFonts w:asciiTheme="minorHAnsi" w:hAnsiTheme="minorHAnsi" w:cstheme="minorHAnsi"/>
        </w:rPr>
        <w:t>(SEM) a to včetně EDS anal</w:t>
      </w:r>
      <w:r w:rsidR="00D475C8" w:rsidRPr="000938BC">
        <w:rPr>
          <w:rFonts w:asciiTheme="minorHAnsi" w:hAnsiTheme="minorHAnsi" w:cstheme="minorHAnsi"/>
        </w:rPr>
        <w:t>yzátoru, EBSD detektoru a nanoindentoru</w:t>
      </w:r>
      <w:r w:rsidRPr="000938BC">
        <w:rPr>
          <w:rFonts w:asciiTheme="minorHAnsi" w:hAnsiTheme="minorHAnsi" w:cstheme="minorHAnsi"/>
        </w:rPr>
        <w:t>. Součásti plnění je rovněž dodání sady spotřebního materiálu a dílů podléhajících opotřebení, které jsou nezbytné pro provoz mikroskopu po dobu dvou let při jednos</w:t>
      </w:r>
      <w:r w:rsidR="00B70326" w:rsidRPr="000938BC">
        <w:rPr>
          <w:rFonts w:asciiTheme="minorHAnsi" w:hAnsiTheme="minorHAnsi" w:cstheme="minorHAnsi"/>
        </w:rPr>
        <w:t>měnném provozu. D</w:t>
      </w:r>
      <w:r w:rsidRPr="000938BC">
        <w:rPr>
          <w:rFonts w:asciiTheme="minorHAnsi" w:hAnsiTheme="minorHAnsi" w:cstheme="minorHAnsi"/>
        </w:rPr>
        <w:t>oprava, instalace, uvedení do provozu, technické</w:t>
      </w:r>
      <w:r w:rsidR="00B70326" w:rsidRPr="000938BC">
        <w:rPr>
          <w:rFonts w:asciiTheme="minorHAnsi" w:hAnsiTheme="minorHAnsi" w:cstheme="minorHAnsi"/>
        </w:rPr>
        <w:t xml:space="preserve"> a aplikační zaškolení obsluhy</w:t>
      </w:r>
      <w:r w:rsidRPr="000938BC">
        <w:rPr>
          <w:rFonts w:asciiTheme="minorHAnsi" w:hAnsiTheme="minorHAnsi" w:cstheme="minorHAnsi"/>
        </w:rPr>
        <w:t>.</w:t>
      </w:r>
      <w:r w:rsidR="00B70326" w:rsidRPr="000938BC">
        <w:rPr>
          <w:rFonts w:asciiTheme="minorHAnsi" w:hAnsiTheme="minorHAnsi" w:cstheme="minorHAnsi"/>
        </w:rPr>
        <w:t xml:space="preserve"> Zařízení musí splňovat možnosti kvalitativního a kvantitativního vyhodnocování různých kovových </w:t>
      </w:r>
      <w:r w:rsidR="00C71B16" w:rsidRPr="000938BC">
        <w:rPr>
          <w:rFonts w:asciiTheme="minorHAnsi" w:hAnsiTheme="minorHAnsi" w:cstheme="minorHAnsi"/>
        </w:rPr>
        <w:t xml:space="preserve">a nekovových </w:t>
      </w:r>
      <w:r w:rsidR="00F478FF" w:rsidRPr="000938BC">
        <w:rPr>
          <w:rFonts w:asciiTheme="minorHAnsi" w:hAnsiTheme="minorHAnsi" w:cstheme="minorHAnsi"/>
        </w:rPr>
        <w:t xml:space="preserve">materiálů a to jak upravených, tak i neupravených vzorků, leptaných a neleptaných povrchů, lomových ploch, povrchových vrstev, jednotlivých strukturálních složek atd. </w:t>
      </w:r>
    </w:p>
    <w:p w14:paraId="46A1555A" w14:textId="77777777" w:rsidR="00F14DFA" w:rsidRDefault="00F14DFA" w:rsidP="00FD3966">
      <w:pPr>
        <w:spacing w:line="240" w:lineRule="auto"/>
        <w:rPr>
          <w:rFonts w:asciiTheme="minorHAnsi" w:hAnsiTheme="minorHAnsi" w:cstheme="minorHAnsi"/>
        </w:rPr>
      </w:pPr>
    </w:p>
    <w:p w14:paraId="3654257A" w14:textId="77777777" w:rsidR="00B70326" w:rsidRDefault="00DE0AE8" w:rsidP="00FD3966">
      <w:pPr>
        <w:spacing w:line="240" w:lineRule="auto"/>
        <w:rPr>
          <w:rFonts w:asciiTheme="minorHAnsi" w:hAnsiTheme="minorHAnsi" w:cstheme="minorHAnsi"/>
        </w:rPr>
      </w:pPr>
      <w:r w:rsidRPr="00DE0AE8">
        <w:rPr>
          <w:rFonts w:asciiTheme="minorHAnsi" w:hAnsiTheme="minorHAnsi" w:cstheme="minorHAnsi"/>
        </w:rPr>
        <w:t xml:space="preserve">Dodavatel musí splnit dodací lhůtu </w:t>
      </w:r>
      <w:r w:rsidR="00CC4601">
        <w:rPr>
          <w:rFonts w:asciiTheme="minorHAnsi" w:hAnsiTheme="minorHAnsi" w:cstheme="minorHAnsi"/>
        </w:rPr>
        <w:t>9</w:t>
      </w:r>
      <w:r w:rsidR="00F14DFA" w:rsidRPr="00DE0AE8">
        <w:rPr>
          <w:rFonts w:asciiTheme="minorHAnsi" w:hAnsiTheme="minorHAnsi" w:cstheme="minorHAnsi"/>
        </w:rPr>
        <w:t xml:space="preserve">0 </w:t>
      </w:r>
      <w:r w:rsidRPr="00DE0AE8">
        <w:rPr>
          <w:rFonts w:asciiTheme="minorHAnsi" w:hAnsiTheme="minorHAnsi" w:cstheme="minorHAnsi"/>
        </w:rPr>
        <w:t>dnů od podpisu smlouvy.</w:t>
      </w:r>
    </w:p>
    <w:p w14:paraId="552E939C" w14:textId="77777777" w:rsidR="005E2BE0" w:rsidRDefault="005E2BE0" w:rsidP="00FD3966">
      <w:pPr>
        <w:spacing w:line="240" w:lineRule="auto"/>
        <w:rPr>
          <w:rFonts w:asciiTheme="minorHAnsi" w:hAnsiTheme="minorHAnsi" w:cstheme="minorHAnsi"/>
        </w:rPr>
      </w:pPr>
    </w:p>
    <w:p w14:paraId="76E19CCA" w14:textId="77777777" w:rsidR="005E2BE0" w:rsidRPr="005E2BE0" w:rsidRDefault="005E2BE0" w:rsidP="005E2BE0">
      <w:pPr>
        <w:pStyle w:val="Odstavecseseznamem"/>
        <w:numPr>
          <w:ilvl w:val="0"/>
          <w:numId w:val="10"/>
        </w:numPr>
        <w:ind w:left="87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 všem dodávaným PC dodat </w:t>
      </w:r>
      <w:r w:rsidRPr="003C0A01">
        <w:rPr>
          <w:rFonts w:asciiTheme="minorHAnsi" w:hAnsiTheme="minorHAnsi" w:cstheme="minorHAnsi"/>
        </w:rPr>
        <w:t>64bitovou profesionální verzi operačního systému, aktuální CZ verze nabízená výrobcem. Kompatibilní se stávajícím počítačovým prostředím univerzity</w:t>
      </w:r>
      <w:r w:rsidR="003C0A01" w:rsidRPr="003C0A01">
        <w:rPr>
          <w:rFonts w:asciiTheme="minorHAnsi" w:hAnsiTheme="minorHAnsi" w:cstheme="minorHAnsi"/>
        </w:rPr>
        <w:t xml:space="preserve">. </w:t>
      </w:r>
      <w:r w:rsidR="003C0A01" w:rsidRPr="00CC4601">
        <w:rPr>
          <w:rFonts w:asciiTheme="minorHAnsi" w:hAnsiTheme="minorHAnsi" w:cstheme="minorHAnsi"/>
        </w:rPr>
        <w:t>Stávajícím počítačovým prostředím UJEP je Windows</w:t>
      </w:r>
      <w:r w:rsidRPr="00CC4601">
        <w:rPr>
          <w:rFonts w:asciiTheme="minorHAnsi" w:hAnsiTheme="minorHAnsi" w:cstheme="minorHAnsi"/>
        </w:rPr>
        <w:t>. Licence umožňující downgrade na starší ver</w:t>
      </w:r>
      <w:r w:rsidRPr="003C0A01">
        <w:rPr>
          <w:rFonts w:asciiTheme="minorHAnsi" w:hAnsiTheme="minorHAnsi" w:cstheme="minorHAnsi"/>
        </w:rPr>
        <w:t>ze OS. OS podporovaný výrobcem (formou aktualizací) min. do roku 2025. Licence nesmí být formou upgrade ze starší verze.</w:t>
      </w:r>
    </w:p>
    <w:p w14:paraId="4848D869" w14:textId="77777777" w:rsidR="005E2BE0" w:rsidRPr="00DE0AE8" w:rsidRDefault="005E2BE0" w:rsidP="00FD3966">
      <w:pPr>
        <w:spacing w:line="240" w:lineRule="auto"/>
        <w:rPr>
          <w:rFonts w:asciiTheme="minorHAnsi" w:hAnsiTheme="minorHAnsi" w:cstheme="minorHAnsi"/>
        </w:rPr>
      </w:pPr>
    </w:p>
    <w:p w14:paraId="2DA304B2" w14:textId="77777777" w:rsidR="00072EE3" w:rsidRPr="000938BC" w:rsidRDefault="00072EE3" w:rsidP="00FD3966">
      <w:pPr>
        <w:spacing w:line="240" w:lineRule="auto"/>
        <w:rPr>
          <w:rFonts w:asciiTheme="minorHAnsi" w:hAnsiTheme="minorHAnsi" w:cstheme="minorHAnsi"/>
        </w:rPr>
      </w:pPr>
    </w:p>
    <w:p w14:paraId="61F7DE41" w14:textId="77777777" w:rsidR="008E696B" w:rsidRPr="000938BC" w:rsidRDefault="00072EE3" w:rsidP="00FD3966">
      <w:pPr>
        <w:spacing w:line="240" w:lineRule="auto"/>
        <w:rPr>
          <w:rFonts w:asciiTheme="minorHAnsi" w:hAnsiTheme="minorHAnsi" w:cstheme="minorHAnsi"/>
          <w:b/>
        </w:rPr>
      </w:pPr>
      <w:r w:rsidRPr="000938BC">
        <w:rPr>
          <w:rFonts w:asciiTheme="minorHAnsi" w:hAnsiTheme="minorHAnsi" w:cstheme="minorHAnsi"/>
          <w:b/>
        </w:rPr>
        <w:t>Technická sp</w:t>
      </w:r>
      <w:r w:rsidR="002D7408" w:rsidRPr="000938BC">
        <w:rPr>
          <w:rFonts w:asciiTheme="minorHAnsi" w:hAnsiTheme="minorHAnsi" w:cstheme="minorHAnsi"/>
          <w:b/>
        </w:rPr>
        <w:t>ecifikace požadovaného zařízen</w:t>
      </w:r>
      <w:r w:rsidR="00BC0AB9" w:rsidRPr="000938BC">
        <w:rPr>
          <w:rFonts w:asciiTheme="minorHAnsi" w:hAnsiTheme="minorHAnsi" w:cstheme="minorHAnsi"/>
          <w:b/>
        </w:rPr>
        <w:t xml:space="preserve"> SEM s EDS a EBSD</w:t>
      </w:r>
      <w:r w:rsidR="00FE3AC8" w:rsidRPr="000938BC">
        <w:rPr>
          <w:rFonts w:asciiTheme="minorHAnsi" w:hAnsiTheme="minorHAnsi" w:cstheme="minorHAnsi"/>
          <w:b/>
        </w:rPr>
        <w:t>:</w:t>
      </w:r>
    </w:p>
    <w:p w14:paraId="7D16494A" w14:textId="77777777" w:rsidR="005D7480" w:rsidRPr="000938BC" w:rsidRDefault="005D7480" w:rsidP="002A461A">
      <w:pPr>
        <w:spacing w:line="240" w:lineRule="auto"/>
        <w:rPr>
          <w:rFonts w:asciiTheme="minorHAnsi" w:hAnsiTheme="minorHAnsi" w:cstheme="minorHAnsi"/>
        </w:rPr>
      </w:pPr>
    </w:p>
    <w:p w14:paraId="5B068861" w14:textId="77777777" w:rsidR="00DF1CDC" w:rsidRPr="000938BC" w:rsidRDefault="00DF1CDC" w:rsidP="000938BC">
      <w:pPr>
        <w:spacing w:line="240" w:lineRule="auto"/>
        <w:rPr>
          <w:rFonts w:asciiTheme="minorHAnsi" w:hAnsiTheme="minorHAnsi" w:cstheme="minorHAnsi"/>
        </w:rPr>
      </w:pPr>
    </w:p>
    <w:p w14:paraId="24AACBAE" w14:textId="77777777" w:rsidR="00630D97" w:rsidRPr="00BC0AB9" w:rsidRDefault="00630D97" w:rsidP="009762DC">
      <w:pPr>
        <w:spacing w:line="240" w:lineRule="auto"/>
        <w:ind w:left="360"/>
        <w:rPr>
          <w:rFonts w:asciiTheme="minorHAnsi" w:hAnsiTheme="minorHAnsi" w:cstheme="minorHAnsi"/>
          <w:b/>
        </w:rPr>
      </w:pPr>
      <w:r w:rsidRPr="00BC0AB9">
        <w:rPr>
          <w:rFonts w:asciiTheme="minorHAnsi" w:hAnsiTheme="minorHAnsi" w:cstheme="minorHAnsi"/>
          <w:b/>
        </w:rPr>
        <w:t>Technická specifikace SEM</w:t>
      </w:r>
    </w:p>
    <w:p w14:paraId="47548EE7" w14:textId="77777777" w:rsidR="00DF1CDC" w:rsidRPr="002A461A" w:rsidRDefault="00DF1CDC" w:rsidP="009762DC">
      <w:pPr>
        <w:spacing w:line="240" w:lineRule="auto"/>
        <w:ind w:left="360"/>
        <w:rPr>
          <w:rFonts w:asciiTheme="minorHAnsi" w:hAnsiTheme="minorHAnsi" w:cstheme="minorHAnsi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422"/>
        <w:gridCol w:w="6186"/>
        <w:gridCol w:w="1918"/>
      </w:tblGrid>
      <w:tr w:rsidR="00777E74" w:rsidRPr="00E82A73" w14:paraId="4F8B1E6F" w14:textId="77777777" w:rsidTr="00F120D9">
        <w:trPr>
          <w:trHeight w:val="70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1FB12B5" w14:textId="77777777" w:rsidR="00777E74" w:rsidRPr="00E82A73" w:rsidRDefault="00777E74" w:rsidP="009D205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09549C" w14:textId="77777777" w:rsidR="00777E74" w:rsidRPr="00E82A73" w:rsidRDefault="00777E74" w:rsidP="002A46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Povinné požadavky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FFE0FA" w14:textId="77777777" w:rsidR="00777E74" w:rsidRDefault="00777E74" w:rsidP="002A46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plnění technické specifikace dodavatelem</w:t>
            </w:r>
          </w:p>
          <w:p w14:paraId="1B66BDC6" w14:textId="77777777" w:rsidR="00426753" w:rsidRPr="00E82A73" w:rsidRDefault="00426753" w:rsidP="002A46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</w:t>
            </w:r>
            <w:r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777E74" w:rsidRPr="00E82A73" w14:paraId="5F5FF3C7" w14:textId="77777777" w:rsidTr="00F120D9">
        <w:trPr>
          <w:trHeight w:val="27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696F" w14:textId="77777777" w:rsidR="00777E74" w:rsidRPr="00E82A73" w:rsidRDefault="00777E74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8A62" w14:textId="77777777" w:rsidR="00777E74" w:rsidRPr="00E82A73" w:rsidRDefault="00461F8D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1C13F" w14:textId="77777777" w:rsidR="00777E74" w:rsidRDefault="00777E74" w:rsidP="009D205A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Skenovací elektronový mikroskop s velkou komorou kompatibilní s EDS analyzátorem, EBSD detektorem a nanoindentorem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A17" w14:textId="77777777" w:rsidR="00777E74" w:rsidRPr="00E82A73" w:rsidRDefault="00F16F6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2CE98115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07CF" w14:textId="77777777" w:rsidR="00777E74" w:rsidRPr="00E82A73" w:rsidRDefault="00777E74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8D54" w14:textId="77777777" w:rsidR="00777E74" w:rsidRPr="00E82A73" w:rsidRDefault="00461F8D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AB68B" w14:textId="77777777" w:rsidR="00777E74" w:rsidRDefault="00777E74" w:rsidP="009D205A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Scintilační detektor sekundárních elektronů (SE) typu Everhart-Thornley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2F9" w14:textId="77777777" w:rsidR="00777E74" w:rsidRPr="00E82A73" w:rsidRDefault="002A3135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123A0957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C611" w14:textId="77777777" w:rsidR="00777E74" w:rsidRPr="00E82A73" w:rsidRDefault="00777E74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3FEF" w14:textId="77777777" w:rsidR="00777E74" w:rsidRPr="00E82A73" w:rsidRDefault="00461F8D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91C9" w14:textId="77777777" w:rsidR="00777E74" w:rsidRPr="002A461A" w:rsidRDefault="00777E74" w:rsidP="00A73F38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 xml:space="preserve">Výsuvný širokoúhlý detektor pro zobrazení zpětně rozptýlených elektronů (r-BSE)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9D50" w14:textId="77777777" w:rsidR="00777E74" w:rsidRPr="00E82A73" w:rsidRDefault="002A3135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7846691E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0B12" w14:textId="77777777" w:rsidR="00777E74" w:rsidRPr="00E82A73" w:rsidRDefault="00777E74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1C9" w14:textId="77777777" w:rsidR="00777E74" w:rsidRPr="00E82A73" w:rsidRDefault="00461F8D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9533D" w14:textId="77777777" w:rsidR="00777E74" w:rsidRDefault="00777E74" w:rsidP="009D205A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Infračervená kamera pro pohled do komory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4658" w14:textId="77777777" w:rsidR="00777E74" w:rsidRPr="00E82A73" w:rsidRDefault="002A3135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0C944A63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AB38" w14:textId="77777777" w:rsidR="00777E74" w:rsidRPr="00E82A73" w:rsidRDefault="00777E74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5EFB" w14:textId="77777777" w:rsidR="00777E74" w:rsidRPr="00E82A73" w:rsidRDefault="00461F8D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2A5" w14:textId="77777777" w:rsidR="00777E74" w:rsidRDefault="00777E74" w:rsidP="00C42B11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Urychlovací napětí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minimálně 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rozmezí 0,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- 30 kV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kontinuální změna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727" w14:textId="77777777" w:rsidR="00777E74" w:rsidRPr="00E82A73" w:rsidRDefault="002A3135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2B13E81D" w14:textId="77777777" w:rsidTr="00F120D9">
        <w:trPr>
          <w:trHeight w:val="17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7BED" w14:textId="77777777" w:rsidR="00777E74" w:rsidRPr="00E82A73" w:rsidRDefault="00777E74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0346" w14:textId="77777777" w:rsidR="00777E74" w:rsidRPr="00E82A73" w:rsidRDefault="00461F8D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558C" w14:textId="77777777" w:rsidR="00777E74" w:rsidRDefault="00777E74" w:rsidP="002111A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Compucentrický motorizovaně ovládaný stolek na vzorky (sample stage) v </w:t>
            </w:r>
          </w:p>
          <w:p w14:paraId="79A5896A" w14:textId="77777777" w:rsidR="00777E74" w:rsidRDefault="00777E74" w:rsidP="00A10B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5-ti osách (X,Y,Z,R,T)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221" w14:textId="77777777" w:rsidR="00777E74" w:rsidRPr="00E82A73" w:rsidRDefault="002A3135" w:rsidP="00D306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7B505F83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5822" w14:textId="77777777" w:rsidR="00777E74" w:rsidRPr="00E82A73" w:rsidRDefault="00777E74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E1A7" w14:textId="77777777" w:rsidR="00777E74" w:rsidRPr="00E82A73" w:rsidRDefault="00461F8D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67A36" w14:textId="77777777" w:rsidR="00777E74" w:rsidRDefault="00777E74" w:rsidP="00A73F3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Pojezdy v rozsahu os minimálně X=1</w:t>
            </w:r>
            <w:r w:rsidR="00A73F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0mm, Y=1</w:t>
            </w:r>
            <w:r w:rsidR="00A73F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0mm, Z=</w:t>
            </w:r>
            <w:r w:rsidR="00A73F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0mm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995F" w14:textId="77777777" w:rsidR="00777E74" w:rsidRDefault="00D306D8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  <w:p w14:paraId="1C5B72D0" w14:textId="09C994A4" w:rsidR="00142560" w:rsidRPr="00E82A73" w:rsidRDefault="00142560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X=130mm, Y=130mm, Z=100mm</w:t>
            </w:r>
          </w:p>
        </w:tc>
      </w:tr>
      <w:tr w:rsidR="00777E74" w:rsidRPr="00E82A73" w14:paraId="098DF39B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2F82" w14:textId="77777777" w:rsidR="00777E74" w:rsidRPr="00E82A73" w:rsidRDefault="00777E74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5F13" w14:textId="77777777" w:rsidR="00777E74" w:rsidRPr="00E82A73" w:rsidRDefault="00461F8D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0355F" w14:textId="77777777" w:rsidR="00777E74" w:rsidRDefault="00A73F38" w:rsidP="00C42B11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Integrovaná navigační kamera v komoře mikroskopu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C57" w14:textId="77777777" w:rsidR="00777E74" w:rsidRPr="00E82A73" w:rsidRDefault="00D306D8" w:rsidP="00C42B1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6860609C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32C3" w14:textId="77777777" w:rsidR="00777E74" w:rsidRPr="00E82A73" w:rsidRDefault="00777E74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382E" w14:textId="77777777" w:rsidR="00777E74" w:rsidRPr="00E82A73" w:rsidRDefault="00461F8D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38A5" w14:textId="77777777" w:rsidR="00777E74" w:rsidRDefault="00777E74" w:rsidP="002C074B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C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Rozlišení min. 3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,0 nm v režimu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High vacuum (SE)</w:t>
            </w:r>
          </w:p>
          <w:p w14:paraId="48ECD60D" w14:textId="77777777" w:rsidR="00777E74" w:rsidRDefault="00777E74" w:rsidP="002C074B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Rozlišení min. 3,5 nm v režimu Low Vacuum (BSE)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8ED5" w14:textId="77777777" w:rsidR="00777E74" w:rsidRPr="00E82A73" w:rsidRDefault="00D306D8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5660591C" w14:textId="77777777" w:rsidTr="00F120D9">
        <w:trPr>
          <w:trHeight w:val="27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3BB4" w14:textId="77777777" w:rsidR="00777E74" w:rsidRPr="00E82A73" w:rsidRDefault="00777E74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BF9" w14:textId="77777777" w:rsidR="00777E74" w:rsidRPr="00E82A73" w:rsidRDefault="00461F8D" w:rsidP="00461F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1524B" w14:textId="77777777" w:rsidR="00777E74" w:rsidRPr="00E82A73" w:rsidRDefault="00A10B9E" w:rsidP="00A10B9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</w:t>
            </w:r>
            <w:r w:rsidR="00777E74" w:rsidRPr="004D7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ozsah </w:t>
            </w:r>
            <w:r w:rsidR="00777E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optického </w:t>
            </w:r>
            <w:r w:rsidR="00777E74" w:rsidRPr="004D7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zvětšení 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  <w:r w:rsidR="00777E74" w:rsidRPr="004D7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až </w:t>
            </w:r>
            <w:r w:rsidR="00777E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</w:t>
            </w:r>
            <w:r w:rsidR="00777E74" w:rsidRPr="004D7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00 000x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956" w14:textId="77777777" w:rsidR="00777E74" w:rsidRDefault="00D306D8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  <w:p w14:paraId="3BEEE1FC" w14:textId="58B8249C" w:rsidR="00142560" w:rsidRPr="00E82A73" w:rsidRDefault="00142560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Pr="004D7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až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</w:t>
            </w:r>
            <w:r w:rsidRPr="004D7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4D7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000x</w:t>
            </w:r>
          </w:p>
        </w:tc>
      </w:tr>
      <w:tr w:rsidR="00777E74" w:rsidRPr="00E82A73" w14:paraId="5A6FE53F" w14:textId="77777777" w:rsidTr="00F120D9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7BD6" w14:textId="77777777" w:rsidR="00777E74" w:rsidRDefault="00777E74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9376" w14:textId="77777777" w:rsidR="00777E74" w:rsidRDefault="00A10B9E" w:rsidP="00A10B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0416" w14:textId="77777777" w:rsidR="00777E74" w:rsidRDefault="00777E74" w:rsidP="002C074B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akuum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 komoře v režimu High Vacuum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>&lt; 9x10</w:t>
            </w:r>
            <w:r w:rsidRPr="002A46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-3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 xml:space="preserve"> Pa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A140" w14:textId="77777777" w:rsidR="00777E74" w:rsidRPr="00E82A73" w:rsidRDefault="00D306D8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15536D57" w14:textId="77777777" w:rsidTr="00F120D9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894A" w14:textId="77777777" w:rsidR="00777E74" w:rsidRDefault="00777E74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8D6" w14:textId="77777777" w:rsidR="00777E74" w:rsidRPr="00E82A73" w:rsidRDefault="00A10B9E" w:rsidP="00A10B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E21F" w14:textId="77777777" w:rsidR="00777E74" w:rsidRPr="00D44F9F" w:rsidRDefault="00777E74" w:rsidP="002C074B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akuum v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komoře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 režimu Low Vacuum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 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AEE" w14:textId="77777777" w:rsidR="00777E74" w:rsidRPr="00E82A73" w:rsidRDefault="00D306D8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708BA06A" w14:textId="77777777" w:rsidTr="00F120D9">
        <w:trPr>
          <w:trHeight w:val="266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966644" w14:textId="77777777" w:rsidR="00777E74" w:rsidRDefault="00777E74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E195D" w14:textId="77777777" w:rsidR="00777E74" w:rsidRDefault="00A10B9E" w:rsidP="00A10B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FFCC0" w14:textId="77777777" w:rsidR="00777E74" w:rsidRPr="00D44F9F" w:rsidRDefault="00777E74" w:rsidP="002C074B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C1253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Komora pro min.</w:t>
            </w:r>
            <w:r w:rsidRPr="00BC12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BC1253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0 mm</w:t>
            </w:r>
            <w:r w:rsidRPr="00BC12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1253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vysoký</w:t>
            </w:r>
            <w:r w:rsidRPr="00BC12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1253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vzorek, </w:t>
            </w:r>
            <w:r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průměr vzorku </w:t>
            </w:r>
            <w:r w:rsidR="00A10B9E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do 150 mm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165D3" w14:textId="77777777" w:rsidR="00777E74" w:rsidRDefault="00D306D8" w:rsidP="002C074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  <w:p w14:paraId="5F0CFA0F" w14:textId="77777777" w:rsidR="00142560" w:rsidRDefault="00142560" w:rsidP="001425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(106mm s rotací, 147mm bez rotace)</w:t>
            </w:r>
          </w:p>
          <w:p w14:paraId="300FFDE2" w14:textId="369A989F" w:rsidR="004348FE" w:rsidRPr="00E82A73" w:rsidRDefault="004348FE" w:rsidP="001425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průměr vzorku 170 mm</w:t>
            </w:r>
          </w:p>
        </w:tc>
      </w:tr>
    </w:tbl>
    <w:p w14:paraId="3795F021" w14:textId="77777777" w:rsidR="00630D97" w:rsidRDefault="00630D97" w:rsidP="009762DC">
      <w:pPr>
        <w:spacing w:line="240" w:lineRule="auto"/>
        <w:ind w:left="360"/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8"/>
        <w:gridCol w:w="416"/>
        <w:gridCol w:w="9"/>
        <w:gridCol w:w="6379"/>
        <w:gridCol w:w="1768"/>
      </w:tblGrid>
      <w:tr w:rsidR="00777E74" w:rsidRPr="00E82A73" w14:paraId="6E8105F0" w14:textId="77777777" w:rsidTr="002111AD">
        <w:trPr>
          <w:trHeight w:val="938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E29F1F1" w14:textId="77777777" w:rsidR="00777E74" w:rsidRPr="00E82A73" w:rsidRDefault="00630D97" w:rsidP="004E60C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br w:type="page"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3356C1" w14:textId="77777777" w:rsidR="00777E74" w:rsidRPr="00E82A73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Povinné požadavky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430C3" w14:textId="77777777" w:rsidR="00777E74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plnění technické specifikace dodavatelem</w:t>
            </w:r>
          </w:p>
          <w:p w14:paraId="361F6C0D" w14:textId="77777777" w:rsidR="00426753" w:rsidRPr="005D7480" w:rsidRDefault="00426753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</w:t>
            </w:r>
            <w:r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777E74" w:rsidRPr="00E82A73" w14:paraId="6C518C89" w14:textId="77777777" w:rsidTr="002111AD">
        <w:trPr>
          <w:trHeight w:val="396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66CDB282" w14:textId="77777777" w:rsidR="00777E74" w:rsidRPr="004854C8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A461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Software, zobrazení mikroskopu, hardware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61BD6" w14:textId="77777777" w:rsidR="00777E74" w:rsidRPr="00E82A73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6CF30" w14:textId="77777777" w:rsidR="00777E74" w:rsidRPr="00E82A73" w:rsidRDefault="00777E74" w:rsidP="004E60CD">
            <w:pPr>
              <w:spacing w:after="120" w:line="240" w:lineRule="auto"/>
            </w:pP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Systém zpracování obrazu - živé nebo statické míchání signálů v  ve stupnici šedi</w:t>
            </w:r>
            <w:r w:rsidR="00D707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nebo kombinace černé a bílé barvy.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73463" w14:textId="77777777" w:rsidR="00777E74" w:rsidRPr="00E82A73" w:rsidRDefault="00D306D8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65FE08FE" w14:textId="77777777" w:rsidTr="002111AD">
        <w:trPr>
          <w:trHeight w:val="623"/>
        </w:trPr>
        <w:tc>
          <w:tcPr>
            <w:tcW w:w="18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89440E" w14:textId="77777777" w:rsidR="00777E74" w:rsidRPr="00E82A73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4904D" w14:textId="77777777" w:rsidR="00777E74" w:rsidRPr="00E82A73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8AD3" w14:textId="77777777" w:rsidR="00777E74" w:rsidRPr="00E82A73" w:rsidRDefault="00777E74" w:rsidP="004E60CD">
            <w:pPr>
              <w:spacing w:after="120" w:line="240" w:lineRule="auto"/>
            </w:pP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Systém zpracování obrazu - plné zobrazení obrázku, duální displej, duální širokoúhlý displej, , digitální zoom, obrázek ve formátu: BMP, TIFF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JPEG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GIF, JPEG2000, PNG, PGM, PPM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obrázek on-screen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AAF9" w14:textId="77777777" w:rsidR="00777E74" w:rsidRPr="00E82A73" w:rsidRDefault="00D306D8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08DF4F46" w14:textId="77777777" w:rsidTr="002111AD">
        <w:trPr>
          <w:trHeight w:val="446"/>
        </w:trPr>
        <w:tc>
          <w:tcPr>
            <w:tcW w:w="18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ABDFE6" w14:textId="77777777" w:rsidR="00777E74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95C6A" w14:textId="77777777" w:rsidR="00777E74" w:rsidRPr="00E82A73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A86" w14:textId="77777777" w:rsidR="00777E74" w:rsidRPr="002A461A" w:rsidRDefault="005E2BE0" w:rsidP="004E60C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44F9F">
              <w:rPr>
                <w:rFonts w:ascii="Calibri" w:eastAsia="Times New Roman" w:hAnsi="Calibri" w:cs="Calibri"/>
                <w:sz w:val="18"/>
                <w:szCs w:val="18"/>
              </w:rPr>
              <w:t xml:space="preserve">PC vybavení - 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 xml:space="preserve">RAM 8GB, HDD 500GB,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grafická karta, 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>Certif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ikát 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2 x </w:t>
            </w:r>
            <w:r w:rsidRPr="00D44F9F">
              <w:rPr>
                <w:rFonts w:ascii="Calibri" w:eastAsia="Times New Roman" w:hAnsi="Calibri" w:cs="Calibri"/>
                <w:sz w:val="18"/>
                <w:szCs w:val="18"/>
              </w:rPr>
              <w:t>24-palcov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ý</w:t>
            </w:r>
            <w:r w:rsidRPr="00D44F9F">
              <w:rPr>
                <w:rFonts w:ascii="Calibri" w:eastAsia="Times New Roman" w:hAnsi="Calibri" w:cs="Calibri"/>
                <w:sz w:val="18"/>
                <w:szCs w:val="18"/>
              </w:rPr>
              <w:t>LCD monitor, PC se síťovou kartou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37A" w14:textId="77777777" w:rsidR="00777E74" w:rsidRPr="00E82A73" w:rsidRDefault="00D306D8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36058634" w14:textId="77777777" w:rsidTr="002111AD">
        <w:trPr>
          <w:trHeight w:val="282"/>
        </w:trPr>
        <w:tc>
          <w:tcPr>
            <w:tcW w:w="18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F0DCA2" w14:textId="77777777" w:rsidR="00777E74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D3980" w14:textId="77777777" w:rsidR="00777E74" w:rsidRPr="00E82A73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A6B6" w14:textId="77777777" w:rsidR="00777E74" w:rsidRPr="00E82A73" w:rsidRDefault="00777E74" w:rsidP="004E60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SEM snímek: 1 obrázek, velikost obrazu: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min</w:t>
            </w:r>
            <w:r w:rsidRPr="00D44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6144x 4096 pixelů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C82" w14:textId="77777777" w:rsidR="00777E74" w:rsidRDefault="00D306D8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  <w:p w14:paraId="623F6B55" w14:textId="4EB5E551" w:rsidR="005F757C" w:rsidRPr="00E82A73" w:rsidRDefault="005F757C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16384x16384 pixelů</w:t>
            </w:r>
          </w:p>
        </w:tc>
      </w:tr>
      <w:tr w:rsidR="00777E74" w:rsidRPr="00E82A73" w14:paraId="55CE8FC4" w14:textId="77777777" w:rsidTr="002111AD">
        <w:trPr>
          <w:trHeight w:val="282"/>
        </w:trPr>
        <w:tc>
          <w:tcPr>
            <w:tcW w:w="1850" w:type="dxa"/>
            <w:vMerge/>
            <w:tcBorders>
              <w:left w:val="single" w:sz="4" w:space="0" w:color="auto"/>
              <w:right w:val="nil"/>
            </w:tcBorders>
          </w:tcPr>
          <w:p w14:paraId="0CFA4911" w14:textId="77777777" w:rsidR="00777E74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1D249" w14:textId="77777777" w:rsidR="00777E74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34CE" w14:textId="77777777" w:rsidR="00777E74" w:rsidDel="00913A50" w:rsidRDefault="00777E74" w:rsidP="004E60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Hloubka obrazu min. 16 bitů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8718" w14:textId="77777777" w:rsidR="00777E74" w:rsidRPr="00E82A73" w:rsidRDefault="00D306D8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3ACD3B2D" w14:textId="77777777" w:rsidTr="002111AD">
        <w:trPr>
          <w:trHeight w:val="282"/>
        </w:trPr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06E2958" w14:textId="77777777" w:rsidR="00777E74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4F853" w14:textId="77777777" w:rsidR="00777E74" w:rsidDel="00913A50" w:rsidRDefault="00777E74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5C9A" w14:textId="77777777" w:rsidR="00777E74" w:rsidRPr="002A461A" w:rsidDel="00913A50" w:rsidRDefault="00777E74" w:rsidP="004E60CD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Možnost vzdáleného ovládání SEM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2841" w14:textId="77777777" w:rsidR="00777E74" w:rsidRPr="00E82A73" w:rsidRDefault="00D306D8" w:rsidP="004E60C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6FA0CE25" w14:textId="77777777" w:rsidTr="002111AD">
        <w:trPr>
          <w:trHeight w:val="938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E640709" w14:textId="77777777" w:rsidR="00777E74" w:rsidRPr="00E82A73" w:rsidRDefault="00777E74" w:rsidP="00C13E3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6ECE5F" w14:textId="77777777" w:rsidR="00777E74" w:rsidRPr="00E82A73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Povinné požadavky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EFCDC8" w14:textId="77777777" w:rsidR="00777E74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plnění technické specifikace dodavatelem</w:t>
            </w:r>
          </w:p>
          <w:p w14:paraId="49B63F22" w14:textId="77777777" w:rsidR="00426753" w:rsidRPr="00E82A73" w:rsidRDefault="00426753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</w:t>
            </w:r>
            <w:r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777E74" w:rsidRPr="00E82A73" w14:paraId="1492BE3E" w14:textId="77777777" w:rsidTr="002111AD">
        <w:trPr>
          <w:trHeight w:val="403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071156A2" w14:textId="77777777" w:rsidR="00777E74" w:rsidRPr="004854C8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Instalace a záruční podmínky SEM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53BA0" w14:textId="77777777" w:rsidR="00777E74" w:rsidRPr="00E82A73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D3A7E" w14:textId="77777777" w:rsidR="00777E74" w:rsidRPr="002A461A" w:rsidRDefault="00777E74" w:rsidP="00C13E3C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>Vybalení a montáž na místě včetně připojení k přívodu el. energie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E04" w14:textId="77777777" w:rsidR="00777E74" w:rsidRPr="00E82A73" w:rsidRDefault="00D306D8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04944E6C" w14:textId="77777777" w:rsidTr="002111AD">
        <w:trPr>
          <w:trHeight w:val="403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98FB62" w14:textId="77777777" w:rsidR="00777E74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0B48B" w14:textId="77777777" w:rsidR="00777E74" w:rsidRPr="00E82A73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1F72" w14:textId="77777777" w:rsidR="00461F8D" w:rsidRPr="00461F8D" w:rsidRDefault="00461F8D" w:rsidP="00461F8D">
            <w:pPr>
              <w:pStyle w:val="Textkomente"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61F8D">
              <w:rPr>
                <w:rFonts w:asciiTheme="minorHAnsi" w:hAnsiTheme="minorHAnsi" w:cstheme="minorHAnsi"/>
                <w:sz w:val="18"/>
                <w:szCs w:val="18"/>
              </w:rPr>
              <w:t>Zaškolení obsluhy pro zvládnutí obsluhy mikroskopu v</w:t>
            </w:r>
            <w:r w:rsidR="00A10B9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461F8D">
              <w:rPr>
                <w:rFonts w:asciiTheme="minorHAnsi" w:hAnsiTheme="minorHAnsi" w:cstheme="minorHAnsi"/>
                <w:sz w:val="18"/>
                <w:szCs w:val="18"/>
              </w:rPr>
              <w:t>rozsahu</w:t>
            </w:r>
            <w:r w:rsidR="00A10B9E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Pr="00461F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0B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1F8D">
              <w:rPr>
                <w:rFonts w:asciiTheme="minorHAnsi" w:hAnsiTheme="minorHAnsi" w:cstheme="minorHAnsi"/>
                <w:sz w:val="18"/>
                <w:szCs w:val="18"/>
              </w:rPr>
              <w:t>2 dnů</w:t>
            </w:r>
          </w:p>
          <w:p w14:paraId="01024870" w14:textId="77777777" w:rsidR="00777E74" w:rsidRPr="002A461A" w:rsidRDefault="00461F8D" w:rsidP="00461F8D">
            <w:pPr>
              <w:pStyle w:val="Textkomente"/>
              <w:spacing w:after="120"/>
            </w:pPr>
            <w:r w:rsidRPr="00461F8D">
              <w:rPr>
                <w:rFonts w:asciiTheme="minorHAnsi" w:hAnsiTheme="minorHAnsi" w:cstheme="minorHAnsi"/>
                <w:sz w:val="18"/>
                <w:szCs w:val="18"/>
              </w:rPr>
              <w:t xml:space="preserve">Rozšířené školení (po 3měsících užívání) – v rozsahu </w:t>
            </w:r>
            <w:r w:rsidR="00A10B9E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461F8D">
              <w:rPr>
                <w:rFonts w:asciiTheme="minorHAnsi" w:hAnsiTheme="minorHAnsi" w:cstheme="minorHAnsi"/>
                <w:sz w:val="18"/>
                <w:szCs w:val="18"/>
              </w:rPr>
              <w:t>2 dnů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9314" w14:textId="77777777" w:rsidR="00777E74" w:rsidRPr="00E82A73" w:rsidRDefault="00D306D8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6175C496" w14:textId="77777777" w:rsidTr="002111AD">
        <w:trPr>
          <w:trHeight w:val="403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891303E" w14:textId="77777777" w:rsidR="00777E74" w:rsidRPr="00E82A73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49E68" w14:textId="77777777" w:rsidR="00777E74" w:rsidRPr="00E82A73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421" w14:textId="77777777" w:rsidR="00777E74" w:rsidRPr="002A461A" w:rsidRDefault="00777E74" w:rsidP="00C13E3C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Manuál v českém nebo anglickém jazyce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03F" w14:textId="77777777" w:rsidR="00777E74" w:rsidRPr="00E82A73" w:rsidRDefault="00D306D8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777E74" w:rsidRPr="00E82A73" w14:paraId="00FFD3FA" w14:textId="77777777" w:rsidTr="002111AD">
        <w:trPr>
          <w:trHeight w:val="403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039511" w14:textId="77777777" w:rsidR="00777E74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A090" w14:textId="77777777" w:rsidR="00777E74" w:rsidRPr="00E82A73" w:rsidRDefault="00777E74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AA05" w14:textId="77777777" w:rsidR="00777E74" w:rsidRPr="00014E3A" w:rsidRDefault="00777E74" w:rsidP="00A73F3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Záruka na mikroskop a detektory </w:t>
            </w:r>
            <w:r w:rsidR="00A73F38">
              <w:rPr>
                <w:rFonts w:asciiTheme="minorHAnsi" w:hAnsiTheme="minorHAnsi" w:cstheme="minorHAnsi"/>
                <w:sz w:val="18"/>
                <w:szCs w:val="18"/>
              </w:rPr>
              <w:t xml:space="preserve">24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měsíců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8FBC" w14:textId="77777777" w:rsidR="00777E74" w:rsidRPr="00E82A73" w:rsidRDefault="00D306D8" w:rsidP="00C13E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</w:tbl>
    <w:p w14:paraId="7173C588" w14:textId="77777777" w:rsidR="00630D97" w:rsidRDefault="00630D97">
      <w:pPr>
        <w:spacing w:line="240" w:lineRule="auto"/>
      </w:pPr>
    </w:p>
    <w:p w14:paraId="016DD697" w14:textId="77777777" w:rsidR="00767329" w:rsidRPr="002A461A" w:rsidRDefault="00630D97" w:rsidP="009762DC">
      <w:pPr>
        <w:spacing w:line="240" w:lineRule="auto"/>
        <w:ind w:left="360"/>
        <w:rPr>
          <w:rFonts w:asciiTheme="minorHAnsi" w:hAnsiTheme="minorHAnsi" w:cstheme="minorHAnsi"/>
          <w:b/>
        </w:rPr>
      </w:pPr>
      <w:r w:rsidRPr="002A461A">
        <w:rPr>
          <w:rFonts w:asciiTheme="minorHAnsi" w:hAnsiTheme="minorHAnsi" w:cstheme="minorHAnsi"/>
          <w:b/>
        </w:rPr>
        <w:t xml:space="preserve">Technická specifikace EDS a </w:t>
      </w:r>
      <w:r w:rsidR="00A10B9E" w:rsidRPr="002A461A">
        <w:rPr>
          <w:rFonts w:asciiTheme="minorHAnsi" w:hAnsiTheme="minorHAnsi" w:cstheme="minorHAnsi"/>
          <w:b/>
        </w:rPr>
        <w:t>E</w:t>
      </w:r>
      <w:r w:rsidR="00A10B9E">
        <w:rPr>
          <w:rFonts w:asciiTheme="minorHAnsi" w:hAnsiTheme="minorHAnsi" w:cstheme="minorHAnsi"/>
          <w:b/>
        </w:rPr>
        <w:t>B</w:t>
      </w:r>
      <w:r w:rsidR="00A10B9E" w:rsidRPr="002A461A">
        <w:rPr>
          <w:rFonts w:asciiTheme="minorHAnsi" w:hAnsiTheme="minorHAnsi" w:cstheme="minorHAnsi"/>
          <w:b/>
        </w:rPr>
        <w:t>S</w:t>
      </w:r>
      <w:r w:rsidR="00A10B9E">
        <w:rPr>
          <w:rFonts w:asciiTheme="minorHAnsi" w:hAnsiTheme="minorHAnsi" w:cstheme="minorHAnsi"/>
          <w:b/>
        </w:rPr>
        <w:t>D</w:t>
      </w:r>
      <w:r w:rsidR="00A10B9E" w:rsidRPr="002A461A">
        <w:rPr>
          <w:rFonts w:asciiTheme="minorHAnsi" w:hAnsiTheme="minorHAnsi" w:cstheme="minorHAnsi"/>
          <w:b/>
        </w:rPr>
        <w:t xml:space="preserve"> </w:t>
      </w:r>
      <w:r w:rsidRPr="002A461A">
        <w:rPr>
          <w:rFonts w:asciiTheme="minorHAnsi" w:hAnsiTheme="minorHAnsi" w:cstheme="minorHAnsi"/>
          <w:b/>
        </w:rPr>
        <w:t>detektorů</w:t>
      </w:r>
    </w:p>
    <w:p w14:paraId="6DCE1853" w14:textId="77777777" w:rsidR="00630D97" w:rsidRDefault="00630D97" w:rsidP="009762DC">
      <w:pPr>
        <w:spacing w:line="240" w:lineRule="auto"/>
        <w:ind w:left="360"/>
        <w:rPr>
          <w:b/>
        </w:rPr>
      </w:pPr>
    </w:p>
    <w:tbl>
      <w:tblPr>
        <w:tblW w:w="104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702"/>
        <w:gridCol w:w="1758"/>
      </w:tblGrid>
      <w:tr w:rsidR="00630D97" w:rsidRPr="00E82A73" w14:paraId="04B079EE" w14:textId="77777777" w:rsidTr="00F120D9">
        <w:trPr>
          <w:trHeight w:val="492"/>
        </w:trPr>
        <w:tc>
          <w:tcPr>
            <w:tcW w:w="8662" w:type="dxa"/>
            <w:gridSpan w:val="2"/>
            <w:shd w:val="clear" w:color="000000" w:fill="C0C0C0"/>
            <w:vAlign w:val="bottom"/>
            <w:hideMark/>
          </w:tcPr>
          <w:p w14:paraId="16880E35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►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EDS detektor</w:t>
            </w:r>
          </w:p>
        </w:tc>
        <w:tc>
          <w:tcPr>
            <w:tcW w:w="1758" w:type="dxa"/>
            <w:shd w:val="clear" w:color="000000" w:fill="BFBFBF"/>
            <w:vAlign w:val="bottom"/>
            <w:hideMark/>
          </w:tcPr>
          <w:p w14:paraId="7C95D567" w14:textId="77777777" w:rsidR="00630D97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splnění technické specifikace dodavatelem</w:t>
            </w:r>
          </w:p>
          <w:p w14:paraId="1B28BB91" w14:textId="77777777" w:rsidR="00426753" w:rsidRPr="00E82A73" w:rsidRDefault="00426753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</w:t>
            </w:r>
            <w:r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630D97" w:rsidRPr="00E82A73" w14:paraId="3B6E25B2" w14:textId="77777777" w:rsidTr="00F120D9">
        <w:trPr>
          <w:trHeight w:val="492"/>
        </w:trPr>
        <w:tc>
          <w:tcPr>
            <w:tcW w:w="960" w:type="dxa"/>
            <w:shd w:val="clear" w:color="auto" w:fill="auto"/>
            <w:vAlign w:val="center"/>
            <w:hideMark/>
          </w:tcPr>
          <w:p w14:paraId="0142412F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65CB5182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EDS detektor musí být instalován na rastrovací elektronový mikroskop zadavatele bez omezení funkcí mikroskopu a všech instalovaných detektorů.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402D33A" w14:textId="68BA1D96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4C96ABD9" w14:textId="77777777" w:rsidTr="00F120D9">
        <w:trPr>
          <w:trHeight w:val="578"/>
        </w:trPr>
        <w:tc>
          <w:tcPr>
            <w:tcW w:w="960" w:type="dxa"/>
            <w:shd w:val="clear" w:color="auto" w:fill="auto"/>
            <w:vAlign w:val="center"/>
            <w:hideMark/>
          </w:tcPr>
          <w:p w14:paraId="0BA8FE66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6D3455A2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Detektor typu SDD, bez nutnosti chlazení kapalným dusíkem s garantovanou funkčností v celém rozsahu pracovních podmínek.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BC62C1A" w14:textId="470DFFF3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5CF04648" w14:textId="77777777" w:rsidTr="00F120D9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B4B8BD5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2C4048B7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Detektor vybaven motorickým vysunováním a zasunováním do pracovní pozice.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9326242" w14:textId="7F20DBCC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1F7C3AFC" w14:textId="77777777" w:rsidTr="00F120D9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8C51CDD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0CF1028F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Velikost aktivní plochy snímacího čipu detektoru minimálně 80 mm</w:t>
            </w:r>
            <w:r w:rsidRPr="00E82A73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cs-CZ"/>
              </w:rPr>
              <w:t>2</w:t>
            </w: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4FBEB3D" w14:textId="2A9D2F1A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ANO, 80 mm</w:t>
            </w:r>
            <w:r w:rsidRPr="00B70F50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</w:tr>
      <w:tr w:rsidR="00630D97" w:rsidRPr="00E82A73" w14:paraId="3D0C2A0C" w14:textId="77777777" w:rsidTr="00F120D9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BEF9562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3142C784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Schopnost detekce, kvalitativní a kvantitativní analýzy prvků v rozsahu od Be po Pu.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9ECD09E" w14:textId="6B24B403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125FFC1F" w14:textId="77777777" w:rsidTr="00F120D9">
        <w:trPr>
          <w:trHeight w:val="720"/>
        </w:trPr>
        <w:tc>
          <w:tcPr>
            <w:tcW w:w="960" w:type="dxa"/>
            <w:shd w:val="clear" w:color="auto" w:fill="auto"/>
            <w:vAlign w:val="center"/>
            <w:hideMark/>
          </w:tcPr>
          <w:p w14:paraId="16B5D060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5807A753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Garantovaná hodnota energiového rozlišení na manganu (Mn K</w:t>
            </w:r>
            <w:r w:rsidRPr="00E82A73">
              <w:rPr>
                <w:rFonts w:ascii="Symbol" w:eastAsia="Times New Roman" w:hAnsi="Symbol" w:cs="Calibri"/>
                <w:sz w:val="18"/>
                <w:szCs w:val="18"/>
                <w:lang w:eastAsia="cs-CZ"/>
              </w:rPr>
              <w:t></w:t>
            </w: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) měřená v souladu s ISO 15632:2012 při alespoň 20 000 cps (výstupní countrate) a ověřitelná měřením po instalaci detektoru je ≤ 124 eV.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8AAFAB0" w14:textId="3BF08CED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ANO, </w:t>
            </w: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≤ 124 eV</w:t>
            </w:r>
          </w:p>
        </w:tc>
      </w:tr>
      <w:tr w:rsidR="00630D97" w:rsidRPr="00E82A73" w14:paraId="608B290A" w14:textId="77777777" w:rsidTr="00F120D9">
        <w:trPr>
          <w:trHeight w:val="698"/>
        </w:trPr>
        <w:tc>
          <w:tcPr>
            <w:tcW w:w="960" w:type="dxa"/>
            <w:shd w:val="clear" w:color="auto" w:fill="auto"/>
            <w:vAlign w:val="center"/>
            <w:hideMark/>
          </w:tcPr>
          <w:p w14:paraId="0757DDFF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50EC43F8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Garantovaná hodnota energiového rozlišení na uhlíku (C Ka) měřená v souladu s ISO 15632:2012 při alespoň 20 000 cps (výstupní countrate) a ověřitelná měřením po instalaci detektoru je ≤ 48 eV.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2F8741D" w14:textId="1F93073D" w:rsidR="00630D97" w:rsidRPr="00E82A73" w:rsidRDefault="00B70F50" w:rsidP="00B70F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ANO, </w:t>
            </w: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≤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48</w:t>
            </w: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eV</w:t>
            </w:r>
          </w:p>
        </w:tc>
      </w:tr>
      <w:tr w:rsidR="00630D97" w:rsidRPr="00E82A73" w14:paraId="53B978D4" w14:textId="77777777" w:rsidTr="00F120D9">
        <w:trPr>
          <w:trHeight w:val="495"/>
        </w:trPr>
        <w:tc>
          <w:tcPr>
            <w:tcW w:w="8662" w:type="dxa"/>
            <w:gridSpan w:val="2"/>
            <w:shd w:val="clear" w:color="000000" w:fill="C0C0C0"/>
            <w:vAlign w:val="bottom"/>
            <w:hideMark/>
          </w:tcPr>
          <w:p w14:paraId="55B260CA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►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EDS software</w:t>
            </w:r>
          </w:p>
        </w:tc>
        <w:tc>
          <w:tcPr>
            <w:tcW w:w="1758" w:type="dxa"/>
            <w:shd w:val="clear" w:color="000000" w:fill="BFBFBF"/>
            <w:vAlign w:val="bottom"/>
            <w:hideMark/>
          </w:tcPr>
          <w:p w14:paraId="3737FE66" w14:textId="77777777" w:rsidR="00630D97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splnění technické specifikace dodavatelem</w:t>
            </w:r>
          </w:p>
          <w:p w14:paraId="7A2760CC" w14:textId="77777777" w:rsidR="00426753" w:rsidRPr="00E82A73" w:rsidRDefault="00426753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</w:t>
            </w:r>
            <w:r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630D97" w:rsidRPr="00E82A73" w14:paraId="50FAA385" w14:textId="77777777" w:rsidTr="00F120D9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D5D4DA3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4F7819EA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Multiuživatelský charakter EDS softwaru.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D870C96" w14:textId="668977D7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59A09AFE" w14:textId="77777777" w:rsidTr="00F120D9">
        <w:trPr>
          <w:trHeight w:val="495"/>
        </w:trPr>
        <w:tc>
          <w:tcPr>
            <w:tcW w:w="960" w:type="dxa"/>
            <w:shd w:val="clear" w:color="auto" w:fill="auto"/>
            <w:vAlign w:val="center"/>
            <w:hideMark/>
          </w:tcPr>
          <w:p w14:paraId="3A5FF4AB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0E3A0550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Možnost simultánního snímání alespoň dvou obrazových signálů z mikroskopu spojená se základní obrazovou analýzou (jas, kontrast, gamma korekce atd.).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2EA8296" w14:textId="42C7544A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32FAEDEB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0166EEB3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64DFF622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Kvalitní bezstandardová analýza, možnost práce se standardy a vytváření vlastních knihoven standardů.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EF25D87" w14:textId="73F964E9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1969BB60" w14:textId="77777777" w:rsidTr="00F120D9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F861D2C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371A01CB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Možnost exportu/importu spektra v otevřeném formátu (EMSA).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BC3964B" w14:textId="41A12A2B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59E9659F" w14:textId="77777777" w:rsidTr="00F120D9">
        <w:trPr>
          <w:trHeight w:val="623"/>
        </w:trPr>
        <w:tc>
          <w:tcPr>
            <w:tcW w:w="960" w:type="dxa"/>
            <w:shd w:val="clear" w:color="auto" w:fill="auto"/>
            <w:vAlign w:val="center"/>
            <w:hideMark/>
          </w:tcPr>
          <w:p w14:paraId="08461CBB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04C8F705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Volba analýz v bodě, v oblasti libovolně zvolené uživatelem, v linii a v definovaném rastru. U všech typů analýz je automaticky uloženo celé spektrum v každém bodě analýzy.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2CB9406D" w14:textId="7047EFC3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357023CC" w14:textId="77777777" w:rsidTr="00F120D9">
        <w:trPr>
          <w:trHeight w:val="698"/>
        </w:trPr>
        <w:tc>
          <w:tcPr>
            <w:tcW w:w="960" w:type="dxa"/>
            <w:shd w:val="clear" w:color="auto" w:fill="auto"/>
            <w:vAlign w:val="center"/>
            <w:hideMark/>
          </w:tcPr>
          <w:p w14:paraId="69EC5E4C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2BEA8C23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Vytváření prvkových distribučních map s možností získání rozložení prvků v libovolné oblasti a podél čáry zvolené v nasnímané oblasti.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00EDE39" w14:textId="12C60B39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4646C259" w14:textId="77777777" w:rsidTr="00F120D9">
        <w:trPr>
          <w:trHeight w:val="349"/>
        </w:trPr>
        <w:tc>
          <w:tcPr>
            <w:tcW w:w="960" w:type="dxa"/>
            <w:shd w:val="clear" w:color="auto" w:fill="auto"/>
            <w:vAlign w:val="center"/>
            <w:hideMark/>
          </w:tcPr>
          <w:p w14:paraId="2A1A22F3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47BB95F3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Minimální rozlišení prvkovéí distribuční mapy EDS alespoň 8000 x 8000 pixelů.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27464AC" w14:textId="52A93517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01CF04C7" w14:textId="77777777" w:rsidTr="00F120D9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14:paraId="239A9C17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7D62DAF8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Možnost vytvářet kvantitativní mapy distribuce prvků.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4775A46" w14:textId="406693B7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1FF5A130" w14:textId="77777777" w:rsidTr="00F120D9">
        <w:trPr>
          <w:trHeight w:val="698"/>
        </w:trPr>
        <w:tc>
          <w:tcPr>
            <w:tcW w:w="960" w:type="dxa"/>
            <w:shd w:val="clear" w:color="auto" w:fill="auto"/>
            <w:vAlign w:val="center"/>
            <w:hideMark/>
          </w:tcPr>
          <w:p w14:paraId="7DF6F57F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0634F39E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Vytváření kvantitativních linescanů s rozlišením alespoň 8000 bodů.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8729CC9" w14:textId="3A3D9D96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71EB314C" w14:textId="77777777" w:rsidTr="00F120D9">
        <w:trPr>
          <w:trHeight w:val="698"/>
        </w:trPr>
        <w:tc>
          <w:tcPr>
            <w:tcW w:w="960" w:type="dxa"/>
            <w:shd w:val="clear" w:color="auto" w:fill="auto"/>
            <w:vAlign w:val="center"/>
            <w:hideMark/>
          </w:tcPr>
          <w:p w14:paraId="2D3583EF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791324F6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Automatická detekce fází, tvorba fázových map na základě chemického složení, modální analýza.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E7DF9F5" w14:textId="68D34F9E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0D88A828" w14:textId="77777777" w:rsidTr="00F120D9">
        <w:trPr>
          <w:trHeight w:val="698"/>
        </w:trPr>
        <w:tc>
          <w:tcPr>
            <w:tcW w:w="960" w:type="dxa"/>
            <w:shd w:val="clear" w:color="auto" w:fill="auto"/>
            <w:vAlign w:val="center"/>
            <w:hideMark/>
          </w:tcPr>
          <w:p w14:paraId="66CF3634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365F6400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Kompenzace driftu vzorku v průběhu analýzy zahrnující reaktivní i prediktivní korekci včetně simultáního užití obou metod korekčních metod.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48C1830" w14:textId="0DA24F39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087CC117" w14:textId="77777777" w:rsidTr="00F120D9">
        <w:trPr>
          <w:trHeight w:val="1212"/>
        </w:trPr>
        <w:tc>
          <w:tcPr>
            <w:tcW w:w="960" w:type="dxa"/>
            <w:shd w:val="clear" w:color="auto" w:fill="auto"/>
            <w:vAlign w:val="center"/>
            <w:hideMark/>
          </w:tcPr>
          <w:p w14:paraId="4EA7BB48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13C88E34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Možnost automatizace procesu snímání větších ploch zahrnující ovládání posuvů stolku elektronového mikroskopu v osách x, y, z, snímkování povrchu vzorků a akvizice distribučních prvkových map, možnost rozčlenění analyzované oblasti na dílčí celky následované akvizicí dat a jejich  následné spojení do jednoho datového výstupu. Možnost plánování automatizovaných analytických úloh za účelem automatické akvizice dat bez nutnosti dalšího zásahu uživatele.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0041A97" w14:textId="26C5E39F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5F238943" w14:textId="77777777" w:rsidTr="00F120D9">
        <w:trPr>
          <w:trHeight w:val="912"/>
        </w:trPr>
        <w:tc>
          <w:tcPr>
            <w:tcW w:w="960" w:type="dxa"/>
            <w:shd w:val="clear" w:color="auto" w:fill="auto"/>
            <w:vAlign w:val="center"/>
            <w:hideMark/>
          </w:tcPr>
          <w:p w14:paraId="3508459B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19631245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Možnost řešení interferencí čar analyzovaných prvků dekonvolučními metodami v průběhu akvizice dat a pile-up korekce pro všechny pile-up peaky až minimálně do třetího řádu pro veškerá kvantitativní data, prvkové distribuční mapy a liniové analýzy. Pile-up korekce zahrnuje přiřazení intenzity pile-up peaků příslušným mateřským spektrálním čarám.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8C09512" w14:textId="10BA2128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210441FB" w14:textId="77777777" w:rsidTr="00F120D9">
        <w:trPr>
          <w:trHeight w:val="698"/>
        </w:trPr>
        <w:tc>
          <w:tcPr>
            <w:tcW w:w="960" w:type="dxa"/>
            <w:shd w:val="clear" w:color="auto" w:fill="auto"/>
            <w:vAlign w:val="center"/>
            <w:hideMark/>
          </w:tcPr>
          <w:p w14:paraId="7155B23E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7FA3EBBB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Minimálně jedna offline licence dodaného EDS softwaru pro dalšího uživatele.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E9764D6" w14:textId="04DCE9E2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539C1626" w14:textId="77777777" w:rsidTr="00F120D9">
        <w:trPr>
          <w:trHeight w:val="698"/>
        </w:trPr>
        <w:tc>
          <w:tcPr>
            <w:tcW w:w="960" w:type="dxa"/>
            <w:shd w:val="clear" w:color="auto" w:fill="auto"/>
            <w:vAlign w:val="center"/>
            <w:hideMark/>
          </w:tcPr>
          <w:p w14:paraId="3B6404AA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0713B65E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Update EDS softwaru po dobu minimálně 5 let zdarma (nevyžaduje li upgrade hardwaru).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A47E800" w14:textId="2A05342E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78C632A9" w14:textId="77777777" w:rsidTr="00F120D9">
        <w:trPr>
          <w:trHeight w:val="492"/>
        </w:trPr>
        <w:tc>
          <w:tcPr>
            <w:tcW w:w="8662" w:type="dxa"/>
            <w:gridSpan w:val="2"/>
            <w:shd w:val="clear" w:color="000000" w:fill="C0C0C0"/>
            <w:vAlign w:val="bottom"/>
            <w:hideMark/>
          </w:tcPr>
          <w:p w14:paraId="260A9AF4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►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EBSD detektor pro měření aktivních vzorků</w:t>
            </w:r>
          </w:p>
        </w:tc>
        <w:tc>
          <w:tcPr>
            <w:tcW w:w="1758" w:type="dxa"/>
            <w:shd w:val="clear" w:color="000000" w:fill="BFBFBF"/>
            <w:vAlign w:val="bottom"/>
            <w:hideMark/>
          </w:tcPr>
          <w:p w14:paraId="7FE752BC" w14:textId="77777777" w:rsidR="00630D97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splnění technické specifikace dodavatelem</w:t>
            </w:r>
          </w:p>
          <w:p w14:paraId="685DFD2A" w14:textId="77777777" w:rsidR="00426753" w:rsidRPr="00E82A73" w:rsidRDefault="00426753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</w:t>
            </w:r>
            <w:r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630D97" w:rsidRPr="00E82A73" w14:paraId="10793FF6" w14:textId="77777777" w:rsidTr="00F120D9">
        <w:trPr>
          <w:trHeight w:val="495"/>
        </w:trPr>
        <w:tc>
          <w:tcPr>
            <w:tcW w:w="960" w:type="dxa"/>
            <w:shd w:val="clear" w:color="auto" w:fill="auto"/>
            <w:vAlign w:val="center"/>
            <w:hideMark/>
          </w:tcPr>
          <w:p w14:paraId="669267A4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199EEE4D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Plná kompatibilita s nabízeným EDS systémem zajišťující simultání EDS-EBSD analýzu vzorků. 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128ACC9" w14:textId="24AFA194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72A7C5F9" w14:textId="77777777" w:rsidTr="00F120D9">
        <w:trPr>
          <w:trHeight w:val="612"/>
        </w:trPr>
        <w:tc>
          <w:tcPr>
            <w:tcW w:w="960" w:type="dxa"/>
            <w:shd w:val="clear" w:color="auto" w:fill="auto"/>
            <w:vAlign w:val="center"/>
            <w:hideMark/>
          </w:tcPr>
          <w:p w14:paraId="169788E7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02" w:type="dxa"/>
            <w:shd w:val="clear" w:color="auto" w:fill="auto"/>
            <w:vAlign w:val="bottom"/>
            <w:hideMark/>
          </w:tcPr>
          <w:p w14:paraId="4E6BBE4D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EBSD detektor musí být instalován na rastrovací elektronový mikroskop zadavatele bez omezení funkcí mikroskopu a všech instalovaných detektorů.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67070E5" w14:textId="00D66E94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11385B6F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2962D7EC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500232F4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EBSD detektor jehož funkčnost je zaručena v celém rozsahu pracovních podmínek</w:t>
            </w:r>
            <w:r w:rsidR="00D707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 je kompatibilní s příslušným SW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F6999A5" w14:textId="3D5CE601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089B17A0" w14:textId="77777777" w:rsidTr="00F120D9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A187AFB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5832B7DD" w14:textId="77777777" w:rsidR="00630D97" w:rsidRPr="00E82A73" w:rsidRDefault="00630D97" w:rsidP="00D70787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Rozlišení kamery detektoru EBSD </w:t>
            </w:r>
            <w:r w:rsidR="00D707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min.</w:t>
            </w:r>
            <w:r w:rsidR="00D70787"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640 x 480 pixelů.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2CC47A78" w14:textId="3813DA7B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ANO, 640 x 480 pixelů</w:t>
            </w:r>
          </w:p>
        </w:tc>
      </w:tr>
      <w:tr w:rsidR="00630D97" w:rsidRPr="00E82A73" w14:paraId="2AABA676" w14:textId="77777777" w:rsidTr="00F120D9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0E61A49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568B2F18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Framerate EBSD detektoru ≥ 1500 fps.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49A9DFC" w14:textId="6C54FF47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ANO, 1500 fps</w:t>
            </w:r>
          </w:p>
        </w:tc>
      </w:tr>
      <w:tr w:rsidR="00630D97" w:rsidRPr="00E82A73" w14:paraId="52E9D1E4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161DD583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1194B180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Součástí dodávky EBSD systému je i alespoň čtyřdiodový FSD detektor (forward scattered detector).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06A23BD" w14:textId="13D22D13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DF4FB0" w:rsidRPr="00E82A73" w14:paraId="062F963B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6F25F590" w14:textId="77777777" w:rsidR="00DF4FB0" w:rsidRPr="00E82A73" w:rsidRDefault="00DF4FB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1E4A7812" w14:textId="77777777" w:rsidR="00DF4FB0" w:rsidRPr="00DF4FB0" w:rsidRDefault="005E2BE0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44F9F">
              <w:rPr>
                <w:rFonts w:ascii="Calibri" w:eastAsia="Times New Roman" w:hAnsi="Calibri" w:cs="Calibri"/>
                <w:sz w:val="18"/>
                <w:szCs w:val="18"/>
              </w:rPr>
              <w:t xml:space="preserve">PC vybavení - 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 xml:space="preserve">RAM 8GB, HDD 500GB,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grafická karta, 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>Certif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ikát </w:t>
            </w:r>
            <w:r w:rsidRPr="002A461A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2 x </w:t>
            </w:r>
            <w:r w:rsidRPr="00D44F9F">
              <w:rPr>
                <w:rFonts w:ascii="Calibri" w:eastAsia="Times New Roman" w:hAnsi="Calibri" w:cs="Calibri"/>
                <w:sz w:val="18"/>
                <w:szCs w:val="18"/>
              </w:rPr>
              <w:t>24-palcov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ý</w:t>
            </w:r>
            <w:r w:rsidRPr="00D44F9F">
              <w:rPr>
                <w:rFonts w:ascii="Calibri" w:eastAsia="Times New Roman" w:hAnsi="Calibri" w:cs="Calibri"/>
                <w:sz w:val="18"/>
                <w:szCs w:val="18"/>
              </w:rPr>
              <w:t>LCD monitor, PC se síťovou kartou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29ED0D9A" w14:textId="0117E322" w:rsidR="00DF4FB0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361C6B40" w14:textId="77777777" w:rsidTr="00F120D9">
        <w:trPr>
          <w:trHeight w:val="495"/>
        </w:trPr>
        <w:tc>
          <w:tcPr>
            <w:tcW w:w="8662" w:type="dxa"/>
            <w:gridSpan w:val="2"/>
            <w:shd w:val="clear" w:color="000000" w:fill="C0C0C0"/>
            <w:vAlign w:val="bottom"/>
            <w:hideMark/>
          </w:tcPr>
          <w:p w14:paraId="6AA2FB45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►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EBSD software</w:t>
            </w:r>
          </w:p>
        </w:tc>
        <w:tc>
          <w:tcPr>
            <w:tcW w:w="1758" w:type="dxa"/>
            <w:shd w:val="clear" w:color="000000" w:fill="BFBFBF"/>
            <w:vAlign w:val="bottom"/>
            <w:hideMark/>
          </w:tcPr>
          <w:p w14:paraId="098E7BDB" w14:textId="77777777" w:rsidR="00630D97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splnění technické specifikace dodavatelem</w:t>
            </w:r>
          </w:p>
          <w:p w14:paraId="3A3248B7" w14:textId="77777777" w:rsidR="00426753" w:rsidRPr="00E82A73" w:rsidRDefault="00426753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</w:t>
            </w:r>
            <w:r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630D97" w:rsidRPr="00E82A73" w14:paraId="516ADF83" w14:textId="77777777" w:rsidTr="00F120D9">
        <w:trPr>
          <w:trHeight w:val="97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7B4B36C3" w14:textId="77777777" w:rsidR="00630D97" w:rsidRPr="00E82A73" w:rsidRDefault="00DF4FB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30</w:t>
            </w:r>
          </w:p>
        </w:tc>
        <w:tc>
          <w:tcPr>
            <w:tcW w:w="7702" w:type="dxa"/>
            <w:shd w:val="clear" w:color="000000" w:fill="FFFFFF"/>
            <w:vAlign w:val="bottom"/>
            <w:hideMark/>
          </w:tcPr>
          <w:p w14:paraId="0F80BFBE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EBSD software je plně integrován s nabízeným EDS softwarem v rámci jednoho softwarového rozhraní, umožňuje simultání akvizici EBSD-EDS dat a podporu identifikace krystalové struktury daty z EDS. Integrace EDS-EBSD systémů neomezuje funkce elektronového mikroskopu.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9489AE3" w14:textId="0C714FCB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54A28849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0C0D97C2" w14:textId="77777777" w:rsidR="00630D97" w:rsidRPr="00E82A73" w:rsidRDefault="00DF4FB0" w:rsidP="00DF4F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0083A7ED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Software pro akvizici a analýzu EBSD dat umožňuje  úplnou a snadnou dostupnost všech funkcí k ovládání EBSD detektoru a podmínek analýzy a akvizice dat.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5CDD649" w14:textId="720EDA50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69609D54" w14:textId="77777777" w:rsidTr="00F120D9">
        <w:trPr>
          <w:trHeight w:val="1189"/>
        </w:trPr>
        <w:tc>
          <w:tcPr>
            <w:tcW w:w="960" w:type="dxa"/>
            <w:shd w:val="clear" w:color="auto" w:fill="auto"/>
            <w:vAlign w:val="center"/>
            <w:hideMark/>
          </w:tcPr>
          <w:p w14:paraId="7A532EAF" w14:textId="77777777" w:rsidR="00630D97" w:rsidRPr="00E82A73" w:rsidRDefault="00DF4FB0" w:rsidP="00DF4F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6432EB6E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EBSD software umožňuje minimálně konstrukci map IPF (inverse pole figure), pólových obrazců, inverzních pólových obrazců, re-analýzu dat, výpočet ODF/MDF funkcí (orientation/misorientation distribution function), analýzu textury, filtraci dat, manuální a podmíněný výběr dat v mapách, export vybraných dat do samostatných datasetů a vytváření vlastních databází krystalografických dat a jejich neomezené použití v rámci EBSD softwaru.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07EBE8B" w14:textId="3EDA23EA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63B3DCB3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3A80A09E" w14:textId="77777777" w:rsidR="00630D97" w:rsidRPr="00E82A73" w:rsidRDefault="00DF4FB0" w:rsidP="00DF4F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739EA5F6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Alespoň dvě časově neomezené databáze krystalografických dat anorganických látek s úplnou přístupností ze softwaru ovládajícího EBSD systém.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2851C308" w14:textId="51A09901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372401F2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0626B438" w14:textId="77777777" w:rsidR="00630D97" w:rsidRPr="00E82A73" w:rsidRDefault="00DF4FB0" w:rsidP="00DF4F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15DC7F1F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Minimálně jedna offline licence dodaného EBSD softwaru a databází pro dalšího uživatele.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7057345" w14:textId="191AA2C4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46A3A66C" w14:textId="77777777" w:rsidTr="00F120D9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14:paraId="7B6B7F9F" w14:textId="77777777" w:rsidR="00630D97" w:rsidRPr="00E82A73" w:rsidRDefault="00DF4FB0" w:rsidP="00DF4F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02" w:type="dxa"/>
            <w:shd w:val="clear" w:color="auto" w:fill="auto"/>
            <w:vAlign w:val="center"/>
            <w:hideMark/>
          </w:tcPr>
          <w:p w14:paraId="660BE760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Update EBSD softwaru po dobu minimálně 5 let zdarma (nevyžaduje li upgrade hardwaru).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1B84E60" w14:textId="2DE30628" w:rsidR="00630D97" w:rsidRPr="00E82A73" w:rsidRDefault="00B70F50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</w:tbl>
    <w:p w14:paraId="0F34464B" w14:textId="77777777" w:rsidR="00630D97" w:rsidRDefault="00630D97" w:rsidP="009762DC">
      <w:pPr>
        <w:spacing w:line="240" w:lineRule="auto"/>
        <w:ind w:left="360"/>
        <w:rPr>
          <w:b/>
        </w:rPr>
      </w:pPr>
    </w:p>
    <w:p w14:paraId="6379628B" w14:textId="77777777" w:rsidR="00DF4FB0" w:rsidRDefault="00DF4FB0" w:rsidP="00DF4FB0">
      <w:pPr>
        <w:jc w:val="both"/>
        <w:rPr>
          <w:rFonts w:eastAsia="Times New Roman"/>
          <w:b/>
          <w:bCs/>
          <w:color w:val="000000"/>
          <w:szCs w:val="24"/>
          <w:lang w:eastAsia="cs-CZ"/>
        </w:rPr>
      </w:pPr>
      <w:r w:rsidRPr="00CB02BB">
        <w:rPr>
          <w:rFonts w:asciiTheme="minorHAnsi" w:hAnsiTheme="minorHAnsi" w:cstheme="minorHAnsi"/>
          <w:b/>
        </w:rPr>
        <w:t>Technická specifikace In-SEM instrumentovaného indentoru</w:t>
      </w:r>
    </w:p>
    <w:p w14:paraId="42C64A49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 xml:space="preserve">In-SEM instrumentovaný indentor je přesný mechanický zkušební přístroj sloužící k měření mechanických charakteristik v nano- a mikro-měřítku. Zařízení pracuje v prostoru komory skenovacího elektronového mikroskopu (SEM). </w:t>
      </w:r>
    </w:p>
    <w:p w14:paraId="4C1C998D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Pomocí přístroje lze získat kvantitativní údaje o zatížení a současně sledovat deformaci materiálu přímo v komoře elektronového mikroskopu.</w:t>
      </w:r>
    </w:p>
    <w:p w14:paraId="003B978F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Přístroj je vybaven XYZ motorizovaným stolkem pro jemné a hrubé polohování vzorků vůči indentačnímu hrotu (sondě). Záznam a řízení posuvu hrotu a síly působící na sondu je řešen snímačem, který je tvořen elektrostatickým silovým akčním členem a kapacitním snímačem polohy. Ovládání snímače je řízeno pokročilou digitální řídící jednotkou s vysokou rychlostí zpětné vazby.</w:t>
      </w:r>
    </w:p>
    <w:p w14:paraId="0931FA8E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 xml:space="preserve">Sondy se připojují přímo na snímač a musí být snadno vyměnitelné. Různé geometrie výměnných sond </w:t>
      </w:r>
      <w:r w:rsidR="00CB02BB" w:rsidRPr="00CB02BB">
        <w:rPr>
          <w:rFonts w:asciiTheme="minorHAnsi" w:hAnsiTheme="minorHAnsi" w:cstheme="minorHAnsi"/>
        </w:rPr>
        <w:t>umož</w:t>
      </w:r>
      <w:r w:rsidR="00CB02BB">
        <w:rPr>
          <w:rFonts w:asciiTheme="minorHAnsi" w:hAnsiTheme="minorHAnsi" w:cstheme="minorHAnsi"/>
        </w:rPr>
        <w:t>ň</w:t>
      </w:r>
      <w:r w:rsidR="00CB02BB" w:rsidRPr="00CB02BB">
        <w:rPr>
          <w:rFonts w:asciiTheme="minorHAnsi" w:hAnsiTheme="minorHAnsi" w:cstheme="minorHAnsi"/>
        </w:rPr>
        <w:t>ují</w:t>
      </w:r>
      <w:r w:rsidR="00CB02BB">
        <w:rPr>
          <w:rFonts w:asciiTheme="minorHAnsi" w:hAnsiTheme="minorHAnsi" w:cstheme="minorHAnsi"/>
        </w:rPr>
        <w:t>cích</w:t>
      </w:r>
      <w:r w:rsidR="00CB02BB" w:rsidRPr="00CB02BB">
        <w:rPr>
          <w:rFonts w:asciiTheme="minorHAnsi" w:hAnsiTheme="minorHAnsi" w:cstheme="minorHAnsi"/>
        </w:rPr>
        <w:t xml:space="preserve"> </w:t>
      </w:r>
      <w:r w:rsidRPr="00CB02BB">
        <w:rPr>
          <w:rFonts w:asciiTheme="minorHAnsi" w:hAnsiTheme="minorHAnsi" w:cstheme="minorHAnsi"/>
        </w:rPr>
        <w:t>řadu různých druhů testů.</w:t>
      </w:r>
    </w:p>
    <w:p w14:paraId="5D65D681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In-situ SEM instrumentovaný indentor musí být schopen testovat tvrdost a elastický modul vtiskem, namáhání tlakem, ohybem, nebo tahem.</w:t>
      </w:r>
    </w:p>
    <w:p w14:paraId="26E2EE91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Testy mohou být řízeny silou nebo posuvem včetně definované rychlosti zatěžovaní nebo deformace</w:t>
      </w:r>
    </w:p>
    <w:p w14:paraId="6AE707D1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Je požadována vysoká citlivost a stabilita měření, přesné stanovení zátěže vtisku při měření tvrdosti, či zatížení při ostatních měřeních.</w:t>
      </w:r>
    </w:p>
    <w:p w14:paraId="3C23C048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</w:p>
    <w:p w14:paraId="42945E9A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 xml:space="preserve">Vyhodnocovací Software </w:t>
      </w:r>
    </w:p>
    <w:p w14:paraId="50FE089F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Software musí umožnit ovládání zařízení a zároveň poskytovat možnost analýzy mechanických dat i obrazového záznamu ze SEMu. • Rozhraní pro ladění / řízení zpětné vazby. Software musí obsahovat i nutné kalibrační postupy pro správná měření.</w:t>
      </w:r>
    </w:p>
    <w:p w14:paraId="3C9D8AF6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• Průběžné zobrazení záznamu síly a hloubky vtisku (posuvu sondy)</w:t>
      </w:r>
    </w:p>
    <w:p w14:paraId="02E8D8FC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• Vykreslení zatěžovací síly v reálném čase, určení posunutí v reálném čase. Ovládání zastavení umožňuje uživateli pozastavit test, případně změnit nastavení testu.</w:t>
      </w:r>
    </w:p>
    <w:p w14:paraId="39D8F850" w14:textId="77777777" w:rsidR="00DF4FB0" w:rsidRPr="00CB02BB" w:rsidRDefault="00DF4FB0" w:rsidP="00DF4FB0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• Integrovaný záznam videa SEM – synchronizace videa s křivkami sily a posuvu.</w:t>
      </w:r>
    </w:p>
    <w:p w14:paraId="53BAFAD1" w14:textId="77777777" w:rsidR="00CB02BB" w:rsidRPr="00CB02BB" w:rsidRDefault="00DF4FB0" w:rsidP="00CB02BB">
      <w:pPr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>• Aktivní tlumení</w:t>
      </w:r>
    </w:p>
    <w:p w14:paraId="47350808" w14:textId="77777777" w:rsidR="00CB02BB" w:rsidRPr="00CB02BB" w:rsidRDefault="00DF4FB0" w:rsidP="00CB02BB">
      <w:pPr>
        <w:pStyle w:val="Odstavecseseznamem"/>
        <w:numPr>
          <w:ilvl w:val="0"/>
          <w:numId w:val="10"/>
        </w:numPr>
        <w:ind w:left="142" w:hanging="142"/>
        <w:jc w:val="both"/>
        <w:rPr>
          <w:rFonts w:asciiTheme="minorHAnsi" w:hAnsiTheme="minorHAnsi" w:cstheme="minorHAnsi"/>
        </w:rPr>
      </w:pPr>
      <w:r w:rsidRPr="00CB02BB">
        <w:rPr>
          <w:rFonts w:asciiTheme="minorHAnsi" w:hAnsiTheme="minorHAnsi" w:cstheme="minorHAnsi"/>
        </w:rPr>
        <w:t xml:space="preserve">Součástí zařízení </w:t>
      </w:r>
    </w:p>
    <w:tbl>
      <w:tblPr>
        <w:tblW w:w="10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0"/>
      </w:tblGrid>
      <w:tr w:rsidR="00CB02BB" w:rsidRPr="00CB02BB" w14:paraId="3CDA3C35" w14:textId="77777777" w:rsidTr="00CB02BB">
        <w:trPr>
          <w:trHeight w:val="480"/>
        </w:trPr>
        <w:tc>
          <w:tcPr>
            <w:tcW w:w="7702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881E828" w14:textId="77777777" w:rsidR="005E2BE0" w:rsidRDefault="005E2BE0" w:rsidP="005E2BE0">
            <w:pPr>
              <w:pStyle w:val="Odstavecseseznamem"/>
              <w:numPr>
                <w:ilvl w:val="0"/>
                <w:numId w:val="10"/>
              </w:numPr>
              <w:ind w:left="87" w:hanging="142"/>
              <w:jc w:val="both"/>
              <w:rPr>
                <w:rFonts w:asciiTheme="minorHAnsi" w:hAnsiTheme="minorHAnsi" w:cstheme="minorHAnsi"/>
              </w:rPr>
            </w:pPr>
            <w:r w:rsidRPr="005E2BE0">
              <w:rPr>
                <w:rFonts w:asciiTheme="minorHAnsi" w:hAnsiTheme="minorHAnsi" w:cstheme="minorHAnsi"/>
              </w:rPr>
              <w:t>PC vybavení - RAM 8GB, HDD 500GB, grafická karta, Certifikát CE 2 x 24-palcový</w:t>
            </w:r>
            <w:r w:rsidR="003C0A01">
              <w:rPr>
                <w:rFonts w:asciiTheme="minorHAnsi" w:hAnsiTheme="minorHAnsi" w:cstheme="minorHAnsi"/>
              </w:rPr>
              <w:t xml:space="preserve"> </w:t>
            </w:r>
            <w:r w:rsidRPr="005E2BE0">
              <w:rPr>
                <w:rFonts w:asciiTheme="minorHAnsi" w:hAnsiTheme="minorHAnsi" w:cstheme="minorHAnsi"/>
              </w:rPr>
              <w:t>LCD monitor, PC se síťovou kartou</w:t>
            </w:r>
          </w:p>
          <w:p w14:paraId="0AB42ACA" w14:textId="77777777" w:rsidR="005E2BE0" w:rsidRPr="005E2BE0" w:rsidRDefault="005E2BE0" w:rsidP="003C0A01">
            <w:pPr>
              <w:pStyle w:val="Odstavecseseznamem"/>
              <w:ind w:left="8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449945" w14:textId="77777777" w:rsidR="00630D97" w:rsidRDefault="00630D97" w:rsidP="00630D97">
      <w:pPr>
        <w:jc w:val="both"/>
        <w:rPr>
          <w:szCs w:val="24"/>
        </w:rPr>
      </w:pPr>
    </w:p>
    <w:p w14:paraId="31B8A1A4" w14:textId="77777777" w:rsidR="00630D97" w:rsidRDefault="00630D97" w:rsidP="00630D97">
      <w:pPr>
        <w:jc w:val="both"/>
        <w:rPr>
          <w:szCs w:val="24"/>
        </w:rPr>
      </w:pPr>
    </w:p>
    <w:tbl>
      <w:tblPr>
        <w:tblW w:w="10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00"/>
        <w:gridCol w:w="2360"/>
      </w:tblGrid>
      <w:tr w:rsidR="00630D97" w:rsidRPr="00E82A73" w14:paraId="6B56B6FD" w14:textId="77777777" w:rsidTr="00CB02BB">
        <w:trPr>
          <w:trHeight w:val="708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31DE58D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►</w:t>
            </w: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Požadavky nanoindentace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FC04F2" w14:textId="77777777" w:rsidR="00630D97" w:rsidRPr="00E82A73" w:rsidRDefault="00630D97" w:rsidP="009D205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splnění technické specifikace dodavatelem</w:t>
            </w:r>
            <w:r w:rsidR="009C59F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a</w:t>
            </w:r>
            <w:r w:rsidR="009C59FF" w:rsidRPr="004267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no/ne</w:t>
            </w:r>
            <w:r w:rsidR="009C59F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(vyplní dodavatel)</w:t>
            </w:r>
          </w:p>
        </w:tc>
      </w:tr>
      <w:tr w:rsidR="00630D97" w:rsidRPr="00E82A73" w14:paraId="13D15C6B" w14:textId="77777777" w:rsidTr="00CB02BB">
        <w:trPr>
          <w:trHeight w:val="4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70A82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1B0E25" w14:textId="77777777" w:rsidR="00630D97" w:rsidRPr="0012420A" w:rsidRDefault="00630D97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Maximální síla: 30 mN indentace, 10 mN napětí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118" w14:textId="77777777" w:rsidR="00630D97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15656B64" w14:textId="77777777" w:rsidTr="00CB02BB">
        <w:trPr>
          <w:trHeight w:val="274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33F46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2F486F" w14:textId="77777777" w:rsidR="00630D97" w:rsidRPr="0012420A" w:rsidRDefault="00630D97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Hystereze: ≤ 2μN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24C" w14:textId="77777777" w:rsidR="00630D97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292ECD1C" w14:textId="77777777" w:rsidTr="00CB02B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58BA8" w14:textId="77777777" w:rsidR="00630D97" w:rsidRPr="00E82A73" w:rsidRDefault="00630D97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2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5B8BF1" w14:textId="77777777" w:rsidR="00630D97" w:rsidRPr="0012420A" w:rsidRDefault="00630D97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Silové rozlišení: ≤ 3 nN; ≤ 0,02 nm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6336" w14:textId="77777777" w:rsidR="00630D97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AF0BA8" w:rsidRPr="00E82A73" w14:paraId="53035FA2" w14:textId="77777777" w:rsidTr="00CB02B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F7163" w14:textId="77777777" w:rsidR="00AF0BA8" w:rsidRPr="00E82A73" w:rsidRDefault="00AF0BA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2D8548" w14:textId="77777777" w:rsidR="00AF0BA8" w:rsidRPr="0012420A" w:rsidRDefault="00AF0BA8" w:rsidP="00AF0BA8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Maximální přípustný šum </w:t>
            </w: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: ≤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0,4</w:t>
            </w: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µ</w:t>
            </w: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N; ≤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 nm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C57" w14:textId="77777777" w:rsidR="00AF0BA8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28A7A5E9" w14:textId="77777777" w:rsidTr="00CB02B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8B560" w14:textId="77777777" w:rsidR="00630D97" w:rsidRPr="00E82A73" w:rsidRDefault="00AF0BA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2F075" w14:textId="77777777" w:rsidR="00630D97" w:rsidRPr="0012420A" w:rsidRDefault="00630D97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Odchylka snímače způsobená </w:t>
            </w:r>
            <w:r w:rsidR="00AF0BA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„termálním driftem</w:t>
            </w: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: ≤ 0,05 nm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E0C" w14:textId="77777777" w:rsidR="00630D97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014CA3C8" w14:textId="77777777" w:rsidTr="00CB02B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4B449" w14:textId="77777777" w:rsidR="00630D97" w:rsidRPr="00E82A73" w:rsidRDefault="00AF0BA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529C9" w14:textId="77777777" w:rsidR="00630D97" w:rsidRPr="0012420A" w:rsidRDefault="00630D97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Rozsah pohybu, X, Y, Z:&gt; 3,0 mm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8FB" w14:textId="77777777" w:rsidR="00630D97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630D97" w:rsidRPr="00E82A73" w14:paraId="1EE431E5" w14:textId="77777777" w:rsidTr="00CB02BB">
        <w:trPr>
          <w:trHeight w:val="218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3E707" w14:textId="77777777" w:rsidR="00630D97" w:rsidRPr="00E82A73" w:rsidRDefault="00AF0BA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DA4E" w14:textId="77777777" w:rsidR="00630D97" w:rsidRPr="0012420A" w:rsidRDefault="00630D97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Citlivost X, Y, Z: ≤ 20 nm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A6C" w14:textId="77777777" w:rsidR="00630D97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AF0BA8" w:rsidRPr="00E82A73" w14:paraId="34FCACCA" w14:textId="77777777" w:rsidTr="00AF0BA8">
        <w:trPr>
          <w:trHeight w:val="218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ADDCE" w14:textId="77777777" w:rsidR="00AF0BA8" w:rsidRDefault="00AF0BA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C09D8" w14:textId="77777777" w:rsidR="00AF0BA8" w:rsidRPr="0012420A" w:rsidRDefault="00AF0BA8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Rychlost zpětné vazby </w:t>
            </w: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&gt;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60kHz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D6C" w14:textId="77777777" w:rsidR="00AF0BA8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AF0BA8" w:rsidRPr="00E82A73" w14:paraId="4F8292FA" w14:textId="77777777" w:rsidTr="00AF0BA8">
        <w:trPr>
          <w:trHeight w:val="218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D9214" w14:textId="77777777" w:rsidR="00AF0BA8" w:rsidRDefault="00AF0BA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9FB28" w14:textId="77777777" w:rsidR="00AF0BA8" w:rsidRPr="0012420A" w:rsidRDefault="00AF0BA8" w:rsidP="009D205A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Rychlost četní dat: </w:t>
            </w:r>
            <w:r w:rsidRPr="0012420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&gt;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38kHz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AF8" w14:textId="77777777" w:rsidR="00AF0BA8" w:rsidRPr="00E82A73" w:rsidRDefault="00D306D8" w:rsidP="009D20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</w:tbl>
    <w:p w14:paraId="5F4D5437" w14:textId="77777777" w:rsidR="00964863" w:rsidRPr="000938BC" w:rsidRDefault="00964863" w:rsidP="00D70787">
      <w:pPr>
        <w:rPr>
          <w:rFonts w:asciiTheme="minorHAnsi" w:hAnsiTheme="minorHAnsi" w:cstheme="minorHAnsi"/>
          <w:szCs w:val="24"/>
        </w:rPr>
      </w:pPr>
    </w:p>
    <w:sectPr w:rsidR="00964863" w:rsidRPr="000938BC" w:rsidSect="002A4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13B13" w14:textId="77777777" w:rsidR="009B208A" w:rsidRDefault="009B208A" w:rsidP="00FA2D01">
      <w:pPr>
        <w:spacing w:line="240" w:lineRule="auto"/>
      </w:pPr>
      <w:r>
        <w:separator/>
      </w:r>
    </w:p>
  </w:endnote>
  <w:endnote w:type="continuationSeparator" w:id="0">
    <w:p w14:paraId="25FA80B7" w14:textId="77777777" w:rsidR="009B208A" w:rsidRDefault="009B208A" w:rsidP="00FA2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AAC7" w14:textId="77777777" w:rsidR="009B208A" w:rsidRDefault="009B208A" w:rsidP="00FA2D01">
      <w:pPr>
        <w:spacing w:line="240" w:lineRule="auto"/>
      </w:pPr>
      <w:r>
        <w:separator/>
      </w:r>
    </w:p>
  </w:footnote>
  <w:footnote w:type="continuationSeparator" w:id="0">
    <w:p w14:paraId="5CB9D7A2" w14:textId="77777777" w:rsidR="009B208A" w:rsidRDefault="009B208A" w:rsidP="00FA2D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739"/>
    <w:multiLevelType w:val="hybridMultilevel"/>
    <w:tmpl w:val="BF8C17B6"/>
    <w:lvl w:ilvl="0" w:tplc="FD3A634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72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3954CA"/>
    <w:multiLevelType w:val="multilevel"/>
    <w:tmpl w:val="02F0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D2DD0"/>
    <w:multiLevelType w:val="hybridMultilevel"/>
    <w:tmpl w:val="07CA1DC6"/>
    <w:lvl w:ilvl="0" w:tplc="96409D82">
      <w:start w:val="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70386"/>
    <w:multiLevelType w:val="hybridMultilevel"/>
    <w:tmpl w:val="401CD470"/>
    <w:lvl w:ilvl="0" w:tplc="F54C1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35B8"/>
    <w:multiLevelType w:val="hybridMultilevel"/>
    <w:tmpl w:val="BA303A08"/>
    <w:lvl w:ilvl="0" w:tplc="C3A64B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1425E"/>
    <w:multiLevelType w:val="hybridMultilevel"/>
    <w:tmpl w:val="963CF5D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0041"/>
    <w:multiLevelType w:val="hybridMultilevel"/>
    <w:tmpl w:val="7632E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B2314"/>
    <w:multiLevelType w:val="hybridMultilevel"/>
    <w:tmpl w:val="39EC7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689C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842F6"/>
    <w:multiLevelType w:val="hybridMultilevel"/>
    <w:tmpl w:val="2CE00C68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16084"/>
    <w:multiLevelType w:val="hybridMultilevel"/>
    <w:tmpl w:val="E4B24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4F"/>
    <w:rsid w:val="00012778"/>
    <w:rsid w:val="00014E3A"/>
    <w:rsid w:val="0002367D"/>
    <w:rsid w:val="00025041"/>
    <w:rsid w:val="00040318"/>
    <w:rsid w:val="0006448C"/>
    <w:rsid w:val="00064A29"/>
    <w:rsid w:val="00072EE3"/>
    <w:rsid w:val="000938BC"/>
    <w:rsid w:val="000A3AF3"/>
    <w:rsid w:val="000B2CA8"/>
    <w:rsid w:val="000C1750"/>
    <w:rsid w:val="00102134"/>
    <w:rsid w:val="00105BB9"/>
    <w:rsid w:val="0011546C"/>
    <w:rsid w:val="0012277A"/>
    <w:rsid w:val="00141BF1"/>
    <w:rsid w:val="00142560"/>
    <w:rsid w:val="001521BF"/>
    <w:rsid w:val="001A49A0"/>
    <w:rsid w:val="001C0C6D"/>
    <w:rsid w:val="001D7097"/>
    <w:rsid w:val="001E2387"/>
    <w:rsid w:val="002100A0"/>
    <w:rsid w:val="002111AD"/>
    <w:rsid w:val="002327DA"/>
    <w:rsid w:val="002424A7"/>
    <w:rsid w:val="00267901"/>
    <w:rsid w:val="00274560"/>
    <w:rsid w:val="00285593"/>
    <w:rsid w:val="002909B4"/>
    <w:rsid w:val="002A3135"/>
    <w:rsid w:val="002A461A"/>
    <w:rsid w:val="002C074B"/>
    <w:rsid w:val="002D7408"/>
    <w:rsid w:val="002E6102"/>
    <w:rsid w:val="00305285"/>
    <w:rsid w:val="003212AF"/>
    <w:rsid w:val="00366AFA"/>
    <w:rsid w:val="00382EB6"/>
    <w:rsid w:val="00396ECB"/>
    <w:rsid w:val="003A06ED"/>
    <w:rsid w:val="003A1FA8"/>
    <w:rsid w:val="003C0A01"/>
    <w:rsid w:val="003E125E"/>
    <w:rsid w:val="00426753"/>
    <w:rsid w:val="004348FE"/>
    <w:rsid w:val="00461F8D"/>
    <w:rsid w:val="00462D1B"/>
    <w:rsid w:val="00464548"/>
    <w:rsid w:val="0046732B"/>
    <w:rsid w:val="00477FC2"/>
    <w:rsid w:val="004854C8"/>
    <w:rsid w:val="004A06DE"/>
    <w:rsid w:val="004D1672"/>
    <w:rsid w:val="004F1ADD"/>
    <w:rsid w:val="004F6D66"/>
    <w:rsid w:val="00563115"/>
    <w:rsid w:val="005D7480"/>
    <w:rsid w:val="005E1093"/>
    <w:rsid w:val="005E2BE0"/>
    <w:rsid w:val="005E5581"/>
    <w:rsid w:val="005F757C"/>
    <w:rsid w:val="00606284"/>
    <w:rsid w:val="00611668"/>
    <w:rsid w:val="00630D97"/>
    <w:rsid w:val="0063749E"/>
    <w:rsid w:val="00664A07"/>
    <w:rsid w:val="00686AC3"/>
    <w:rsid w:val="00692A88"/>
    <w:rsid w:val="006A2B36"/>
    <w:rsid w:val="006B255D"/>
    <w:rsid w:val="006F6CA2"/>
    <w:rsid w:val="00725AD7"/>
    <w:rsid w:val="00744F42"/>
    <w:rsid w:val="00754D32"/>
    <w:rsid w:val="00763392"/>
    <w:rsid w:val="007633D6"/>
    <w:rsid w:val="00764470"/>
    <w:rsid w:val="00767329"/>
    <w:rsid w:val="00772A7C"/>
    <w:rsid w:val="00777E74"/>
    <w:rsid w:val="007973EF"/>
    <w:rsid w:val="007B7DA2"/>
    <w:rsid w:val="007D1B3E"/>
    <w:rsid w:val="00842B36"/>
    <w:rsid w:val="00857092"/>
    <w:rsid w:val="0086538D"/>
    <w:rsid w:val="008743C3"/>
    <w:rsid w:val="00874BC7"/>
    <w:rsid w:val="008863FE"/>
    <w:rsid w:val="00887919"/>
    <w:rsid w:val="00895614"/>
    <w:rsid w:val="008D1EB1"/>
    <w:rsid w:val="008E61C5"/>
    <w:rsid w:val="008E696B"/>
    <w:rsid w:val="008F4362"/>
    <w:rsid w:val="008F7B49"/>
    <w:rsid w:val="00902E81"/>
    <w:rsid w:val="009128CC"/>
    <w:rsid w:val="00913A50"/>
    <w:rsid w:val="009177BB"/>
    <w:rsid w:val="00964863"/>
    <w:rsid w:val="00964BFD"/>
    <w:rsid w:val="009762DC"/>
    <w:rsid w:val="009A73F2"/>
    <w:rsid w:val="009B208A"/>
    <w:rsid w:val="009C59FF"/>
    <w:rsid w:val="009D5DDA"/>
    <w:rsid w:val="00A10B9E"/>
    <w:rsid w:val="00A113FA"/>
    <w:rsid w:val="00A20F37"/>
    <w:rsid w:val="00A42635"/>
    <w:rsid w:val="00A5747D"/>
    <w:rsid w:val="00A73F38"/>
    <w:rsid w:val="00A766DD"/>
    <w:rsid w:val="00AE3B91"/>
    <w:rsid w:val="00AE7693"/>
    <w:rsid w:val="00AF0BA8"/>
    <w:rsid w:val="00AF2669"/>
    <w:rsid w:val="00AF2980"/>
    <w:rsid w:val="00B072DE"/>
    <w:rsid w:val="00B15E78"/>
    <w:rsid w:val="00B17441"/>
    <w:rsid w:val="00B33B1D"/>
    <w:rsid w:val="00B70326"/>
    <w:rsid w:val="00B70F50"/>
    <w:rsid w:val="00B959FD"/>
    <w:rsid w:val="00B96398"/>
    <w:rsid w:val="00BA2DEF"/>
    <w:rsid w:val="00BB2281"/>
    <w:rsid w:val="00BB60F7"/>
    <w:rsid w:val="00BC0AB9"/>
    <w:rsid w:val="00BD3F5A"/>
    <w:rsid w:val="00BF055A"/>
    <w:rsid w:val="00C42B11"/>
    <w:rsid w:val="00C50D7A"/>
    <w:rsid w:val="00C52BC2"/>
    <w:rsid w:val="00C71B16"/>
    <w:rsid w:val="00CB02BB"/>
    <w:rsid w:val="00CC326E"/>
    <w:rsid w:val="00CC4601"/>
    <w:rsid w:val="00CE7496"/>
    <w:rsid w:val="00CF5DFA"/>
    <w:rsid w:val="00D114B8"/>
    <w:rsid w:val="00D306D8"/>
    <w:rsid w:val="00D475C8"/>
    <w:rsid w:val="00D6243A"/>
    <w:rsid w:val="00D70787"/>
    <w:rsid w:val="00D87F30"/>
    <w:rsid w:val="00DA419C"/>
    <w:rsid w:val="00DE0AE8"/>
    <w:rsid w:val="00DE4C59"/>
    <w:rsid w:val="00DE4C74"/>
    <w:rsid w:val="00DF1CDC"/>
    <w:rsid w:val="00DF4FB0"/>
    <w:rsid w:val="00E3451B"/>
    <w:rsid w:val="00E52EBC"/>
    <w:rsid w:val="00E852C5"/>
    <w:rsid w:val="00E8727C"/>
    <w:rsid w:val="00EA70EF"/>
    <w:rsid w:val="00EB01F7"/>
    <w:rsid w:val="00EC7397"/>
    <w:rsid w:val="00ED2ED8"/>
    <w:rsid w:val="00F02656"/>
    <w:rsid w:val="00F02C52"/>
    <w:rsid w:val="00F05166"/>
    <w:rsid w:val="00F120D9"/>
    <w:rsid w:val="00F14DFA"/>
    <w:rsid w:val="00F16F60"/>
    <w:rsid w:val="00F17910"/>
    <w:rsid w:val="00F2643C"/>
    <w:rsid w:val="00F478FF"/>
    <w:rsid w:val="00F631C2"/>
    <w:rsid w:val="00FA178F"/>
    <w:rsid w:val="00FA2D01"/>
    <w:rsid w:val="00FC6E89"/>
    <w:rsid w:val="00FD08E0"/>
    <w:rsid w:val="00FD3966"/>
    <w:rsid w:val="00FE294F"/>
    <w:rsid w:val="00FE3AC8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3FC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F1ADD"/>
    <w:pPr>
      <w:spacing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54D32"/>
    <w:pPr>
      <w:spacing w:line="240" w:lineRule="auto"/>
      <w:jc w:val="both"/>
    </w:pPr>
    <w:rPr>
      <w:rFonts w:eastAsia="Times New Roman"/>
      <w:sz w:val="20"/>
      <w:szCs w:val="20"/>
      <w:lang w:eastAsia="cs-CZ"/>
    </w:rPr>
  </w:style>
  <w:style w:type="character" w:customStyle="1" w:styleId="hps">
    <w:name w:val="hps"/>
    <w:basedOn w:val="Standardnpsmoodstavce"/>
    <w:rsid w:val="0002367D"/>
  </w:style>
  <w:style w:type="character" w:customStyle="1" w:styleId="hpsatn">
    <w:name w:val="hps atn"/>
    <w:basedOn w:val="Standardnpsmoodstavce"/>
    <w:rsid w:val="0002367D"/>
  </w:style>
  <w:style w:type="character" w:customStyle="1" w:styleId="atn">
    <w:name w:val="atn"/>
    <w:basedOn w:val="Standardnpsmoodstavce"/>
    <w:rsid w:val="00C52BC2"/>
  </w:style>
  <w:style w:type="paragraph" w:styleId="Normlnweb">
    <w:name w:val="Normal (Web)"/>
    <w:basedOn w:val="Normln"/>
    <w:rsid w:val="00064A29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rsid w:val="00AF2980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E74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67329"/>
    <w:pPr>
      <w:spacing w:line="240" w:lineRule="auto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67329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477FC2"/>
    <w:pPr>
      <w:ind w:left="720"/>
      <w:contextualSpacing/>
    </w:pPr>
  </w:style>
  <w:style w:type="paragraph" w:customStyle="1" w:styleId="Default">
    <w:name w:val="Default"/>
    <w:rsid w:val="00913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6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61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0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51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516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1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166"/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2D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D0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3733">
      <w:bodyDiv w:val="1"/>
      <w:marLeft w:val="200"/>
      <w:marRight w:val="200"/>
      <w:marTop w:val="20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60FF-9E6E-4BDD-802A-E58A5EB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10027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11703</CharactersWithSpaces>
  <SharedDoc>false</SharedDoc>
  <HLinks>
    <vt:vector size="24" baseType="variant">
      <vt:variant>
        <vt:i4>7602246</vt:i4>
      </vt:variant>
      <vt:variant>
        <vt:i4>9</vt:i4>
      </vt:variant>
      <vt:variant>
        <vt:i4>0</vt:i4>
      </vt:variant>
      <vt:variant>
        <vt:i4>5</vt:i4>
      </vt:variant>
      <vt:variant>
        <vt:lpwstr>mailto:zavoral@edlin.cz</vt:lpwstr>
      </vt:variant>
      <vt:variant>
        <vt:lpwstr/>
      </vt:variant>
      <vt:variant>
        <vt:i4>7864408</vt:i4>
      </vt:variant>
      <vt:variant>
        <vt:i4>6</vt:i4>
      </vt:variant>
      <vt:variant>
        <vt:i4>0</vt:i4>
      </vt:variant>
      <vt:variant>
        <vt:i4>5</vt:i4>
      </vt:variant>
      <vt:variant>
        <vt:lpwstr>mailto:jeolpraha@bon.cz</vt:lpwstr>
      </vt:variant>
      <vt:variant>
        <vt:lpwstr/>
      </vt:variant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mailto:hudecek@zeiss.cz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mailto:antonin.doupal@tescan.cz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2019-08-05T11:02:00Z</dcterms:created>
  <dcterms:modified xsi:type="dcterms:W3CDTF">2019-10-02T12:31:00Z</dcterms:modified>
</cp:coreProperties>
</file>