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B0FDD" w14:textId="77777777" w:rsidR="00937F2C" w:rsidRDefault="00056F01">
      <w:pPr>
        <w:spacing w:after="120"/>
        <w:jc w:val="center"/>
        <w:rPr>
          <w:b/>
          <w:sz w:val="28"/>
          <w:szCs w:val="28"/>
        </w:rPr>
      </w:pPr>
      <w:r>
        <w:rPr>
          <w:b/>
          <w:sz w:val="28"/>
          <w:szCs w:val="28"/>
        </w:rPr>
        <w:t xml:space="preserve">Zápis o dohodě o spolupráci při využívání </w:t>
      </w:r>
    </w:p>
    <w:p w14:paraId="32AC5E3D" w14:textId="77777777" w:rsidR="00937F2C" w:rsidRDefault="00056F01">
      <w:pPr>
        <w:spacing w:after="120"/>
        <w:jc w:val="center"/>
        <w:rPr>
          <w:b/>
          <w:sz w:val="28"/>
          <w:szCs w:val="28"/>
        </w:rPr>
      </w:pPr>
      <w:r>
        <w:rPr>
          <w:b/>
          <w:sz w:val="28"/>
          <w:szCs w:val="28"/>
        </w:rPr>
        <w:t>informačního systému Technologické agentury ČR – ISTA</w:t>
      </w:r>
    </w:p>
    <w:p w14:paraId="40CA8D6A" w14:textId="359FFF77" w:rsidR="00465E1E" w:rsidRDefault="00465E1E">
      <w:pPr>
        <w:spacing w:after="120"/>
        <w:jc w:val="center"/>
        <w:rPr>
          <w:b/>
          <w:sz w:val="28"/>
          <w:szCs w:val="28"/>
        </w:rPr>
      </w:pPr>
      <w:r>
        <w:rPr>
          <w:b/>
          <w:sz w:val="28"/>
          <w:szCs w:val="28"/>
        </w:rPr>
        <w:t>(dále jen „dohoda“)</w:t>
      </w:r>
    </w:p>
    <w:p w14:paraId="77D4FC12" w14:textId="3F0DFDDD" w:rsidR="00514D50" w:rsidRPr="00514D50" w:rsidRDefault="00514D50" w:rsidP="00514D50">
      <w:pPr>
        <w:jc w:val="center"/>
      </w:pPr>
      <w:r>
        <w:t xml:space="preserve">uzavřený </w:t>
      </w:r>
      <w:r w:rsidRPr="0025118C">
        <w:rPr>
          <w:rFonts w:cs="Calibri"/>
        </w:rPr>
        <w:t>níže uvedeného dne, měsíce a roku</w:t>
      </w:r>
      <w:r w:rsidRPr="0025118C">
        <w:rPr>
          <w:rFonts w:cs="Arial"/>
        </w:rPr>
        <w:t xml:space="preserve"> v souladu s ustanovením </w:t>
      </w:r>
      <w:r>
        <w:rPr>
          <w:rFonts w:cs="Arial"/>
        </w:rPr>
        <w:t xml:space="preserve">§ 19 zákona </w:t>
      </w:r>
      <w:r>
        <w:rPr>
          <w:rFonts w:cs="Arial"/>
        </w:rPr>
        <w:br/>
        <w:t xml:space="preserve">č. 219/2000 Sb., o majetku České republiky a jejím vystupování v právních vztazích, ve znění pozdějších předpisů a ustanovení § 1746 odst. 2, </w:t>
      </w:r>
      <w:r w:rsidRPr="0025118C">
        <w:rPr>
          <w:rFonts w:cs="Arial"/>
        </w:rPr>
        <w:t>§ 2358 a násl.</w:t>
      </w:r>
      <w:r w:rsidR="003A51CF">
        <w:rPr>
          <w:rFonts w:cs="Arial"/>
        </w:rPr>
        <w:t xml:space="preserve"> a § 2586 a násl. </w:t>
      </w:r>
      <w:r>
        <w:rPr>
          <w:rFonts w:cs="Arial"/>
        </w:rPr>
        <w:t>z</w:t>
      </w:r>
      <w:r w:rsidRPr="0025118C">
        <w:rPr>
          <w:rFonts w:cs="Arial"/>
        </w:rPr>
        <w:t>ákona č.</w:t>
      </w:r>
      <w:r>
        <w:rPr>
          <w:rFonts w:cs="Arial"/>
        </w:rPr>
        <w:t> </w:t>
      </w:r>
      <w:r w:rsidRPr="0025118C">
        <w:rPr>
          <w:rFonts w:cs="Arial"/>
        </w:rPr>
        <w:t>89/2012 Sb., občanský zákoník</w:t>
      </w:r>
      <w:r>
        <w:rPr>
          <w:rFonts w:cs="Arial"/>
        </w:rPr>
        <w:t>, ve znění pozdějších předpisů</w:t>
      </w:r>
    </w:p>
    <w:p w14:paraId="19A8128B" w14:textId="77777777" w:rsidR="00937F2C" w:rsidRDefault="00937F2C">
      <w:pPr>
        <w:jc w:val="center"/>
        <w:rPr>
          <w:b/>
          <w:sz w:val="28"/>
          <w:szCs w:val="28"/>
        </w:rPr>
      </w:pPr>
    </w:p>
    <w:p w14:paraId="40D725B7" w14:textId="77777777" w:rsidR="00514D50" w:rsidRDefault="00514D50">
      <w:pPr>
        <w:jc w:val="center"/>
        <w:rPr>
          <w:b/>
          <w:sz w:val="28"/>
          <w:szCs w:val="28"/>
        </w:rPr>
      </w:pPr>
    </w:p>
    <w:p w14:paraId="5FDC23CE" w14:textId="77777777" w:rsidR="00937F2C" w:rsidRDefault="00056F01">
      <w:pPr>
        <w:jc w:val="center"/>
      </w:pPr>
      <w:r>
        <w:t>mezi</w:t>
      </w:r>
    </w:p>
    <w:p w14:paraId="1B56705A" w14:textId="77777777" w:rsidR="00937F2C" w:rsidRDefault="00937F2C">
      <w:pPr>
        <w:jc w:val="center"/>
      </w:pPr>
    </w:p>
    <w:p w14:paraId="5E20F05B" w14:textId="2D172735" w:rsidR="00937F2C" w:rsidRDefault="00056F01">
      <w:pPr>
        <w:jc w:val="center"/>
        <w:rPr>
          <w:b/>
          <w:sz w:val="28"/>
          <w:szCs w:val="28"/>
        </w:rPr>
      </w:pPr>
      <w:r>
        <w:rPr>
          <w:b/>
          <w:sz w:val="28"/>
          <w:szCs w:val="28"/>
        </w:rPr>
        <w:t xml:space="preserve">Ministerstvem zemědělství </w:t>
      </w:r>
    </w:p>
    <w:p w14:paraId="30B1ADB9" w14:textId="77777777" w:rsidR="00937F2C" w:rsidRDefault="00056F01">
      <w:pPr>
        <w:jc w:val="center"/>
      </w:pPr>
      <w:r>
        <w:t>se sídlem</w:t>
      </w:r>
      <w:r w:rsidR="00D75587">
        <w:t>:</w:t>
      </w:r>
      <w:r>
        <w:t xml:space="preserve">  Těšnov 65/17, 110 00 Praha 1-Nové Město</w:t>
      </w:r>
    </w:p>
    <w:p w14:paraId="2B6263CE" w14:textId="07C09DBE" w:rsidR="00937F2C" w:rsidRDefault="00056F01">
      <w:pPr>
        <w:jc w:val="center"/>
      </w:pPr>
      <w:r>
        <w:t>zastoupen</w:t>
      </w:r>
      <w:r w:rsidR="00126B12">
        <w:t>ým</w:t>
      </w:r>
      <w:r w:rsidR="00D75587">
        <w:t>:</w:t>
      </w:r>
      <w:r>
        <w:t xml:space="preserve"> Mgr. </w:t>
      </w:r>
      <w:r w:rsidR="00D75587">
        <w:t>Václavem Koubkem</w:t>
      </w:r>
      <w:r>
        <w:t xml:space="preserve">, </w:t>
      </w:r>
      <w:r w:rsidR="00D75587">
        <w:t>ředitelem odboru informačních a komunikačních technologií</w:t>
      </w:r>
      <w:r>
        <w:t xml:space="preserve">  </w:t>
      </w:r>
    </w:p>
    <w:p w14:paraId="789BA841" w14:textId="2567A736" w:rsidR="00937F2C" w:rsidRDefault="00056F01">
      <w:pPr>
        <w:jc w:val="center"/>
      </w:pPr>
      <w:r>
        <w:t xml:space="preserve">(dále </w:t>
      </w:r>
      <w:r w:rsidR="003A21F3">
        <w:t>jen</w:t>
      </w:r>
      <w:r>
        <w:t xml:space="preserve"> „MZe“)</w:t>
      </w:r>
    </w:p>
    <w:p w14:paraId="0692BE54" w14:textId="2EFE427A" w:rsidR="00937F2C" w:rsidRPr="00F51C41" w:rsidRDefault="00F51C41">
      <w:pPr>
        <w:jc w:val="center"/>
      </w:pPr>
      <w:r w:rsidRPr="00F51C41">
        <w:t xml:space="preserve">č.: S2019-0063, DMS: </w:t>
      </w:r>
      <w:bookmarkStart w:id="0" w:name="_GoBack"/>
      <w:r w:rsidRPr="00F51C41">
        <w:t>621-2019-11150</w:t>
      </w:r>
      <w:bookmarkEnd w:id="0"/>
    </w:p>
    <w:p w14:paraId="469C419B" w14:textId="77777777" w:rsidR="00937F2C" w:rsidRDefault="00056F01">
      <w:pPr>
        <w:jc w:val="center"/>
      </w:pPr>
      <w:r>
        <w:t>a</w:t>
      </w:r>
    </w:p>
    <w:p w14:paraId="738DADC6" w14:textId="77777777" w:rsidR="00937F2C" w:rsidRDefault="00056F01">
      <w:pPr>
        <w:jc w:val="center"/>
      </w:pPr>
      <w:r>
        <w:t xml:space="preserve"> </w:t>
      </w:r>
    </w:p>
    <w:p w14:paraId="1D50764C" w14:textId="77777777" w:rsidR="00937F2C" w:rsidRDefault="00056F01">
      <w:pPr>
        <w:jc w:val="center"/>
        <w:rPr>
          <w:b/>
          <w:sz w:val="28"/>
          <w:szCs w:val="28"/>
        </w:rPr>
      </w:pPr>
      <w:r>
        <w:rPr>
          <w:b/>
          <w:sz w:val="28"/>
          <w:szCs w:val="28"/>
        </w:rPr>
        <w:t xml:space="preserve">Technologickou agenturou České republiky </w:t>
      </w:r>
    </w:p>
    <w:p w14:paraId="32D714B5" w14:textId="77777777" w:rsidR="00937F2C" w:rsidRDefault="00056F01">
      <w:pPr>
        <w:jc w:val="center"/>
      </w:pPr>
      <w:r>
        <w:t>se sídlem Evropská 1692/37, 160 00 Praha 6</w:t>
      </w:r>
    </w:p>
    <w:p w14:paraId="00422818" w14:textId="77777777" w:rsidR="00937F2C" w:rsidRDefault="00056F01">
      <w:pPr>
        <w:jc w:val="center"/>
        <w:rPr>
          <w:rFonts w:ascii="Cambria" w:eastAsia="Cambria" w:hAnsi="Cambria" w:cs="Cambria"/>
        </w:rPr>
      </w:pPr>
      <w:r>
        <w:rPr>
          <w:rFonts w:ascii="Cambria" w:eastAsia="Cambria" w:hAnsi="Cambria" w:cs="Cambria"/>
        </w:rPr>
        <w:t>zastoupenou</w:t>
      </w:r>
      <w:r w:rsidR="00D75587">
        <w:rPr>
          <w:rFonts w:ascii="Cambria" w:eastAsia="Cambria" w:hAnsi="Cambria" w:cs="Cambria"/>
        </w:rPr>
        <w:t>:</w:t>
      </w:r>
      <w:r>
        <w:rPr>
          <w:rFonts w:ascii="Cambria" w:eastAsia="Cambria" w:hAnsi="Cambria" w:cs="Cambria"/>
        </w:rPr>
        <w:t xml:space="preserve"> </w:t>
      </w:r>
      <w:r>
        <w:t>prof. Ing. Petrem Konvalinkou, CSc., FEng.</w:t>
      </w:r>
      <w:r>
        <w:tab/>
      </w:r>
    </w:p>
    <w:p w14:paraId="0508C703" w14:textId="77777777" w:rsidR="00937F2C" w:rsidRDefault="00056F01">
      <w:pPr>
        <w:jc w:val="center"/>
      </w:pPr>
      <w:r>
        <w:t>předsedou TA ČR</w:t>
      </w:r>
    </w:p>
    <w:p w14:paraId="3CC76A99" w14:textId="02C8E992" w:rsidR="00937F2C" w:rsidRDefault="00465E1E">
      <w:pPr>
        <w:jc w:val="center"/>
      </w:pPr>
      <w:r>
        <w:t>(dále též</w:t>
      </w:r>
      <w:r w:rsidR="00056F01">
        <w:t xml:space="preserve"> „TA ČR“)</w:t>
      </w:r>
    </w:p>
    <w:p w14:paraId="495153BF" w14:textId="77777777" w:rsidR="00937F2C" w:rsidRDefault="00937F2C">
      <w:pPr>
        <w:jc w:val="center"/>
      </w:pPr>
    </w:p>
    <w:p w14:paraId="5006AA1E" w14:textId="77777777" w:rsidR="00937F2C" w:rsidRDefault="00056F01">
      <w:pPr>
        <w:jc w:val="center"/>
      </w:pPr>
      <w:r>
        <w:t>(MZe a TA ČR dále též společně jako „smluvní strany“)</w:t>
      </w:r>
    </w:p>
    <w:p w14:paraId="2AB911AC" w14:textId="77777777" w:rsidR="00937F2C" w:rsidRDefault="00937F2C">
      <w:pPr>
        <w:jc w:val="center"/>
      </w:pPr>
    </w:p>
    <w:p w14:paraId="18E7C5FC" w14:textId="77777777" w:rsidR="00937F2C" w:rsidRDefault="00937F2C">
      <w:pPr>
        <w:jc w:val="center"/>
      </w:pPr>
    </w:p>
    <w:p w14:paraId="0EA30780" w14:textId="77777777" w:rsidR="00937F2C" w:rsidRDefault="00937F2C">
      <w:pPr>
        <w:numPr>
          <w:ilvl w:val="0"/>
          <w:numId w:val="11"/>
        </w:numPr>
        <w:ind w:left="993" w:hanging="426"/>
        <w:jc w:val="center"/>
      </w:pPr>
    </w:p>
    <w:p w14:paraId="1F6380C2" w14:textId="77777777" w:rsidR="00937F2C" w:rsidRDefault="00056F01">
      <w:pPr>
        <w:jc w:val="center"/>
        <w:rPr>
          <w:b/>
        </w:rPr>
      </w:pPr>
      <w:r>
        <w:rPr>
          <w:b/>
        </w:rPr>
        <w:t>Úvodní ustanovení</w:t>
      </w:r>
    </w:p>
    <w:p w14:paraId="474F625A" w14:textId="77777777" w:rsidR="00937F2C" w:rsidRDefault="00937F2C">
      <w:pPr>
        <w:jc w:val="center"/>
      </w:pPr>
    </w:p>
    <w:p w14:paraId="4B7CE24C" w14:textId="732A3199" w:rsidR="00937F2C" w:rsidRDefault="00056F01">
      <w:pPr>
        <w:numPr>
          <w:ilvl w:val="0"/>
          <w:numId w:val="21"/>
        </w:numPr>
        <w:ind w:left="284" w:hanging="284"/>
        <w:jc w:val="both"/>
      </w:pPr>
      <w:r>
        <w:t>MZe je ústředním orgánem státní správy zřízeným zákonem č. 2/1969 Sb., o zřízení ministerstev a jiných ústředních orgánů státní správy (kompetenční zákon</w:t>
      </w:r>
      <w:r w:rsidR="00465E1E">
        <w:t>), ve znění pozdějších předpisů a tím též organizační složkou státu.</w:t>
      </w:r>
    </w:p>
    <w:p w14:paraId="11026204" w14:textId="77777777" w:rsidR="00937F2C" w:rsidRDefault="00937F2C">
      <w:pPr>
        <w:jc w:val="both"/>
      </w:pPr>
    </w:p>
    <w:p w14:paraId="2376F637" w14:textId="77777777" w:rsidR="00937F2C" w:rsidRDefault="00056F01">
      <w:pPr>
        <w:numPr>
          <w:ilvl w:val="0"/>
          <w:numId w:val="21"/>
        </w:numPr>
        <w:ind w:left="284" w:hanging="284"/>
        <w:jc w:val="both"/>
      </w:pPr>
      <w:r>
        <w:t>TA ČR je organizační složkou státu, která byla zřízena zákonem č. 110/2009 Sb., kterým se mění zákon č. 130/2002 Sb., o podpoře výzkumu, experimentálního vývoje a inovací z veřejných prostředků a o změně některých souvisejících zákonů (zákon o podpoře výzkumu, experimentálního vývoje a inovací), ve znění pozdějších předpisů, a další související zákony.</w:t>
      </w:r>
    </w:p>
    <w:p w14:paraId="25D06FC1" w14:textId="77777777" w:rsidR="00937F2C" w:rsidRDefault="00937F2C">
      <w:pPr>
        <w:jc w:val="both"/>
      </w:pPr>
    </w:p>
    <w:p w14:paraId="485BF570" w14:textId="77777777" w:rsidR="00937F2C" w:rsidRDefault="00056F01">
      <w:pPr>
        <w:numPr>
          <w:ilvl w:val="0"/>
          <w:numId w:val="21"/>
        </w:numPr>
        <w:ind w:left="284" w:hanging="284"/>
        <w:jc w:val="both"/>
      </w:pPr>
      <w:r>
        <w:t>Smluvní strany výslovně konstatují, že tato dohoda navazuje na dosavadní jednání mezi uvedenými úřady a využitím informačního systému TA ČR dojde k naplnění hospodárnosti při vynakládání veřejných prostředků.</w:t>
      </w:r>
    </w:p>
    <w:p w14:paraId="0AE3979E" w14:textId="77777777" w:rsidR="00937F2C" w:rsidRDefault="00937F2C">
      <w:pPr>
        <w:ind w:left="720"/>
        <w:jc w:val="center"/>
      </w:pPr>
    </w:p>
    <w:p w14:paraId="583C3847" w14:textId="77777777" w:rsidR="00937F2C" w:rsidRDefault="00937F2C">
      <w:pPr>
        <w:ind w:left="720"/>
        <w:jc w:val="center"/>
      </w:pPr>
    </w:p>
    <w:p w14:paraId="7EBAFB40" w14:textId="77777777" w:rsidR="009748E1" w:rsidRDefault="009748E1">
      <w:pPr>
        <w:ind w:left="720"/>
        <w:jc w:val="center"/>
      </w:pPr>
    </w:p>
    <w:p w14:paraId="1947D842" w14:textId="77777777" w:rsidR="00937F2C" w:rsidRDefault="00937F2C">
      <w:pPr>
        <w:numPr>
          <w:ilvl w:val="0"/>
          <w:numId w:val="11"/>
        </w:numPr>
        <w:ind w:left="567" w:firstLine="0"/>
        <w:jc w:val="center"/>
      </w:pPr>
    </w:p>
    <w:p w14:paraId="744014FE" w14:textId="77777777" w:rsidR="00937F2C" w:rsidRDefault="00056F01">
      <w:pPr>
        <w:jc w:val="center"/>
        <w:rPr>
          <w:b/>
        </w:rPr>
      </w:pPr>
      <w:r>
        <w:rPr>
          <w:b/>
        </w:rPr>
        <w:t>Informační systém Technologické agentury ČR</w:t>
      </w:r>
    </w:p>
    <w:p w14:paraId="59725D3E" w14:textId="77777777" w:rsidR="00937F2C" w:rsidRDefault="00937F2C">
      <w:pPr>
        <w:ind w:left="720"/>
        <w:jc w:val="center"/>
        <w:rPr>
          <w:b/>
        </w:rPr>
      </w:pPr>
    </w:p>
    <w:p w14:paraId="136FEEDD" w14:textId="4A9D2DA0" w:rsidR="00937F2C" w:rsidRDefault="00056F01">
      <w:pPr>
        <w:numPr>
          <w:ilvl w:val="0"/>
          <w:numId w:val="4"/>
        </w:numPr>
        <w:ind w:left="284" w:hanging="284"/>
        <w:jc w:val="both"/>
      </w:pPr>
      <w:r>
        <w:t>Informační systém Technologické agentury ČR (dále jen „ISTA“ nebo též „systém ISTA“) je výsledkem realizace veřejné zakázky VZ0005455: “Pořízení informačního systému TA ČR a zajištění jeho provozu a rozvoje” realizovaného v rámci programu IROP – Integrovaný regionální operační program Ministerstva pro místní rozvoj, výzva č. 23</w:t>
      </w:r>
      <w:r w:rsidR="003A21F3">
        <w:t xml:space="preserve"> a taktéž VZ2019-000619</w:t>
      </w:r>
      <w:r>
        <w:t>.</w:t>
      </w:r>
    </w:p>
    <w:p w14:paraId="482B57DF" w14:textId="77777777" w:rsidR="00937F2C" w:rsidRDefault="00937F2C">
      <w:pPr>
        <w:ind w:left="426"/>
        <w:jc w:val="both"/>
      </w:pPr>
    </w:p>
    <w:p w14:paraId="41D6D9B5" w14:textId="2E4EC827" w:rsidR="00937F2C" w:rsidRDefault="00056F01">
      <w:pPr>
        <w:numPr>
          <w:ilvl w:val="0"/>
          <w:numId w:val="4"/>
        </w:numPr>
        <w:ind w:left="284" w:hanging="284"/>
        <w:jc w:val="both"/>
      </w:pPr>
      <w:r>
        <w:t xml:space="preserve">ISTA slouží k zajištění celého životního cyklu poskytování účelové podpory aplikovaného výzkumu a vývoje dle zákona č. 130/2002 Sb., o podpoře výzkumu a vývoje z veřejných prostředků a o změně některých souvisejících zákonů (zákon o podpoře výzkumu a vývoje), ve znění pozdějších předpisů, a dalších souvisejících právních předpisů (dále jen „zákon č. 130/2002 Sb.“) včetně napojení na relevantní registry veřejné správy, informační systémy státu (Informační systém výzkumu, vývoje a inovací) a na další spolupracující systémy (služba časových razítek apod.) za účelem zefektivnění fungování veřejné správy </w:t>
      </w:r>
      <w:r w:rsidR="00D75587">
        <w:br/>
      </w:r>
      <w:r>
        <w:t>a veřejných služeb v oblasti poskytování veřejné podpory ve výzkumu, experimentálním vývoji a inovacích.</w:t>
      </w:r>
    </w:p>
    <w:p w14:paraId="6A6ACA78" w14:textId="77777777" w:rsidR="00937F2C" w:rsidRDefault="00937F2C">
      <w:pPr>
        <w:jc w:val="both"/>
      </w:pPr>
    </w:p>
    <w:p w14:paraId="287E3A3C" w14:textId="7F09164E" w:rsidR="00937F2C" w:rsidRPr="003A21F3" w:rsidRDefault="003A21F3" w:rsidP="003A21F3">
      <w:pPr>
        <w:pStyle w:val="Odstavecseseznamem"/>
        <w:numPr>
          <w:ilvl w:val="0"/>
          <w:numId w:val="4"/>
        </w:numPr>
        <w:ind w:left="284" w:hanging="284"/>
        <w:jc w:val="both"/>
        <w:rPr>
          <w:color w:val="222222"/>
        </w:rPr>
      </w:pPr>
      <w:r>
        <w:t>Systém ISTA je vyvíjen a provozován na základě “Smlouvy o vytvoření informačního systému TA ČR a zajištění jeho provozu a rozvoje” (veřejná zakázka uvedená v odst. 1.  VZ0005455: Pořízení informačního systému TA ČR a zajištění jeho provozu a rozvoje) a “Smlouvy o rozšíření informačního systému TA ČR pro potřeby jiných poskytovatelů dle zákona č. 130/2002 Sb., a zajištění jeho provozu a rozvoje” (veřejná zakázka Z2019-000619 uzavřených mezi TA ČR a společností AHASWARE s.r.o., dodavatelem informačního systému ISTA (dále jen “Dodavatel”). Technická podpora systému ISTA a jeho rozvoj budou zajišťovány Dodavatelem, případně jiným dodavatelem či dodavateli služeb pro rozvoj systému ISTA, vybraným či vybranými na základě nadlimitní veřejné zakázky pro rozvoj ISTA vyhlášené TA ČR v roce 2019. Prostřednictvím subdodavatele DataSpring s.r.o. zajišťuje Dodavatel technologickou platformu pro provoz.</w:t>
      </w:r>
    </w:p>
    <w:p w14:paraId="5C6B8B0C" w14:textId="77777777" w:rsidR="003A21F3" w:rsidRPr="003A21F3" w:rsidRDefault="003A21F3" w:rsidP="003A21F3">
      <w:pPr>
        <w:pStyle w:val="Odstavecseseznamem"/>
        <w:ind w:left="284"/>
        <w:jc w:val="both"/>
        <w:rPr>
          <w:color w:val="222222"/>
        </w:rPr>
      </w:pPr>
    </w:p>
    <w:p w14:paraId="0D8CC96C" w14:textId="18A75219" w:rsidR="00937F2C" w:rsidRDefault="00056F01">
      <w:pPr>
        <w:numPr>
          <w:ilvl w:val="0"/>
          <w:numId w:val="4"/>
        </w:numPr>
        <w:ind w:left="284" w:hanging="284"/>
        <w:jc w:val="both"/>
      </w:pPr>
      <w:r>
        <w:rPr>
          <w:color w:val="222222"/>
        </w:rPr>
        <w:t>S</w:t>
      </w:r>
      <w:r>
        <w:t xml:space="preserve">právcem systému ISTA je TA ČR. Systém ISTA provozuje Dodavatel v datovém centru subdodavatelské společnosti DataSpring s.r.o. Toto datové centrum splňuje normu specifikace systému bezpečnosti informací ISO 27 001 a je pravidelně auditováno, je </w:t>
      </w:r>
      <w:r w:rsidR="006B32F9">
        <w:br/>
      </w:r>
      <w:r>
        <w:t xml:space="preserve">v souladu s certifikací TIER III a se zákonem č. 181/2014 Sb., o kybernetické bezpečnosti </w:t>
      </w:r>
      <w:r w:rsidR="006B32F9">
        <w:br/>
      </w:r>
      <w:r>
        <w:t>a o změně souvisejících zákonů (zákon o kybernetické bezpečnosti). Samotný systém ISTA prošel několika koly penetračního testování na bezpečnostní rizika dle OWASP</w:t>
      </w:r>
      <w:r>
        <w:rPr>
          <w:vertAlign w:val="superscript"/>
        </w:rPr>
        <w:footnoteReference w:id="1"/>
      </w:r>
      <w:r>
        <w:t xml:space="preserve"> Top 10 s následnou úpravou systému.</w:t>
      </w:r>
    </w:p>
    <w:p w14:paraId="6D17DB7F" w14:textId="77777777" w:rsidR="00937F2C" w:rsidRDefault="00937F2C"/>
    <w:p w14:paraId="474C77DE" w14:textId="77777777" w:rsidR="00937F2C" w:rsidRDefault="00056F01">
      <w:pPr>
        <w:numPr>
          <w:ilvl w:val="0"/>
          <w:numId w:val="4"/>
        </w:numPr>
        <w:ind w:left="284" w:hanging="284"/>
        <w:jc w:val="both"/>
      </w:pPr>
      <w:r>
        <w:t>V rámci žádosti o financování z IROP byla architektura systému ISTA posouzena Odborem hlavního architekta eGovernmentu, který vydal souhlasné stanovisko (studie je taktéž uvedena mezi vzorovými žádostmi o stanovisko na webových stránkách Ministerstva vnitra ČR). Součástí posuzované architektury bylo i provozování systému v externím datovém centru, byla uvedena i možnost poskytnutí systému dalším poskytovatelům veřejné podpory.</w:t>
      </w:r>
    </w:p>
    <w:p w14:paraId="5B9F6CAB" w14:textId="77777777" w:rsidR="00937F2C" w:rsidRDefault="00937F2C">
      <w:pPr>
        <w:ind w:left="284" w:hanging="284"/>
        <w:jc w:val="center"/>
      </w:pPr>
    </w:p>
    <w:p w14:paraId="0E18C0FA" w14:textId="77777777" w:rsidR="00937F2C" w:rsidRDefault="00937F2C"/>
    <w:p w14:paraId="66AFFD07" w14:textId="77777777" w:rsidR="00937F2C" w:rsidRDefault="00937F2C" w:rsidP="00D75587">
      <w:pPr>
        <w:numPr>
          <w:ilvl w:val="0"/>
          <w:numId w:val="11"/>
        </w:numPr>
        <w:ind w:left="567" w:firstLine="0"/>
        <w:jc w:val="center"/>
      </w:pPr>
    </w:p>
    <w:p w14:paraId="088AD6F4" w14:textId="77777777" w:rsidR="00937F2C" w:rsidRDefault="00D97E41" w:rsidP="00D97E41">
      <w:pPr>
        <w:ind w:left="3022"/>
        <w:rPr>
          <w:b/>
        </w:rPr>
      </w:pPr>
      <w:r>
        <w:rPr>
          <w:b/>
        </w:rPr>
        <w:t xml:space="preserve">        </w:t>
      </w:r>
      <w:r w:rsidR="00056F01">
        <w:rPr>
          <w:b/>
        </w:rPr>
        <w:t>Předmět dohody</w:t>
      </w:r>
    </w:p>
    <w:p w14:paraId="51650736" w14:textId="77777777" w:rsidR="00937F2C" w:rsidRDefault="00937F2C">
      <w:pPr>
        <w:ind w:left="720"/>
        <w:jc w:val="center"/>
        <w:rPr>
          <w:b/>
        </w:rPr>
      </w:pPr>
    </w:p>
    <w:p w14:paraId="2BD281C7" w14:textId="77777777" w:rsidR="00937F2C" w:rsidRDefault="00056F01">
      <w:pPr>
        <w:numPr>
          <w:ilvl w:val="0"/>
          <w:numId w:val="9"/>
        </w:numPr>
        <w:ind w:left="284"/>
        <w:jc w:val="both"/>
      </w:pPr>
      <w:r>
        <w:t>Předmětem dohody je poskytnutí ISTA k využití v rámci stávající podoby systému ze strany TA ČR k využívání MZe pro podporu plnění úkolů poskytovatele účelové podpory ve smyslu zákona č. 130/2002 Sb., zejména pak pro:</w:t>
      </w:r>
    </w:p>
    <w:p w14:paraId="45C97CFE" w14:textId="77777777" w:rsidR="00937F2C" w:rsidRDefault="00056F01">
      <w:pPr>
        <w:numPr>
          <w:ilvl w:val="0"/>
          <w:numId w:val="23"/>
        </w:numPr>
      </w:pPr>
      <w:r>
        <w:t>zajištění vyhlašování veřejných soutěží v oblasti zemědělského výzkumu</w:t>
      </w:r>
    </w:p>
    <w:p w14:paraId="5DCD03F9" w14:textId="77777777" w:rsidR="00937F2C" w:rsidRDefault="00056F01">
      <w:pPr>
        <w:numPr>
          <w:ilvl w:val="1"/>
          <w:numId w:val="23"/>
        </w:numPr>
      </w:pPr>
      <w:r>
        <w:t>úpravu formulářů pro zadání údajů návrhů projektů a jejich odeslání</w:t>
      </w:r>
    </w:p>
    <w:p w14:paraId="1D1E5049" w14:textId="77777777" w:rsidR="00937F2C" w:rsidRDefault="00056F01">
      <w:pPr>
        <w:numPr>
          <w:ilvl w:val="1"/>
          <w:numId w:val="23"/>
        </w:numPr>
      </w:pPr>
      <w:r>
        <w:t>modulu pro formální kontrolu projektů</w:t>
      </w:r>
    </w:p>
    <w:p w14:paraId="2EFAB86B" w14:textId="77777777" w:rsidR="00937F2C" w:rsidRDefault="00056F01">
      <w:pPr>
        <w:numPr>
          <w:ilvl w:val="1"/>
          <w:numId w:val="23"/>
        </w:numPr>
      </w:pPr>
      <w:r>
        <w:t>implementace procesu hodnocení návrhů projektů</w:t>
      </w:r>
    </w:p>
    <w:p w14:paraId="6381A7AD" w14:textId="77777777" w:rsidR="00937F2C" w:rsidRDefault="00056F01">
      <w:pPr>
        <w:numPr>
          <w:ilvl w:val="0"/>
          <w:numId w:val="23"/>
        </w:numPr>
      </w:pPr>
      <w:bookmarkStart w:id="1" w:name="_gjdgxs" w:colFirst="0" w:colLast="0"/>
      <w:bookmarkEnd w:id="1"/>
      <w:r>
        <w:t>zajištění sběru a třídění informací a podpůrné analytické činnosti pro hodnocení realizace programů,</w:t>
      </w:r>
    </w:p>
    <w:p w14:paraId="000A8AA4" w14:textId="77777777" w:rsidR="00937F2C" w:rsidRDefault="00056F01">
      <w:pPr>
        <w:numPr>
          <w:ilvl w:val="0"/>
          <w:numId w:val="23"/>
        </w:numPr>
      </w:pPr>
      <w:r>
        <w:t xml:space="preserve">hodnocení a kontrolu průběhu řešení projektů v rámci programů, </w:t>
      </w:r>
    </w:p>
    <w:p w14:paraId="2F75738C" w14:textId="77777777" w:rsidR="00937F2C" w:rsidRDefault="00056F01">
      <w:pPr>
        <w:numPr>
          <w:ilvl w:val="0"/>
          <w:numId w:val="23"/>
        </w:numPr>
      </w:pPr>
      <w:r>
        <w:t>hodnocení a kontrolu plnění cílů projektů a dosažených výsledků,</w:t>
      </w:r>
    </w:p>
    <w:p w14:paraId="47DE7DA7" w14:textId="77777777" w:rsidR="00937F2C" w:rsidRDefault="00056F01">
      <w:pPr>
        <w:numPr>
          <w:ilvl w:val="0"/>
          <w:numId w:val="23"/>
        </w:numPr>
      </w:pPr>
      <w:r>
        <w:t>změnová řízení,</w:t>
      </w:r>
    </w:p>
    <w:p w14:paraId="3D875532" w14:textId="77777777" w:rsidR="00937F2C" w:rsidRDefault="00056F01">
      <w:pPr>
        <w:numPr>
          <w:ilvl w:val="0"/>
          <w:numId w:val="23"/>
        </w:numPr>
      </w:pPr>
      <w:r>
        <w:t>poskytování hlášení ze strany příjemců (zprávy o řešení projektu),</w:t>
      </w:r>
    </w:p>
    <w:p w14:paraId="0BDC3DBA" w14:textId="77777777" w:rsidR="00937F2C" w:rsidRDefault="00056F01">
      <w:pPr>
        <w:numPr>
          <w:ilvl w:val="0"/>
          <w:numId w:val="23"/>
        </w:numPr>
      </w:pPr>
      <w:r>
        <w:t>komunikaci mezi poskytovatelem a příjemci (technická podpora),</w:t>
      </w:r>
    </w:p>
    <w:p w14:paraId="1B38C4E4" w14:textId="77777777" w:rsidR="00937F2C" w:rsidRPr="00D97E41" w:rsidRDefault="00056F01">
      <w:pPr>
        <w:numPr>
          <w:ilvl w:val="0"/>
          <w:numId w:val="23"/>
        </w:numPr>
      </w:pPr>
      <w:r w:rsidRPr="00D97E41">
        <w:t>oponentní řízení (zpravodajské posudky při hodnocení projektů v realizaci a po jejich ukončení),</w:t>
      </w:r>
    </w:p>
    <w:p w14:paraId="6BE61AC5" w14:textId="77777777" w:rsidR="00937F2C" w:rsidRDefault="00056F01">
      <w:pPr>
        <w:numPr>
          <w:ilvl w:val="0"/>
          <w:numId w:val="23"/>
        </w:numPr>
      </w:pPr>
      <w:r>
        <w:t>veřejnosprávní kontroly (evidence a kontrola) ,</w:t>
      </w:r>
    </w:p>
    <w:p w14:paraId="759DDD64" w14:textId="77777777" w:rsidR="00937F2C" w:rsidRDefault="00056F01">
      <w:pPr>
        <w:numPr>
          <w:ilvl w:val="0"/>
          <w:numId w:val="23"/>
        </w:numPr>
      </w:pPr>
      <w:r>
        <w:t>export dat do Informačního systému výzkumu, experimentálního vývoje a inovací podporované z veřejných prostředků ČR - registr CEP,</w:t>
      </w:r>
    </w:p>
    <w:p w14:paraId="44433FD6" w14:textId="77777777" w:rsidR="00937F2C" w:rsidRDefault="00056F01">
      <w:pPr>
        <w:numPr>
          <w:ilvl w:val="0"/>
          <w:numId w:val="23"/>
        </w:numPr>
      </w:pPr>
      <w:r>
        <w:t>zavedení možnosti manuálního vložení dat projektů v realizaci začínajících v roce 2019 včetně nezbytně nutných úprav navazujících částí systému.</w:t>
      </w:r>
    </w:p>
    <w:p w14:paraId="62F4CDFB" w14:textId="77777777" w:rsidR="00937F2C" w:rsidRDefault="00937F2C">
      <w:pPr>
        <w:rPr>
          <w:color w:val="222222"/>
        </w:rPr>
      </w:pPr>
    </w:p>
    <w:p w14:paraId="648EFCD5" w14:textId="77D91175" w:rsidR="00937F2C" w:rsidRDefault="00056F01">
      <w:pPr>
        <w:numPr>
          <w:ilvl w:val="0"/>
          <w:numId w:val="9"/>
        </w:numPr>
        <w:ind w:left="284"/>
        <w:jc w:val="both"/>
      </w:pPr>
      <w:r>
        <w:t xml:space="preserve">TA ČR poskytne metodickou pomoc a know-how a bude zajišťovat konfiguraci </w:t>
      </w:r>
      <w:r>
        <w:br/>
        <w:t>a administraci systému</w:t>
      </w:r>
      <w:r w:rsidR="003A21F3">
        <w:t xml:space="preserve"> na základě požadavků MZe</w:t>
      </w:r>
      <w:r>
        <w:t>.</w:t>
      </w:r>
    </w:p>
    <w:p w14:paraId="5C8671BC" w14:textId="77777777" w:rsidR="00937F2C" w:rsidRDefault="00937F2C">
      <w:pPr>
        <w:jc w:val="both"/>
      </w:pPr>
    </w:p>
    <w:p w14:paraId="5463183E" w14:textId="77777777" w:rsidR="00CD5994" w:rsidRDefault="00056F01">
      <w:pPr>
        <w:numPr>
          <w:ilvl w:val="0"/>
          <w:numId w:val="9"/>
        </w:numPr>
        <w:ind w:left="284"/>
        <w:jc w:val="both"/>
      </w:pPr>
      <w:r w:rsidRPr="00D97E41">
        <w:t xml:space="preserve">TA ČR v souvislosti se zpravodaji projektů veřejné soutěže programu ZEMĚ vyhlášené v roce 2019 pro </w:t>
      </w:r>
      <w:r w:rsidR="00CD5994">
        <w:t xml:space="preserve">MZe: </w:t>
      </w:r>
    </w:p>
    <w:p w14:paraId="1208BF29" w14:textId="77777777" w:rsidR="00CD5994" w:rsidRDefault="00CD5994" w:rsidP="00CD5994">
      <w:pPr>
        <w:pStyle w:val="Odstavecseseznamem"/>
      </w:pPr>
    </w:p>
    <w:p w14:paraId="2CC62AE4" w14:textId="4EA1D8E6" w:rsidR="00937F2C" w:rsidRPr="00D97E41" w:rsidRDefault="00F74E85" w:rsidP="00CD5994">
      <w:pPr>
        <w:pStyle w:val="Odstavecseseznamem"/>
        <w:numPr>
          <w:ilvl w:val="0"/>
          <w:numId w:val="30"/>
        </w:numPr>
        <w:jc w:val="both"/>
      </w:pPr>
      <w:r w:rsidRPr="00D97E41">
        <w:t xml:space="preserve">zabezpečí </w:t>
      </w:r>
      <w:r w:rsidR="00056F01" w:rsidRPr="00D97E41">
        <w:t>MZe</w:t>
      </w:r>
      <w:r>
        <w:t xml:space="preserve"> </w:t>
      </w:r>
      <w:r w:rsidRPr="00D97E41">
        <w:t>možnost registrace zpravodajů MZe do ISTA</w:t>
      </w:r>
      <w:r w:rsidR="00CD5994">
        <w:t>,</w:t>
      </w:r>
    </w:p>
    <w:p w14:paraId="0DF26E60" w14:textId="77777777" w:rsidR="00CD5994" w:rsidRPr="00697DF3" w:rsidRDefault="00CD5994" w:rsidP="00CD5994">
      <w:pPr>
        <w:numPr>
          <w:ilvl w:val="0"/>
          <w:numId w:val="30"/>
        </w:numPr>
        <w:jc w:val="both"/>
      </w:pPr>
      <w:r>
        <w:rPr>
          <w:color w:val="000000"/>
        </w:rPr>
        <w:t>zabezpečí možnost uzavření rámcové smlouvy mezi zpravodaji MZe a TA ČR,</w:t>
      </w:r>
    </w:p>
    <w:p w14:paraId="28810C21" w14:textId="77777777" w:rsidR="00CD5994" w:rsidRPr="00697DF3" w:rsidRDefault="00CD5994" w:rsidP="00CD5994">
      <w:pPr>
        <w:numPr>
          <w:ilvl w:val="0"/>
          <w:numId w:val="30"/>
        </w:numPr>
        <w:jc w:val="both"/>
      </w:pPr>
      <w:r>
        <w:rPr>
          <w:color w:val="000000"/>
        </w:rPr>
        <w:t>ve spolupráci s MZe společně zajistí vypracování zpravodajských posudků,</w:t>
      </w:r>
    </w:p>
    <w:p w14:paraId="79BB0AC0" w14:textId="77777777" w:rsidR="00CD5994" w:rsidRPr="00D97E41" w:rsidRDefault="00CD5994" w:rsidP="00CD5994">
      <w:pPr>
        <w:numPr>
          <w:ilvl w:val="0"/>
          <w:numId w:val="30"/>
        </w:numPr>
        <w:jc w:val="both"/>
      </w:pPr>
      <w:r>
        <w:rPr>
          <w:color w:val="000000"/>
        </w:rPr>
        <w:t>zabezpečí finanční odměňování zpravodajů, které bude zohledněno ve vyúčtování.</w:t>
      </w:r>
    </w:p>
    <w:p w14:paraId="3CC889B2" w14:textId="77777777" w:rsidR="00937F2C" w:rsidRDefault="00937F2C">
      <w:pPr>
        <w:ind w:left="1440"/>
        <w:jc w:val="both"/>
      </w:pPr>
    </w:p>
    <w:p w14:paraId="7457438F" w14:textId="77777777" w:rsidR="00937F2C" w:rsidRDefault="00056F01">
      <w:pPr>
        <w:numPr>
          <w:ilvl w:val="0"/>
          <w:numId w:val="9"/>
        </w:numPr>
        <w:ind w:left="284"/>
        <w:jc w:val="both"/>
      </w:pPr>
      <w:r>
        <w:t xml:space="preserve">Nastavení spolupráce mezi Dodavatelem, TA ČR a MZe a její rozsah je uveden </w:t>
      </w:r>
      <w:r>
        <w:br/>
        <w:t>v příloze č. 1 Úkony a plnění.</w:t>
      </w:r>
    </w:p>
    <w:p w14:paraId="52C7B33E" w14:textId="77777777" w:rsidR="00937F2C" w:rsidRDefault="00937F2C">
      <w:pPr>
        <w:jc w:val="both"/>
      </w:pPr>
    </w:p>
    <w:p w14:paraId="523439BF" w14:textId="77777777" w:rsidR="00937F2C" w:rsidRDefault="00056F01">
      <w:pPr>
        <w:numPr>
          <w:ilvl w:val="0"/>
          <w:numId w:val="9"/>
        </w:numPr>
        <w:ind w:left="284"/>
        <w:jc w:val="both"/>
      </w:pPr>
      <w:r>
        <w:t xml:space="preserve">TA ČR zabezpečí společně s Dodavatelem ISTA takové technické a organizační opatření, aby bylo zaručeno, že přístup k datům MZe budou mít pouze pověření zaměstnanci Dodavatele a pověření zaměstnanci TA ČR. O přístupech k datům, a jejich změnám, je vytvářena auditní stopa, kterou TA ČR poskytne MZe na vyžádání. </w:t>
      </w:r>
    </w:p>
    <w:p w14:paraId="389847A1" w14:textId="77777777" w:rsidR="00937F2C" w:rsidRDefault="00937F2C">
      <w:pPr>
        <w:jc w:val="both"/>
      </w:pPr>
    </w:p>
    <w:p w14:paraId="4500ACE7" w14:textId="029174BE" w:rsidR="00937F2C" w:rsidRDefault="00056F01">
      <w:pPr>
        <w:numPr>
          <w:ilvl w:val="0"/>
          <w:numId w:val="9"/>
        </w:numPr>
        <w:ind w:left="284"/>
        <w:jc w:val="both"/>
      </w:pPr>
      <w:r>
        <w:lastRenderedPageBreak/>
        <w:t xml:space="preserve">Dodavatel ISTA není ve smluvním vztahu s MZe, veškerá plnění tak probíhají prostřednictvím smluvního vztahu mezi TA ČR a Dodavatelem, případně jiným dodavatelem služeb pro rozvoj systému ISTA vybraným na základě veřejné zakázky vyhlášené TA ČR. </w:t>
      </w:r>
      <w:r w:rsidR="003A21F3" w:rsidRPr="003A21F3">
        <w:t>Dodavatel, popř. jiní dodavatelé služeb pro rozvoj systému ISTA jsou vůči MZe v postavení poddodavatele TA ČR a TA ČR má v tomto případě vůči MZe odpovědnost, jako by plnění dle této dohody poskytoval sám</w:t>
      </w:r>
      <w:r w:rsidR="003A21F3">
        <w:t>.</w:t>
      </w:r>
    </w:p>
    <w:p w14:paraId="45F5E359" w14:textId="77777777" w:rsidR="00937F2C" w:rsidRDefault="00937F2C">
      <w:pPr>
        <w:ind w:left="284"/>
        <w:jc w:val="both"/>
      </w:pPr>
    </w:p>
    <w:p w14:paraId="15471540" w14:textId="44401894" w:rsidR="00E013F5" w:rsidRPr="001017EB" w:rsidRDefault="00E013F5" w:rsidP="00E013F5">
      <w:pPr>
        <w:numPr>
          <w:ilvl w:val="0"/>
          <w:numId w:val="9"/>
        </w:numPr>
        <w:ind w:left="284"/>
        <w:jc w:val="both"/>
      </w:pPr>
      <w:r w:rsidRPr="001017EB">
        <w:t>TA ČR disponuje vlastnickým právem k veškerým hmotným nosičům ve vztahu k ISTA ode dne akceptace systému ISTA, tj. od 18. 12. 2017. TA ČR disponuje na základě smlouvy s Dodavatelem výhradní a nevypověditelnou licencí ke všem majetkovým právům k systému ISTA včetně jeho zdrojových kódů dle autorského zákona v neomezeném územním a časovém</w:t>
      </w:r>
      <w:r w:rsidR="00CD5994">
        <w:t xml:space="preserve"> rozsahu</w:t>
      </w:r>
      <w:r w:rsidRPr="001017EB">
        <w:t xml:space="preserve">. TA ČR tak má oprávnění ke všem způsobům užití zdrojových kódů vytvořených Dodavatelem při plnění smluvního vztahu mezi TA ČR a Dodavatelem a veškeré dokumentace k systému ISTA včetně výstupů vytvořených nebo získaných během plnění tohoto smluvního vztahu, jež podle obecně závazných právních předpisů představují práva duševního vlastnictví, včetně práva tyto výstupy měnit. TA ČR je tak oprávněn poskytnout zdrojový kód programovaných částí systému, včetně veškeré Dokumentace k informačnímu systému a další výstupy vytvořené či získané během plnění smlouvy mezi TA ČR a Dodavatelem ostatním poskytovatelům dle § 2 odst. 2 písm. a) zákona č. 130/2002 Sb., o podpoře výzkumu, experimentálního vývoje a inovací z veřejných prostředků a o změně některých souvisejících zákonů, kteří jsou organizačními složkami státu. Na základě výše uvedeného se Smluvní strany dohodly, </w:t>
      </w:r>
      <w:r w:rsidR="00CD5994">
        <w:rPr>
          <w:color w:val="000000"/>
        </w:rPr>
        <w:t>že TA ČR poskytne pro MZe systém ISTA bez licenčních poplatků</w:t>
      </w:r>
      <w:r w:rsidRPr="001017EB">
        <w:t xml:space="preserve">. MZe disponuje veškerými právy k datům, která vloží do informačního systému ISTA. TA ČR nebude tato data nijak měnit, mazat, upravovat či do nich jiným způsobem zasahovat, pokud se Smluvní strany nedohodnou jinak. TA ČR na základě výše uvedeného v tomto odstavci dohody prohlašuje, že je oprávněn poskytnout MZe veškerá plnění dle této dohody, aniž by došlo k jakémukoliv porušení práv třetích osob. </w:t>
      </w:r>
    </w:p>
    <w:p w14:paraId="2A689424" w14:textId="77777777" w:rsidR="00937F2C" w:rsidRDefault="00937F2C">
      <w:pPr>
        <w:jc w:val="both"/>
      </w:pPr>
    </w:p>
    <w:p w14:paraId="0907F1FD" w14:textId="77777777" w:rsidR="00937F2C" w:rsidRDefault="00056F01">
      <w:pPr>
        <w:numPr>
          <w:ilvl w:val="0"/>
          <w:numId w:val="9"/>
        </w:numPr>
        <w:ind w:left="284"/>
        <w:jc w:val="both"/>
      </w:pPr>
      <w:r>
        <w:t xml:space="preserve">Smluvní strany se dohodly, že TA ČR poskytne systém ISTA v podobě konfigurace, která je využívána ze strany TA ČR, přičemž nebudou vznikat rozdíly funkcionalit mezi částmi využívanými TA ČR a MZe s výjimkou konfigurace systému pro účely podpory hodnoticího procesu veřejných soutěží MZe. Pokud dojde ke změně procesu či náležitostí formuláře, TA ČR o tom bez zbytečného odkladu, alespoň 4 týdny předem, informuje MZe tak, aby nedošlo ke kolizím mezi podmínkami vyhlášenými MZe ve veřejné soutěži a funkcionalitami systému ISTA. </w:t>
      </w:r>
    </w:p>
    <w:p w14:paraId="10DB2046" w14:textId="77777777" w:rsidR="00937F2C" w:rsidRDefault="00937F2C">
      <w:pPr>
        <w:jc w:val="both"/>
      </w:pPr>
    </w:p>
    <w:p w14:paraId="4171DB19" w14:textId="0DF0E4EC" w:rsidR="00937F2C" w:rsidRDefault="00056F01">
      <w:pPr>
        <w:numPr>
          <w:ilvl w:val="0"/>
          <w:numId w:val="9"/>
        </w:numPr>
        <w:ind w:left="284"/>
        <w:jc w:val="both"/>
      </w:pPr>
      <w:r>
        <w:t>MZe uhradí náklady na jim požadovanou úpravu, provoz a rozvoj systému pro účely jeho využívání v rámci této dohody</w:t>
      </w:r>
      <w:r w:rsidR="00CD5994">
        <w:t>, a také náklady na finanční odměňování zpravodajů</w:t>
      </w:r>
      <w:r w:rsidR="006B498E">
        <w:t>.</w:t>
      </w:r>
    </w:p>
    <w:p w14:paraId="47EF145D" w14:textId="77777777" w:rsidR="00937F2C" w:rsidRDefault="00937F2C">
      <w:pPr>
        <w:ind w:left="1440"/>
        <w:jc w:val="both"/>
      </w:pPr>
    </w:p>
    <w:p w14:paraId="39ED1C29" w14:textId="58440C14" w:rsidR="00937F2C" w:rsidRDefault="00056F01">
      <w:pPr>
        <w:numPr>
          <w:ilvl w:val="0"/>
          <w:numId w:val="9"/>
        </w:numPr>
        <w:ind w:left="284"/>
        <w:jc w:val="both"/>
      </w:pPr>
      <w:r>
        <w:t xml:space="preserve">MZe se zavazuje s TA ČR konzultovat termín vyhlášení veřejné soutěže </w:t>
      </w:r>
      <w:r w:rsidR="00E013F5">
        <w:t>dle č.3 této dohody</w:t>
      </w:r>
      <w:r>
        <w:t xml:space="preserve"> </w:t>
      </w:r>
      <w:r w:rsidR="00E013F5">
        <w:t xml:space="preserve">alespoň </w:t>
      </w:r>
      <w:r>
        <w:t>3 měsíce předem a zejména se zavazuje nastavovat tyto termíny tak, aby nedošlo k vyhlašování více než jedné veřejné soutěže v systému ISTA v jeden den. MZe se zavazuje k tomu, že první veřejná soutěž od uzavření této dohody nebude vyhlášena dřív než v únoru roku 2020.</w:t>
      </w:r>
    </w:p>
    <w:p w14:paraId="06820388" w14:textId="77777777" w:rsidR="00CD5994" w:rsidRDefault="00CD5994" w:rsidP="00CD5994">
      <w:pPr>
        <w:pStyle w:val="Odstavecseseznamem"/>
      </w:pPr>
    </w:p>
    <w:p w14:paraId="6D8AF265" w14:textId="77777777" w:rsidR="00CD5994" w:rsidRDefault="00CD5994" w:rsidP="00CD5994">
      <w:pPr>
        <w:ind w:left="284"/>
        <w:jc w:val="both"/>
      </w:pPr>
    </w:p>
    <w:p w14:paraId="585E2BB5" w14:textId="77777777" w:rsidR="00937F2C" w:rsidRDefault="00937F2C">
      <w:pPr>
        <w:jc w:val="center"/>
      </w:pPr>
    </w:p>
    <w:p w14:paraId="6645B2BF" w14:textId="77777777" w:rsidR="009748E1" w:rsidRDefault="009748E1">
      <w:pPr>
        <w:jc w:val="center"/>
      </w:pPr>
    </w:p>
    <w:p w14:paraId="1AE723D4" w14:textId="77777777" w:rsidR="009748E1" w:rsidRDefault="009748E1">
      <w:pPr>
        <w:jc w:val="center"/>
      </w:pPr>
    </w:p>
    <w:p w14:paraId="305638B5" w14:textId="77777777" w:rsidR="009748E1" w:rsidRDefault="009748E1">
      <w:pPr>
        <w:jc w:val="center"/>
      </w:pPr>
    </w:p>
    <w:p w14:paraId="2FBF9E4A" w14:textId="77777777" w:rsidR="00937F2C" w:rsidRDefault="00937F2C">
      <w:pPr>
        <w:jc w:val="center"/>
      </w:pPr>
    </w:p>
    <w:p w14:paraId="6528470F" w14:textId="77777777" w:rsidR="00937F2C" w:rsidRDefault="00937F2C" w:rsidP="00D97E41">
      <w:pPr>
        <w:numPr>
          <w:ilvl w:val="0"/>
          <w:numId w:val="11"/>
        </w:numPr>
        <w:ind w:left="567" w:firstLine="0"/>
        <w:jc w:val="center"/>
      </w:pPr>
    </w:p>
    <w:p w14:paraId="553B03E8" w14:textId="77777777" w:rsidR="00937F2C" w:rsidRDefault="00D97E41" w:rsidP="00D97E41">
      <w:pPr>
        <w:ind w:left="2880" w:firstLine="720"/>
        <w:rPr>
          <w:b/>
        </w:rPr>
      </w:pPr>
      <w:r>
        <w:rPr>
          <w:b/>
        </w:rPr>
        <w:t xml:space="preserve">     </w:t>
      </w:r>
      <w:r w:rsidR="00056F01">
        <w:rPr>
          <w:b/>
        </w:rPr>
        <w:t>Evidence</w:t>
      </w:r>
    </w:p>
    <w:p w14:paraId="5411C5FA" w14:textId="77777777" w:rsidR="00937F2C" w:rsidRDefault="00937F2C">
      <w:pPr>
        <w:ind w:left="720"/>
        <w:jc w:val="center"/>
        <w:rPr>
          <w:b/>
        </w:rPr>
      </w:pPr>
    </w:p>
    <w:p w14:paraId="48E4FAD6" w14:textId="77777777" w:rsidR="00937F2C" w:rsidRDefault="00056F01">
      <w:pPr>
        <w:numPr>
          <w:ilvl w:val="0"/>
          <w:numId w:val="6"/>
        </w:numPr>
        <w:ind w:left="284"/>
        <w:jc w:val="both"/>
      </w:pPr>
      <w:r>
        <w:t>TA ČR se zavazuje vést přehled provedených úkonů a jejich časové náročnosti zaměstnanců TA ČR pro MZe a úkonů Dodavatele, ve vztahu k předmětu plnění dohody, a provést jejich vyúčtování.</w:t>
      </w:r>
    </w:p>
    <w:p w14:paraId="1377B69E" w14:textId="77777777" w:rsidR="00937F2C" w:rsidRDefault="00937F2C">
      <w:pPr>
        <w:ind w:left="-76"/>
        <w:jc w:val="both"/>
      </w:pPr>
    </w:p>
    <w:p w14:paraId="72A57AD3" w14:textId="77777777" w:rsidR="00937F2C" w:rsidRDefault="00056F01">
      <w:pPr>
        <w:numPr>
          <w:ilvl w:val="0"/>
          <w:numId w:val="6"/>
        </w:numPr>
        <w:ind w:left="284"/>
        <w:jc w:val="both"/>
      </w:pPr>
      <w:r>
        <w:t>TA ČR zašle přehled úkonů a vyúčtování za dané pololetí dle odst. 1. tohoto článku vždy do 15. července daného kalendářního roku a vždy do 15. ledna následujícího kalendářního roku. Případné kompenzace na základě udělených sankcí Dodavateli budou součástí přehledu úkonů a vyúčtování.</w:t>
      </w:r>
    </w:p>
    <w:p w14:paraId="5165F008" w14:textId="77777777" w:rsidR="00937F2C" w:rsidRDefault="00937F2C">
      <w:pPr>
        <w:jc w:val="both"/>
      </w:pPr>
    </w:p>
    <w:p w14:paraId="4EB634A7" w14:textId="06F969A9" w:rsidR="00937F2C" w:rsidRDefault="00056F01">
      <w:pPr>
        <w:numPr>
          <w:ilvl w:val="0"/>
          <w:numId w:val="6"/>
        </w:numPr>
        <w:ind w:left="284"/>
        <w:jc w:val="both"/>
      </w:pPr>
      <w:r>
        <w:t xml:space="preserve">MZe přehledy a vyúčtování vyhodnotí a provede jejich akceptace. V případě, že MZe nesouhlasí se zaslaným vyúčtováním, předá TA ČR do </w:t>
      </w:r>
      <w:r w:rsidR="00E013F5">
        <w:t>5</w:t>
      </w:r>
      <w:r>
        <w:t xml:space="preserve"> pracovních dnů připomínky k vyúčtování a TA ČR má </w:t>
      </w:r>
      <w:r w:rsidR="00E013F5">
        <w:t>5</w:t>
      </w:r>
      <w:r>
        <w:t xml:space="preserve"> pracovní</w:t>
      </w:r>
      <w:r w:rsidR="00E013F5">
        <w:t>ch</w:t>
      </w:r>
      <w:r>
        <w:t xml:space="preserve"> dn</w:t>
      </w:r>
      <w:r w:rsidR="00E013F5">
        <w:t>ů</w:t>
      </w:r>
      <w:r>
        <w:t xml:space="preserve"> na vypořádání připomínek.</w:t>
      </w:r>
    </w:p>
    <w:p w14:paraId="3F0ECB07" w14:textId="77777777" w:rsidR="00937F2C" w:rsidRDefault="00937F2C">
      <w:pPr>
        <w:jc w:val="both"/>
      </w:pPr>
    </w:p>
    <w:p w14:paraId="358F95A6" w14:textId="77777777" w:rsidR="00937F2C" w:rsidRDefault="00056F01">
      <w:pPr>
        <w:numPr>
          <w:ilvl w:val="0"/>
          <w:numId w:val="6"/>
        </w:numPr>
        <w:ind w:left="284"/>
        <w:jc w:val="both"/>
      </w:pPr>
      <w:r>
        <w:t xml:space="preserve">Zadávání a řešení požadavků, incidentů a vad probíhá přes servicedesk systému ISTA (ista.tacr.cz). V případě nedostupnosti systému hlášení probíhá pomocí emailového kontaktu istaci@tacr.cz. </w:t>
      </w:r>
    </w:p>
    <w:p w14:paraId="606CCD6E" w14:textId="77777777" w:rsidR="00937F2C" w:rsidRDefault="00937F2C">
      <w:pPr>
        <w:jc w:val="both"/>
        <w:rPr>
          <w:highlight w:val="cyan"/>
        </w:rPr>
      </w:pPr>
    </w:p>
    <w:p w14:paraId="4911E3C8" w14:textId="77777777" w:rsidR="00937F2C" w:rsidRDefault="00056F01">
      <w:pPr>
        <w:numPr>
          <w:ilvl w:val="0"/>
          <w:numId w:val="6"/>
        </w:numPr>
        <w:ind w:left="284"/>
        <w:jc w:val="both"/>
      </w:pPr>
      <w:r>
        <w:t>Kontaktní body TA ČR (servicedesk a emailový kontakt) jsou dostupné 8 hodin denně (8-16) během pracovních dnů.</w:t>
      </w:r>
    </w:p>
    <w:p w14:paraId="4E5C3BEF" w14:textId="77777777" w:rsidR="00937F2C" w:rsidRDefault="00937F2C">
      <w:pPr>
        <w:jc w:val="both"/>
      </w:pPr>
    </w:p>
    <w:p w14:paraId="43741637" w14:textId="7237644A" w:rsidR="00937F2C" w:rsidRDefault="00056F01">
      <w:pPr>
        <w:numPr>
          <w:ilvl w:val="0"/>
          <w:numId w:val="6"/>
        </w:numPr>
        <w:ind w:left="284"/>
        <w:jc w:val="both"/>
      </w:pPr>
      <w:r>
        <w:t xml:space="preserve">MZe zadává požadavky, nejméně 5 týdnů před jejich nasazením. TA ČR do dvou týdnů sdělí možný termín implementace požadavku. TA ČR zpřístupňuje implementované požadavky k určenému prostředí systému 1 týden před nasazením do produkčního provozu. Tato doba je určena pro MZe k testování. V případě, že chyby nahlášeny nejsou, TA ČR zabezpečí nasazení standardním procesem release managementu domluveným s Dodavatelem. </w:t>
      </w:r>
      <w:r>
        <w:br/>
      </w:r>
      <w:r>
        <w:br/>
        <w:t>V případě požadavku na změnu konfigurace, která je v systému dostupná vyřeší TA ČR tento požadavek do 5 pracovních dnů, pokud se s MZe nedo</w:t>
      </w:r>
      <w:r w:rsidR="00E013F5">
        <w:t>hodne</w:t>
      </w:r>
      <w:r>
        <w:t xml:space="preserve"> jinak nebo pokud si povaha požadavku bude vyžadovat delší lhůtu.</w:t>
      </w:r>
    </w:p>
    <w:p w14:paraId="57852661" w14:textId="77777777" w:rsidR="00937F2C" w:rsidRDefault="00937F2C">
      <w:pPr>
        <w:ind w:left="1440"/>
        <w:jc w:val="both"/>
      </w:pPr>
    </w:p>
    <w:p w14:paraId="2A1E2E62" w14:textId="77777777" w:rsidR="00937F2C" w:rsidRDefault="00056F01">
      <w:pPr>
        <w:numPr>
          <w:ilvl w:val="0"/>
          <w:numId w:val="6"/>
        </w:numPr>
        <w:ind w:left="284"/>
        <w:jc w:val="both"/>
      </w:pPr>
      <w:r>
        <w:t>Požadavky jsou zařazovány mezi ostatní požadavky na systém.</w:t>
      </w:r>
    </w:p>
    <w:p w14:paraId="62E62297" w14:textId="77777777" w:rsidR="00937F2C" w:rsidRDefault="00937F2C">
      <w:pPr>
        <w:ind w:left="1440"/>
        <w:jc w:val="both"/>
      </w:pPr>
    </w:p>
    <w:p w14:paraId="31C9F584" w14:textId="77777777" w:rsidR="00937F2C" w:rsidRDefault="00056F01">
      <w:pPr>
        <w:numPr>
          <w:ilvl w:val="0"/>
          <w:numId w:val="6"/>
        </w:numPr>
        <w:ind w:left="284"/>
        <w:jc w:val="both"/>
      </w:pPr>
      <w:r>
        <w:t>TA ČR si vyhrazuje právo odmítnout požadavek, který by byl v konfliktu s vyhlašováním a realizací veřejných soutěží TA ČR a dalších soutěží administrovaných v ISTA.</w:t>
      </w:r>
    </w:p>
    <w:p w14:paraId="2BDC89B1" w14:textId="77777777" w:rsidR="00937F2C" w:rsidRDefault="00937F2C">
      <w:pPr>
        <w:jc w:val="both"/>
      </w:pPr>
    </w:p>
    <w:p w14:paraId="469B22BE" w14:textId="77777777" w:rsidR="00937F2C" w:rsidRDefault="00056F01">
      <w:pPr>
        <w:numPr>
          <w:ilvl w:val="0"/>
          <w:numId w:val="6"/>
        </w:numPr>
        <w:ind w:left="284"/>
        <w:jc w:val="both"/>
      </w:pPr>
      <w:r>
        <w:t xml:space="preserve">Kategorie vad, lhůty pro odpověď nahlášených vad a lhůty pro odstranění vad </w:t>
      </w:r>
    </w:p>
    <w:p w14:paraId="4890ABE3" w14:textId="77777777" w:rsidR="00937F2C" w:rsidRDefault="00937F2C">
      <w:pPr>
        <w:jc w:val="both"/>
      </w:pPr>
    </w:p>
    <w:p w14:paraId="711F0DA3" w14:textId="77777777" w:rsidR="00937F2C" w:rsidRDefault="00056F01">
      <w:pPr>
        <w:jc w:val="both"/>
      </w:pPr>
      <w:r>
        <w:t>9.1. Kategorie vad</w:t>
      </w:r>
    </w:p>
    <w:p w14:paraId="4F5B0ED0" w14:textId="77777777" w:rsidR="00937F2C" w:rsidRDefault="00937F2C">
      <w:pPr>
        <w:jc w:val="both"/>
      </w:pPr>
    </w:p>
    <w:p w14:paraId="73543147" w14:textId="77777777" w:rsidR="00937F2C" w:rsidRDefault="00056F01">
      <w:pPr>
        <w:jc w:val="both"/>
      </w:pPr>
      <w:r>
        <w:t>Vady jsou rozděleny do následujících kategorií podle závažnosti:</w:t>
      </w:r>
    </w:p>
    <w:p w14:paraId="7FF36A53" w14:textId="77777777" w:rsidR="00937F2C" w:rsidRDefault="00937F2C">
      <w:pPr>
        <w:jc w:val="both"/>
      </w:pPr>
    </w:p>
    <w:p w14:paraId="3842E3F8" w14:textId="77777777" w:rsidR="00937F2C" w:rsidRDefault="00056F01">
      <w:pPr>
        <w:jc w:val="both"/>
      </w:pPr>
      <w:r>
        <w:t>„Kategorie A” znamená nejzávažnější vadu, v jejímž důsledku je ISTA nebo jakákoliv jeho podstatná část zcela nefunkční nebo taková vada, která znemožňuje MZe (či uživatelům) užívat ISTA nebo jakoukoli podstatnou část ISTA.</w:t>
      </w:r>
    </w:p>
    <w:p w14:paraId="793077A2" w14:textId="77777777" w:rsidR="00937F2C" w:rsidRDefault="00937F2C">
      <w:pPr>
        <w:jc w:val="both"/>
      </w:pPr>
    </w:p>
    <w:p w14:paraId="536A7A30" w14:textId="77777777" w:rsidR="00937F2C" w:rsidRDefault="00056F01">
      <w:pPr>
        <w:jc w:val="both"/>
      </w:pPr>
      <w:r>
        <w:t>„Kategorie B” znamená částečnou ztrátu funkcionality ISTA nebo jinou vadu, v jejímž důsledku je využití ISTA omezeno, avšak částečná ztráta funkcionality může být provizorně (např. s vynaložením většího úsilí či se zvýšenými náklady) nahrazena jinou funkcí ISTA (a nejedná se přitom o podstatnou část ISTA a není značně ztíženo užívání ISTA).</w:t>
      </w:r>
    </w:p>
    <w:p w14:paraId="36DE527D" w14:textId="77777777" w:rsidR="00937F2C" w:rsidRDefault="00937F2C">
      <w:pPr>
        <w:jc w:val="both"/>
      </w:pPr>
    </w:p>
    <w:p w14:paraId="0A0F5117" w14:textId="77777777" w:rsidR="00937F2C" w:rsidRDefault="00056F01">
      <w:pPr>
        <w:jc w:val="both"/>
      </w:pPr>
      <w:r>
        <w:t>„Kategorie C” znamená vadu, která nebrání nebo má zcela minimální vliv na řádné užívání ISTA ze strany MZe (či uživatelů).</w:t>
      </w:r>
    </w:p>
    <w:p w14:paraId="08A6A45E" w14:textId="77777777" w:rsidR="00937F2C" w:rsidRDefault="00937F2C">
      <w:pPr>
        <w:jc w:val="both"/>
      </w:pPr>
    </w:p>
    <w:p w14:paraId="7BFC68C9" w14:textId="77777777" w:rsidR="00937F2C" w:rsidRDefault="00056F01">
      <w:pPr>
        <w:jc w:val="both"/>
      </w:pPr>
      <w:r>
        <w:t>Závažnost vady sdělí MZe TA ČR při nahlášení vady.</w:t>
      </w:r>
    </w:p>
    <w:p w14:paraId="1D4CE188" w14:textId="77777777" w:rsidR="00937F2C" w:rsidRDefault="00937F2C">
      <w:pPr>
        <w:jc w:val="both"/>
        <w:rPr>
          <w:shd w:val="clear" w:color="auto" w:fill="F9CB9C"/>
        </w:rPr>
      </w:pPr>
    </w:p>
    <w:p w14:paraId="2974D149" w14:textId="77777777" w:rsidR="00937F2C" w:rsidRDefault="00056F01">
      <w:pPr>
        <w:jc w:val="both"/>
      </w:pPr>
      <w:r>
        <w:t>9.2 Lhůty pro odpověď nahlášených vad a lhůty pro odstranění vad jsou v rámci dostupnosti kontaktních bodů TA ČR následující:</w:t>
      </w:r>
    </w:p>
    <w:p w14:paraId="7C660A63" w14:textId="77777777" w:rsidR="00E013F5" w:rsidRDefault="00E013F5">
      <w:pPr>
        <w:jc w:val="both"/>
      </w:pPr>
    </w:p>
    <w:p w14:paraId="018D9DD0" w14:textId="77777777" w:rsidR="00937F2C" w:rsidRDefault="00937F2C">
      <w:pPr>
        <w:jc w:val="both"/>
      </w:pPr>
    </w:p>
    <w:tbl>
      <w:tblPr>
        <w:tblStyle w:val="a"/>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2268"/>
        <w:gridCol w:w="2268"/>
        <w:gridCol w:w="2268"/>
      </w:tblGrid>
      <w:tr w:rsidR="00937F2C" w14:paraId="0BC1143C" w14:textId="77777777">
        <w:tc>
          <w:tcPr>
            <w:tcW w:w="2268" w:type="dxa"/>
            <w:shd w:val="clear" w:color="auto" w:fill="auto"/>
            <w:tcMar>
              <w:top w:w="100" w:type="dxa"/>
              <w:left w:w="100" w:type="dxa"/>
              <w:bottom w:w="100" w:type="dxa"/>
              <w:right w:w="100" w:type="dxa"/>
            </w:tcMar>
          </w:tcPr>
          <w:p w14:paraId="30EBE232" w14:textId="77777777" w:rsidR="00937F2C" w:rsidRDefault="00056F01">
            <w:pPr>
              <w:widowControl w:val="0"/>
              <w:pBdr>
                <w:top w:val="nil"/>
                <w:left w:val="nil"/>
                <w:bottom w:val="nil"/>
                <w:right w:val="nil"/>
                <w:between w:val="nil"/>
              </w:pBdr>
            </w:pPr>
            <w:r>
              <w:t>Kategorie vady</w:t>
            </w:r>
          </w:p>
        </w:tc>
        <w:tc>
          <w:tcPr>
            <w:tcW w:w="2268" w:type="dxa"/>
            <w:shd w:val="clear" w:color="auto" w:fill="auto"/>
            <w:tcMar>
              <w:top w:w="100" w:type="dxa"/>
              <w:left w:w="100" w:type="dxa"/>
              <w:bottom w:w="100" w:type="dxa"/>
              <w:right w:w="100" w:type="dxa"/>
            </w:tcMar>
          </w:tcPr>
          <w:p w14:paraId="64516364" w14:textId="77777777" w:rsidR="00937F2C" w:rsidRDefault="00056F01">
            <w:pPr>
              <w:widowControl w:val="0"/>
              <w:pBdr>
                <w:top w:val="nil"/>
                <w:left w:val="nil"/>
                <w:bottom w:val="nil"/>
                <w:right w:val="nil"/>
                <w:between w:val="nil"/>
              </w:pBdr>
            </w:pPr>
            <w:r>
              <w:t>Lhůta pro odpověď (počas pracovní doby)</w:t>
            </w:r>
          </w:p>
        </w:tc>
        <w:tc>
          <w:tcPr>
            <w:tcW w:w="2268" w:type="dxa"/>
            <w:shd w:val="clear" w:color="auto" w:fill="auto"/>
            <w:tcMar>
              <w:top w:w="100" w:type="dxa"/>
              <w:left w:w="100" w:type="dxa"/>
              <w:bottom w:w="100" w:type="dxa"/>
              <w:right w:w="100" w:type="dxa"/>
            </w:tcMar>
          </w:tcPr>
          <w:p w14:paraId="215EE6C2" w14:textId="77777777" w:rsidR="00937F2C" w:rsidRDefault="00056F01">
            <w:pPr>
              <w:widowControl w:val="0"/>
              <w:pBdr>
                <w:top w:val="nil"/>
                <w:left w:val="nil"/>
                <w:bottom w:val="nil"/>
                <w:right w:val="nil"/>
                <w:between w:val="nil"/>
              </w:pBdr>
            </w:pPr>
            <w:r>
              <w:t>Lhůta pro odstranění vady (počas pracovní  doby)</w:t>
            </w:r>
          </w:p>
        </w:tc>
        <w:tc>
          <w:tcPr>
            <w:tcW w:w="2268" w:type="dxa"/>
            <w:shd w:val="clear" w:color="auto" w:fill="auto"/>
            <w:tcMar>
              <w:top w:w="100" w:type="dxa"/>
              <w:left w:w="100" w:type="dxa"/>
              <w:bottom w:w="100" w:type="dxa"/>
              <w:right w:w="100" w:type="dxa"/>
            </w:tcMar>
          </w:tcPr>
          <w:p w14:paraId="50C7602A" w14:textId="77777777" w:rsidR="00937F2C" w:rsidRDefault="00056F01">
            <w:pPr>
              <w:widowControl w:val="0"/>
              <w:pBdr>
                <w:top w:val="nil"/>
                <w:left w:val="nil"/>
                <w:bottom w:val="nil"/>
                <w:right w:val="nil"/>
                <w:between w:val="nil"/>
              </w:pBdr>
            </w:pPr>
            <w:r>
              <w:t>Perioda průběžných informací</w:t>
            </w:r>
          </w:p>
        </w:tc>
      </w:tr>
      <w:tr w:rsidR="00937F2C" w14:paraId="562D76E3" w14:textId="77777777">
        <w:tc>
          <w:tcPr>
            <w:tcW w:w="2268" w:type="dxa"/>
            <w:shd w:val="clear" w:color="auto" w:fill="auto"/>
            <w:tcMar>
              <w:top w:w="100" w:type="dxa"/>
              <w:left w:w="100" w:type="dxa"/>
              <w:bottom w:w="100" w:type="dxa"/>
              <w:right w:w="100" w:type="dxa"/>
            </w:tcMar>
          </w:tcPr>
          <w:p w14:paraId="093207A2" w14:textId="77777777" w:rsidR="00937F2C" w:rsidRDefault="00056F01">
            <w:pPr>
              <w:widowControl w:val="0"/>
              <w:pBdr>
                <w:top w:val="nil"/>
                <w:left w:val="nil"/>
                <w:bottom w:val="nil"/>
                <w:right w:val="nil"/>
                <w:between w:val="nil"/>
              </w:pBdr>
            </w:pPr>
            <w:r>
              <w:t>Kategorie A</w:t>
            </w:r>
          </w:p>
        </w:tc>
        <w:tc>
          <w:tcPr>
            <w:tcW w:w="2268" w:type="dxa"/>
            <w:shd w:val="clear" w:color="auto" w:fill="auto"/>
            <w:tcMar>
              <w:top w:w="100" w:type="dxa"/>
              <w:left w:w="100" w:type="dxa"/>
              <w:bottom w:w="100" w:type="dxa"/>
              <w:right w:w="100" w:type="dxa"/>
            </w:tcMar>
          </w:tcPr>
          <w:p w14:paraId="5F5B906A" w14:textId="77777777" w:rsidR="00937F2C" w:rsidRDefault="00056F01">
            <w:pPr>
              <w:widowControl w:val="0"/>
              <w:pBdr>
                <w:top w:val="nil"/>
                <w:left w:val="nil"/>
                <w:bottom w:val="nil"/>
                <w:right w:val="nil"/>
                <w:between w:val="nil"/>
              </w:pBdr>
            </w:pPr>
            <w:r>
              <w:t xml:space="preserve"> Do 30 minut</w:t>
            </w:r>
          </w:p>
        </w:tc>
        <w:tc>
          <w:tcPr>
            <w:tcW w:w="2268" w:type="dxa"/>
            <w:shd w:val="clear" w:color="auto" w:fill="auto"/>
            <w:tcMar>
              <w:top w:w="100" w:type="dxa"/>
              <w:left w:w="100" w:type="dxa"/>
              <w:bottom w:w="100" w:type="dxa"/>
              <w:right w:w="100" w:type="dxa"/>
            </w:tcMar>
          </w:tcPr>
          <w:p w14:paraId="56C0260C" w14:textId="77777777" w:rsidR="00937F2C" w:rsidRDefault="00056F01">
            <w:pPr>
              <w:widowControl w:val="0"/>
              <w:pBdr>
                <w:top w:val="nil"/>
                <w:left w:val="nil"/>
                <w:bottom w:val="nil"/>
                <w:right w:val="nil"/>
                <w:between w:val="nil"/>
              </w:pBdr>
            </w:pPr>
            <w:r>
              <w:t>24 hodin pro provizorní řešení vady a 5 dnů pro trvalé odstranění</w:t>
            </w:r>
          </w:p>
          <w:p w14:paraId="248077A6" w14:textId="77777777" w:rsidR="00937F2C" w:rsidRDefault="00056F01">
            <w:pPr>
              <w:widowControl w:val="0"/>
              <w:pBdr>
                <w:top w:val="nil"/>
                <w:left w:val="nil"/>
                <w:bottom w:val="nil"/>
                <w:right w:val="nil"/>
                <w:between w:val="nil"/>
              </w:pBdr>
            </w:pPr>
            <w:r>
              <w:t>vady.</w:t>
            </w:r>
          </w:p>
        </w:tc>
        <w:tc>
          <w:tcPr>
            <w:tcW w:w="2268" w:type="dxa"/>
            <w:shd w:val="clear" w:color="auto" w:fill="auto"/>
            <w:tcMar>
              <w:top w:w="100" w:type="dxa"/>
              <w:left w:w="100" w:type="dxa"/>
              <w:bottom w:w="100" w:type="dxa"/>
              <w:right w:w="100" w:type="dxa"/>
            </w:tcMar>
          </w:tcPr>
          <w:p w14:paraId="6F7AD43F" w14:textId="77777777" w:rsidR="00937F2C" w:rsidRDefault="00056F01">
            <w:pPr>
              <w:widowControl w:val="0"/>
              <w:pBdr>
                <w:top w:val="nil"/>
                <w:left w:val="nil"/>
                <w:bottom w:val="nil"/>
                <w:right w:val="nil"/>
                <w:between w:val="nil"/>
              </w:pBdr>
            </w:pPr>
            <w:r>
              <w:t>Každý den až do trvalého odstranění vady.</w:t>
            </w:r>
          </w:p>
        </w:tc>
      </w:tr>
      <w:tr w:rsidR="00937F2C" w14:paraId="0D3107F7" w14:textId="77777777">
        <w:tc>
          <w:tcPr>
            <w:tcW w:w="2268" w:type="dxa"/>
            <w:shd w:val="clear" w:color="auto" w:fill="auto"/>
            <w:tcMar>
              <w:top w:w="100" w:type="dxa"/>
              <w:left w:w="100" w:type="dxa"/>
              <w:bottom w:w="100" w:type="dxa"/>
              <w:right w:w="100" w:type="dxa"/>
            </w:tcMar>
          </w:tcPr>
          <w:p w14:paraId="2936C200" w14:textId="77777777" w:rsidR="00937F2C" w:rsidRDefault="00056F01">
            <w:pPr>
              <w:widowControl w:val="0"/>
              <w:pBdr>
                <w:top w:val="nil"/>
                <w:left w:val="nil"/>
                <w:bottom w:val="nil"/>
                <w:right w:val="nil"/>
                <w:between w:val="nil"/>
              </w:pBdr>
            </w:pPr>
            <w:r>
              <w:t>Kategorie B</w:t>
            </w:r>
          </w:p>
        </w:tc>
        <w:tc>
          <w:tcPr>
            <w:tcW w:w="2268" w:type="dxa"/>
            <w:shd w:val="clear" w:color="auto" w:fill="auto"/>
            <w:tcMar>
              <w:top w:w="100" w:type="dxa"/>
              <w:left w:w="100" w:type="dxa"/>
              <w:bottom w:w="100" w:type="dxa"/>
              <w:right w:w="100" w:type="dxa"/>
            </w:tcMar>
          </w:tcPr>
          <w:p w14:paraId="34BD442E" w14:textId="77777777" w:rsidR="00937F2C" w:rsidRDefault="00056F01">
            <w:pPr>
              <w:widowControl w:val="0"/>
              <w:pBdr>
                <w:top w:val="nil"/>
                <w:left w:val="nil"/>
                <w:bottom w:val="nil"/>
                <w:right w:val="nil"/>
                <w:between w:val="nil"/>
              </w:pBdr>
            </w:pPr>
            <w:r>
              <w:t>Do 4 hodin</w:t>
            </w:r>
          </w:p>
        </w:tc>
        <w:tc>
          <w:tcPr>
            <w:tcW w:w="2268" w:type="dxa"/>
            <w:shd w:val="clear" w:color="auto" w:fill="auto"/>
            <w:tcMar>
              <w:top w:w="100" w:type="dxa"/>
              <w:left w:w="100" w:type="dxa"/>
              <w:bottom w:w="100" w:type="dxa"/>
              <w:right w:w="100" w:type="dxa"/>
            </w:tcMar>
          </w:tcPr>
          <w:p w14:paraId="5BED6BCE" w14:textId="77777777" w:rsidR="00937F2C" w:rsidRDefault="00056F01">
            <w:pPr>
              <w:widowControl w:val="0"/>
              <w:pBdr>
                <w:top w:val="nil"/>
                <w:left w:val="nil"/>
                <w:bottom w:val="nil"/>
                <w:right w:val="nil"/>
                <w:between w:val="nil"/>
              </w:pBdr>
            </w:pPr>
            <w:r>
              <w:t>2 dny pro provizorní</w:t>
            </w:r>
          </w:p>
          <w:p w14:paraId="3E4DA889" w14:textId="77777777" w:rsidR="00937F2C" w:rsidRDefault="00056F01">
            <w:pPr>
              <w:widowControl w:val="0"/>
              <w:pBdr>
                <w:top w:val="nil"/>
                <w:left w:val="nil"/>
                <w:bottom w:val="nil"/>
                <w:right w:val="nil"/>
                <w:between w:val="nil"/>
              </w:pBdr>
            </w:pPr>
            <w:r>
              <w:t>řešení vady a 8 dnů</w:t>
            </w:r>
          </w:p>
          <w:p w14:paraId="44475C6C" w14:textId="77777777" w:rsidR="00937F2C" w:rsidRDefault="00056F01">
            <w:pPr>
              <w:widowControl w:val="0"/>
              <w:pBdr>
                <w:top w:val="nil"/>
                <w:left w:val="nil"/>
                <w:bottom w:val="nil"/>
                <w:right w:val="nil"/>
                <w:between w:val="nil"/>
              </w:pBdr>
            </w:pPr>
            <w:r>
              <w:t>pro trvalé odstranění</w:t>
            </w:r>
          </w:p>
          <w:p w14:paraId="00B16E1C" w14:textId="77777777" w:rsidR="00937F2C" w:rsidRDefault="00056F01">
            <w:pPr>
              <w:widowControl w:val="0"/>
              <w:pBdr>
                <w:top w:val="nil"/>
                <w:left w:val="nil"/>
                <w:bottom w:val="nil"/>
                <w:right w:val="nil"/>
                <w:between w:val="nil"/>
              </w:pBdr>
            </w:pPr>
            <w:r>
              <w:t>vady.</w:t>
            </w:r>
          </w:p>
        </w:tc>
        <w:tc>
          <w:tcPr>
            <w:tcW w:w="2268" w:type="dxa"/>
            <w:shd w:val="clear" w:color="auto" w:fill="auto"/>
            <w:tcMar>
              <w:top w:w="100" w:type="dxa"/>
              <w:left w:w="100" w:type="dxa"/>
              <w:bottom w:w="100" w:type="dxa"/>
              <w:right w:w="100" w:type="dxa"/>
            </w:tcMar>
          </w:tcPr>
          <w:p w14:paraId="31D9D79A" w14:textId="77777777" w:rsidR="00937F2C" w:rsidRDefault="00056F01">
            <w:pPr>
              <w:widowControl w:val="0"/>
            </w:pPr>
            <w:r>
              <w:t>Každý den až do trvalého odstranění vady.</w:t>
            </w:r>
          </w:p>
        </w:tc>
      </w:tr>
      <w:tr w:rsidR="00937F2C" w14:paraId="289A105A" w14:textId="77777777">
        <w:tc>
          <w:tcPr>
            <w:tcW w:w="2268" w:type="dxa"/>
            <w:shd w:val="clear" w:color="auto" w:fill="auto"/>
            <w:tcMar>
              <w:top w:w="100" w:type="dxa"/>
              <w:left w:w="100" w:type="dxa"/>
              <w:bottom w:w="100" w:type="dxa"/>
              <w:right w:w="100" w:type="dxa"/>
            </w:tcMar>
          </w:tcPr>
          <w:p w14:paraId="2D0B459E" w14:textId="77777777" w:rsidR="00937F2C" w:rsidRDefault="00056F01">
            <w:pPr>
              <w:widowControl w:val="0"/>
              <w:pBdr>
                <w:top w:val="nil"/>
                <w:left w:val="nil"/>
                <w:bottom w:val="nil"/>
                <w:right w:val="nil"/>
                <w:between w:val="nil"/>
              </w:pBdr>
            </w:pPr>
            <w:r>
              <w:t>Kategorie C</w:t>
            </w:r>
          </w:p>
        </w:tc>
        <w:tc>
          <w:tcPr>
            <w:tcW w:w="2268" w:type="dxa"/>
            <w:shd w:val="clear" w:color="auto" w:fill="auto"/>
            <w:tcMar>
              <w:top w:w="100" w:type="dxa"/>
              <w:left w:w="100" w:type="dxa"/>
              <w:bottom w:w="100" w:type="dxa"/>
              <w:right w:w="100" w:type="dxa"/>
            </w:tcMar>
          </w:tcPr>
          <w:p w14:paraId="247A870B" w14:textId="77777777" w:rsidR="00937F2C" w:rsidRDefault="00056F01">
            <w:pPr>
              <w:widowControl w:val="0"/>
              <w:pBdr>
                <w:top w:val="nil"/>
                <w:left w:val="nil"/>
                <w:bottom w:val="nil"/>
                <w:right w:val="nil"/>
                <w:between w:val="nil"/>
              </w:pBdr>
            </w:pPr>
            <w:r>
              <w:t>Do 1 dne</w:t>
            </w:r>
          </w:p>
        </w:tc>
        <w:tc>
          <w:tcPr>
            <w:tcW w:w="2268" w:type="dxa"/>
            <w:shd w:val="clear" w:color="auto" w:fill="auto"/>
            <w:tcMar>
              <w:top w:w="100" w:type="dxa"/>
              <w:left w:w="100" w:type="dxa"/>
              <w:bottom w:w="100" w:type="dxa"/>
              <w:right w:w="100" w:type="dxa"/>
            </w:tcMar>
          </w:tcPr>
          <w:p w14:paraId="0B9B7B84" w14:textId="77777777" w:rsidR="00937F2C" w:rsidRDefault="00056F01">
            <w:pPr>
              <w:widowControl w:val="0"/>
              <w:pBdr>
                <w:top w:val="nil"/>
                <w:left w:val="nil"/>
                <w:bottom w:val="nil"/>
                <w:right w:val="nil"/>
                <w:between w:val="nil"/>
              </w:pBdr>
            </w:pPr>
            <w:r>
              <w:t>10 dní pro trvalé</w:t>
            </w:r>
          </w:p>
          <w:p w14:paraId="66DE2FDC" w14:textId="77777777" w:rsidR="00937F2C" w:rsidRDefault="00056F01">
            <w:pPr>
              <w:widowControl w:val="0"/>
              <w:pBdr>
                <w:top w:val="nil"/>
                <w:left w:val="nil"/>
                <w:bottom w:val="nil"/>
                <w:right w:val="nil"/>
                <w:between w:val="nil"/>
              </w:pBdr>
            </w:pPr>
            <w:r>
              <w:t>odstranění vady.</w:t>
            </w:r>
          </w:p>
        </w:tc>
        <w:tc>
          <w:tcPr>
            <w:tcW w:w="2268" w:type="dxa"/>
            <w:shd w:val="clear" w:color="auto" w:fill="auto"/>
            <w:tcMar>
              <w:top w:w="100" w:type="dxa"/>
              <w:left w:w="100" w:type="dxa"/>
              <w:bottom w:w="100" w:type="dxa"/>
              <w:right w:w="100" w:type="dxa"/>
            </w:tcMar>
          </w:tcPr>
          <w:p w14:paraId="74DEF641" w14:textId="77777777" w:rsidR="00937F2C" w:rsidRDefault="00056F01">
            <w:pPr>
              <w:widowControl w:val="0"/>
              <w:pBdr>
                <w:top w:val="nil"/>
                <w:left w:val="nil"/>
                <w:bottom w:val="nil"/>
                <w:right w:val="nil"/>
                <w:between w:val="nil"/>
              </w:pBdr>
            </w:pPr>
            <w:r>
              <w:t>Není stanovena.</w:t>
            </w:r>
          </w:p>
        </w:tc>
      </w:tr>
    </w:tbl>
    <w:p w14:paraId="39722689" w14:textId="44CE2F2E" w:rsidR="00937F2C" w:rsidRDefault="00E013F5" w:rsidP="00E013F5">
      <w:pPr>
        <w:jc w:val="both"/>
      </w:pPr>
      <w:r>
        <w:t xml:space="preserve">9.3 TA ČR v případě prodlení svého dodavatele s odstraněním vad mu vyúčtuje majetkové sankce, o jejichž výši bude </w:t>
      </w:r>
      <w:r w:rsidR="00CD5994">
        <w:t xml:space="preserve">poměrně </w:t>
      </w:r>
      <w:r>
        <w:t xml:space="preserve">poníženo vyúčtování za poskytnuté plnění za příslušný kalendářní rok. </w:t>
      </w:r>
    </w:p>
    <w:p w14:paraId="520F5E59" w14:textId="77777777" w:rsidR="00E013F5" w:rsidRDefault="00E013F5">
      <w:pPr>
        <w:jc w:val="both"/>
      </w:pPr>
    </w:p>
    <w:p w14:paraId="6B3D2770" w14:textId="77777777" w:rsidR="00937F2C" w:rsidRDefault="00056F01">
      <w:pPr>
        <w:numPr>
          <w:ilvl w:val="0"/>
          <w:numId w:val="6"/>
        </w:numPr>
        <w:ind w:left="284"/>
        <w:jc w:val="both"/>
      </w:pPr>
      <w:r>
        <w:t>Dokumentace systému probíhá v rozsahu uvedeném v Příloze č. 2 této dohody - Rozsah dokumentace systému. Veškerá dokumentace k systému ISTA je v elektronické podobě.</w:t>
      </w:r>
    </w:p>
    <w:p w14:paraId="241EF371" w14:textId="77777777" w:rsidR="00937F2C" w:rsidRDefault="00937F2C">
      <w:pPr>
        <w:jc w:val="both"/>
        <w:rPr>
          <w:highlight w:val="yellow"/>
        </w:rPr>
      </w:pPr>
    </w:p>
    <w:p w14:paraId="526E045A" w14:textId="77777777" w:rsidR="00937F2C" w:rsidRDefault="00937F2C">
      <w:pPr>
        <w:jc w:val="both"/>
        <w:rPr>
          <w:highlight w:val="yellow"/>
        </w:rPr>
      </w:pPr>
    </w:p>
    <w:p w14:paraId="61A9C36A" w14:textId="77777777" w:rsidR="00937F2C" w:rsidRDefault="00056F01">
      <w:pPr>
        <w:ind w:left="720"/>
        <w:jc w:val="center"/>
        <w:rPr>
          <w:b/>
        </w:rPr>
      </w:pPr>
      <w:r>
        <w:rPr>
          <w:b/>
        </w:rPr>
        <w:t>Článek 5.</w:t>
      </w:r>
    </w:p>
    <w:p w14:paraId="48BAA7BA" w14:textId="77777777" w:rsidR="00937F2C" w:rsidRDefault="00056F01">
      <w:pPr>
        <w:ind w:left="720"/>
        <w:jc w:val="center"/>
        <w:rPr>
          <w:b/>
        </w:rPr>
      </w:pPr>
      <w:r>
        <w:rPr>
          <w:b/>
        </w:rPr>
        <w:t>Finanční zabezpečení</w:t>
      </w:r>
    </w:p>
    <w:p w14:paraId="3BC16BD4" w14:textId="77777777" w:rsidR="00937F2C" w:rsidRDefault="00937F2C">
      <w:pPr>
        <w:ind w:left="720"/>
        <w:jc w:val="center"/>
      </w:pPr>
    </w:p>
    <w:p w14:paraId="06527504" w14:textId="77777777" w:rsidR="00937F2C" w:rsidRDefault="00937F2C">
      <w:pPr>
        <w:ind w:left="720"/>
      </w:pPr>
    </w:p>
    <w:p w14:paraId="245FDB7E" w14:textId="06DF2833" w:rsidR="00937F2C" w:rsidRDefault="00056F01" w:rsidP="00607A5E">
      <w:pPr>
        <w:numPr>
          <w:ilvl w:val="0"/>
          <w:numId w:val="24"/>
        </w:numPr>
        <w:ind w:left="284"/>
        <w:jc w:val="both"/>
      </w:pPr>
      <w:r>
        <w:lastRenderedPageBreak/>
        <w:t>Smluvní strany se dohodly, že finanční prostředky související s ISTA podle čl. 3 odstavce 7 budou na základě rozpočtového opatření Ministerstva financí České republiky převedeny z rozpočtové kapitoly MZe do rozpočtové kapitoly TA ČR. MZe se zavazuje požádat Ministerstvo financí ČR o provedení rozpočtového opatření ve lhůtě do 31. ledna</w:t>
      </w:r>
      <w:r w:rsidR="000278FF">
        <w:t xml:space="preserve"> 202</w:t>
      </w:r>
      <w:r w:rsidR="00015301">
        <w:t>0</w:t>
      </w:r>
      <w:r>
        <w:t>,</w:t>
      </w:r>
      <w:r w:rsidR="00607A5E">
        <w:t xml:space="preserve"> </w:t>
      </w:r>
      <w:r>
        <w:t>nejpozději však do 15. února</w:t>
      </w:r>
      <w:r w:rsidR="00015301">
        <w:t xml:space="preserve"> 2020</w:t>
      </w:r>
      <w:r>
        <w:t xml:space="preserve">. Výše finančních prostředků za poskytnutí ISTA se stanoví na základě odhadu požadovaných plnění pro </w:t>
      </w:r>
      <w:r w:rsidR="00015301">
        <w:t>příští kalendářní rok</w:t>
      </w:r>
      <w:r>
        <w:t>. Předpokládaná pracnost plnění je uvedena v Příloze č. 1.</w:t>
      </w:r>
    </w:p>
    <w:p w14:paraId="0C743DBA" w14:textId="77777777" w:rsidR="00937F2C" w:rsidRDefault="00937F2C">
      <w:pPr>
        <w:jc w:val="both"/>
      </w:pPr>
      <w:bookmarkStart w:id="2" w:name="_30j0zll" w:colFirst="0" w:colLast="0"/>
      <w:bookmarkEnd w:id="2"/>
    </w:p>
    <w:p w14:paraId="6270D0F3" w14:textId="77777777" w:rsidR="00937F2C" w:rsidRDefault="00056F01">
      <w:pPr>
        <w:numPr>
          <w:ilvl w:val="0"/>
          <w:numId w:val="24"/>
        </w:numPr>
        <w:ind w:left="284"/>
        <w:jc w:val="both"/>
      </w:pPr>
      <w:r>
        <w:t>Objem převáděných prostředků bude stanoven na základě finančního ohodnocení dle Přílohy 1 čl. 2., které vypracuje TA ČR a akceptuje MZe.</w:t>
      </w:r>
    </w:p>
    <w:p w14:paraId="1D0CE5F4" w14:textId="77777777" w:rsidR="00937F2C" w:rsidRDefault="00937F2C">
      <w:pPr>
        <w:ind w:left="1440"/>
        <w:jc w:val="both"/>
      </w:pPr>
    </w:p>
    <w:p w14:paraId="12DE75CB" w14:textId="7DED10D0" w:rsidR="00937F2C" w:rsidRDefault="00056F01">
      <w:pPr>
        <w:numPr>
          <w:ilvl w:val="0"/>
          <w:numId w:val="24"/>
        </w:numPr>
        <w:ind w:left="284"/>
        <w:jc w:val="both"/>
      </w:pPr>
      <w:r>
        <w:t xml:space="preserve">V případě, že převedené finanční prostředky TA ČR nespotřebuje do konce </w:t>
      </w:r>
      <w:r w:rsidR="007A5E04">
        <w:t xml:space="preserve">roku 2020, budou nespotřebované finanční prostředky převedeny zpět do rozpočtové kapitoly MZe. </w:t>
      </w:r>
    </w:p>
    <w:p w14:paraId="7B59B067" w14:textId="77777777" w:rsidR="00937F2C" w:rsidRDefault="00937F2C">
      <w:pPr>
        <w:jc w:val="both"/>
      </w:pPr>
    </w:p>
    <w:p w14:paraId="3AD16072" w14:textId="7397F81C" w:rsidR="00937F2C" w:rsidRDefault="00056F01">
      <w:pPr>
        <w:numPr>
          <w:ilvl w:val="0"/>
          <w:numId w:val="24"/>
        </w:numPr>
        <w:ind w:left="284"/>
        <w:jc w:val="both"/>
      </w:pPr>
      <w:r>
        <w:t xml:space="preserve">V případě, že skutečné výdaje TA ČR na poskytování ISTA budou v rozpočtovém roce vyšší než převedené prostředky rozpočtovým opatření v aktuálním kalendářním roce, bude tento rozdíl pokryt ze strany MZe dalším rozpočtovým opatřením provedeným nejpozději do </w:t>
      </w:r>
      <w:r w:rsidR="00CD5994">
        <w:br/>
        <w:t>26</w:t>
      </w:r>
      <w:r>
        <w:t>.</w:t>
      </w:r>
      <w:r w:rsidR="00CD5994">
        <w:t xml:space="preserve"> 2. 2021</w:t>
      </w:r>
      <w:r>
        <w:t>.</w:t>
      </w:r>
    </w:p>
    <w:p w14:paraId="2AC27F80" w14:textId="77777777" w:rsidR="00E013F5" w:rsidRDefault="00E013F5" w:rsidP="00E013F5">
      <w:pPr>
        <w:pStyle w:val="Odstavecseseznamem"/>
      </w:pPr>
    </w:p>
    <w:p w14:paraId="2C7BF714" w14:textId="77777777" w:rsidR="00E013F5" w:rsidRDefault="00E013F5" w:rsidP="00E013F5">
      <w:pPr>
        <w:ind w:left="284"/>
        <w:jc w:val="both"/>
      </w:pPr>
    </w:p>
    <w:p w14:paraId="0D6DC72A" w14:textId="77777777" w:rsidR="00937F2C" w:rsidRDefault="00937F2C">
      <w:pPr>
        <w:ind w:left="720"/>
        <w:jc w:val="center"/>
        <w:rPr>
          <w:b/>
        </w:rPr>
      </w:pPr>
    </w:p>
    <w:p w14:paraId="477E5041" w14:textId="77777777" w:rsidR="00937F2C" w:rsidRDefault="00056F01">
      <w:pPr>
        <w:ind w:left="720"/>
        <w:jc w:val="center"/>
        <w:rPr>
          <w:b/>
        </w:rPr>
      </w:pPr>
      <w:r>
        <w:rPr>
          <w:b/>
        </w:rPr>
        <w:t>Článek 6.</w:t>
      </w:r>
    </w:p>
    <w:p w14:paraId="53D997B7" w14:textId="77777777" w:rsidR="00937F2C" w:rsidRDefault="00056F01">
      <w:pPr>
        <w:ind w:left="720"/>
        <w:jc w:val="center"/>
        <w:rPr>
          <w:b/>
        </w:rPr>
      </w:pPr>
      <w:r>
        <w:rPr>
          <w:b/>
        </w:rPr>
        <w:t>Odpovědnost</w:t>
      </w:r>
    </w:p>
    <w:p w14:paraId="5D9E39F8" w14:textId="77777777" w:rsidR="00937F2C" w:rsidRDefault="00937F2C">
      <w:pPr>
        <w:jc w:val="both"/>
      </w:pPr>
    </w:p>
    <w:p w14:paraId="1A22CDEA" w14:textId="77777777" w:rsidR="00937F2C" w:rsidRDefault="00056F01">
      <w:pPr>
        <w:numPr>
          <w:ilvl w:val="0"/>
          <w:numId w:val="22"/>
        </w:numPr>
        <w:ind w:left="284"/>
        <w:jc w:val="both"/>
      </w:pPr>
      <w:r>
        <w:t>TA ČR odpovídá za:</w:t>
      </w:r>
    </w:p>
    <w:p w14:paraId="44425649" w14:textId="77777777" w:rsidR="00937F2C" w:rsidRDefault="00056F01">
      <w:pPr>
        <w:numPr>
          <w:ilvl w:val="1"/>
          <w:numId w:val="14"/>
        </w:numPr>
        <w:jc w:val="both"/>
      </w:pPr>
      <w:r>
        <w:t>analýzu požadavků s návrhem řešení kompatibilním s architekturou systému ISTA, za provoz a rozvoj systému ISTA s definovanou dostupností a dalšími parametry SLA, ohlášenými plánovanými odstávkami a řízeným změnovým řízením,</w:t>
      </w:r>
    </w:p>
    <w:p w14:paraId="3FF504EA" w14:textId="77777777" w:rsidR="00937F2C" w:rsidRDefault="00056F01">
      <w:pPr>
        <w:numPr>
          <w:ilvl w:val="1"/>
          <w:numId w:val="14"/>
        </w:numPr>
        <w:jc w:val="both"/>
      </w:pPr>
      <w:r>
        <w:t>přípravu a nasazení příslušných požadavků, konfigurací, formulářů, šablon a dalších nezbytných součástí systému ISTA, a to vždy po schválení kontaktní osoby pro řešení záležitostí za MZe, za odstraňování případných chyb v nastavení nebo závad na technické infrastruktuře.</w:t>
      </w:r>
    </w:p>
    <w:p w14:paraId="35CA490B" w14:textId="77777777" w:rsidR="00937F2C" w:rsidRDefault="00056F01">
      <w:pPr>
        <w:numPr>
          <w:ilvl w:val="1"/>
          <w:numId w:val="14"/>
        </w:numPr>
        <w:jc w:val="both"/>
      </w:pPr>
      <w:r>
        <w:t>vyřešení nahlášených incidentů a zapracování doručených výsledků testování realizovaných požadavků,</w:t>
      </w:r>
    </w:p>
    <w:p w14:paraId="2C610224" w14:textId="77777777" w:rsidR="00937F2C" w:rsidRDefault="00056F01">
      <w:pPr>
        <w:numPr>
          <w:ilvl w:val="1"/>
          <w:numId w:val="14"/>
        </w:numPr>
        <w:jc w:val="both"/>
      </w:pPr>
      <w:r>
        <w:t>přiměřenou kompenzaci nákladů ve vyúčtování, v případě, že TA ČR udělil sankci Dodavateli,</w:t>
      </w:r>
    </w:p>
    <w:p w14:paraId="209BDC12" w14:textId="77777777" w:rsidR="00937F2C" w:rsidRDefault="00056F01">
      <w:pPr>
        <w:numPr>
          <w:ilvl w:val="1"/>
          <w:numId w:val="14"/>
        </w:numPr>
        <w:jc w:val="both"/>
      </w:pPr>
      <w:r>
        <w:t>proškolení uživatelů a administrátorů MZe.</w:t>
      </w:r>
    </w:p>
    <w:p w14:paraId="165672D6" w14:textId="77777777" w:rsidR="00937F2C" w:rsidRDefault="00937F2C">
      <w:pPr>
        <w:ind w:left="1440"/>
        <w:jc w:val="both"/>
      </w:pPr>
    </w:p>
    <w:p w14:paraId="0D803C7C" w14:textId="77777777" w:rsidR="00937F2C" w:rsidRDefault="00056F01">
      <w:pPr>
        <w:numPr>
          <w:ilvl w:val="0"/>
          <w:numId w:val="22"/>
        </w:numPr>
        <w:ind w:left="284"/>
        <w:jc w:val="both"/>
      </w:pPr>
      <w:r>
        <w:t>TA ČR neodpovídá za:</w:t>
      </w:r>
    </w:p>
    <w:p w14:paraId="0B9D1221" w14:textId="77777777" w:rsidR="00937F2C" w:rsidRDefault="00056F01">
      <w:pPr>
        <w:numPr>
          <w:ilvl w:val="1"/>
          <w:numId w:val="13"/>
        </w:numPr>
        <w:jc w:val="both"/>
      </w:pPr>
      <w:r>
        <w:t>závady a technické řešení závad ležících vně prostředí systému ISTA - např. VPN přístupy ze sítě MZe,</w:t>
      </w:r>
    </w:p>
    <w:p w14:paraId="23CD2E7E" w14:textId="77777777" w:rsidR="00937F2C" w:rsidRDefault="00056F01">
      <w:pPr>
        <w:numPr>
          <w:ilvl w:val="1"/>
          <w:numId w:val="13"/>
        </w:numPr>
        <w:jc w:val="both"/>
      </w:pPr>
      <w:r>
        <w:t>chybně nebo neúplně definované zadání požadavků/incidentu,</w:t>
      </w:r>
    </w:p>
    <w:p w14:paraId="117D5B96" w14:textId="77777777" w:rsidR="00937F2C" w:rsidRDefault="00056F01">
      <w:pPr>
        <w:numPr>
          <w:ilvl w:val="1"/>
          <w:numId w:val="13"/>
        </w:numPr>
        <w:jc w:val="both"/>
      </w:pPr>
      <w:r>
        <w:t>chybně nebo neúplně provedené nastavení systému ISTA, pokud bylo odpovědným zástupcem MZe schváleno k nasazení,</w:t>
      </w:r>
    </w:p>
    <w:p w14:paraId="112F4BBB" w14:textId="77777777" w:rsidR="00937F2C" w:rsidRDefault="00056F01">
      <w:pPr>
        <w:numPr>
          <w:ilvl w:val="1"/>
          <w:numId w:val="13"/>
        </w:numPr>
        <w:jc w:val="both"/>
      </w:pPr>
      <w:r>
        <w:t>ostatní závady a chyby ležící na straně MZe nebo jeho infrastruktury.</w:t>
      </w:r>
    </w:p>
    <w:p w14:paraId="5E790E49" w14:textId="77777777" w:rsidR="00937F2C" w:rsidRDefault="00937F2C">
      <w:pPr>
        <w:jc w:val="both"/>
      </w:pPr>
    </w:p>
    <w:p w14:paraId="6526000D" w14:textId="77777777" w:rsidR="00937F2C" w:rsidRDefault="00056F01">
      <w:pPr>
        <w:numPr>
          <w:ilvl w:val="0"/>
          <w:numId w:val="22"/>
        </w:numPr>
        <w:ind w:left="284"/>
        <w:jc w:val="both"/>
      </w:pPr>
      <w:r>
        <w:lastRenderedPageBreak/>
        <w:t>MZe odpovídá za:</w:t>
      </w:r>
    </w:p>
    <w:p w14:paraId="7DDCE463" w14:textId="77777777" w:rsidR="00937F2C" w:rsidRDefault="00056F01">
      <w:pPr>
        <w:numPr>
          <w:ilvl w:val="1"/>
          <w:numId w:val="5"/>
        </w:numPr>
        <w:jc w:val="both"/>
      </w:pPr>
      <w:r>
        <w:t>přípravu zadání požadavků na úpravy systému ISTA pro MZe,</w:t>
      </w:r>
    </w:p>
    <w:p w14:paraId="1E3298DC" w14:textId="77777777" w:rsidR="00937F2C" w:rsidRDefault="00056F01">
      <w:pPr>
        <w:numPr>
          <w:ilvl w:val="1"/>
          <w:numId w:val="5"/>
        </w:numPr>
        <w:jc w:val="both"/>
      </w:pPr>
      <w:r>
        <w:t>součinnost při analýze požadavků,</w:t>
      </w:r>
    </w:p>
    <w:p w14:paraId="161F032C" w14:textId="77777777" w:rsidR="00937F2C" w:rsidRDefault="00056F01">
      <w:pPr>
        <w:numPr>
          <w:ilvl w:val="1"/>
          <w:numId w:val="5"/>
        </w:numPr>
        <w:jc w:val="both"/>
      </w:pPr>
      <w:r>
        <w:t xml:space="preserve">provedení testování realizovaného požadavku před jeho nasazením do produkčního prostředí, </w:t>
      </w:r>
    </w:p>
    <w:p w14:paraId="3EC95AE5" w14:textId="77777777" w:rsidR="00937F2C" w:rsidRDefault="00056F01">
      <w:pPr>
        <w:numPr>
          <w:ilvl w:val="1"/>
          <w:numId w:val="5"/>
        </w:numPr>
        <w:jc w:val="both"/>
      </w:pPr>
      <w:r>
        <w:t>podporu uživatelům (kromě technické podpory týkající se systému ISTA).</w:t>
      </w:r>
    </w:p>
    <w:p w14:paraId="472EB36D" w14:textId="77777777" w:rsidR="00937F2C" w:rsidRDefault="00937F2C">
      <w:pPr>
        <w:ind w:left="720"/>
        <w:jc w:val="center"/>
        <w:rPr>
          <w:b/>
        </w:rPr>
      </w:pPr>
    </w:p>
    <w:p w14:paraId="65A632C3" w14:textId="77777777" w:rsidR="00937F2C" w:rsidRDefault="00056F01">
      <w:pPr>
        <w:ind w:left="720"/>
        <w:jc w:val="center"/>
        <w:rPr>
          <w:b/>
        </w:rPr>
      </w:pPr>
      <w:r>
        <w:rPr>
          <w:b/>
        </w:rPr>
        <w:t>Článek 7.</w:t>
      </w:r>
    </w:p>
    <w:p w14:paraId="33F65EB3" w14:textId="77777777" w:rsidR="00937F2C" w:rsidRDefault="00056F01">
      <w:pPr>
        <w:ind w:left="720"/>
        <w:jc w:val="center"/>
        <w:rPr>
          <w:b/>
        </w:rPr>
      </w:pPr>
      <w:r>
        <w:rPr>
          <w:b/>
        </w:rPr>
        <w:t>Závěrečná ustanovení</w:t>
      </w:r>
    </w:p>
    <w:p w14:paraId="0D9BB62C" w14:textId="77777777" w:rsidR="00937F2C" w:rsidRDefault="00937F2C">
      <w:pPr>
        <w:ind w:left="720"/>
        <w:jc w:val="both"/>
      </w:pPr>
    </w:p>
    <w:p w14:paraId="29A871DB" w14:textId="77777777" w:rsidR="00937F2C" w:rsidRDefault="00937F2C">
      <w:pPr>
        <w:jc w:val="both"/>
      </w:pPr>
    </w:p>
    <w:p w14:paraId="3E24970E" w14:textId="77777777" w:rsidR="00937F2C" w:rsidRDefault="00056F01">
      <w:pPr>
        <w:numPr>
          <w:ilvl w:val="0"/>
          <w:numId w:val="2"/>
        </w:numPr>
        <w:ind w:left="284"/>
        <w:jc w:val="both"/>
      </w:pPr>
      <w:r>
        <w:t xml:space="preserve">Tato dohoda se uzavírá na dobu určitou, a to do </w:t>
      </w:r>
      <w:r w:rsidR="006B498E">
        <w:t>31</w:t>
      </w:r>
      <w:r>
        <w:t>. 12. 202</w:t>
      </w:r>
      <w:r w:rsidR="006B498E">
        <w:t>0</w:t>
      </w:r>
      <w:r>
        <w:t>.</w:t>
      </w:r>
    </w:p>
    <w:p w14:paraId="1CC3CC47" w14:textId="77777777" w:rsidR="00937F2C" w:rsidRDefault="00937F2C">
      <w:pPr>
        <w:jc w:val="both"/>
        <w:rPr>
          <w:highlight w:val="yellow"/>
        </w:rPr>
      </w:pPr>
    </w:p>
    <w:p w14:paraId="1E80919E" w14:textId="072B3EA6" w:rsidR="00937F2C" w:rsidRDefault="00056F01">
      <w:pPr>
        <w:numPr>
          <w:ilvl w:val="0"/>
          <w:numId w:val="2"/>
        </w:numPr>
        <w:ind w:left="284"/>
        <w:jc w:val="both"/>
      </w:pPr>
      <w:r>
        <w:t xml:space="preserve">Kterákoli ze smluvních stran je oprávněna tuto dohodu vypovědět i bez uvedení důvodu s tím, že výpovědní doba činí 6 měsíců od doručení výpovědi druhé smluvní straně. </w:t>
      </w:r>
    </w:p>
    <w:p w14:paraId="455F1B5C" w14:textId="77777777" w:rsidR="00937F2C" w:rsidRDefault="00937F2C">
      <w:pPr>
        <w:jc w:val="both"/>
      </w:pPr>
    </w:p>
    <w:p w14:paraId="6CA984C4" w14:textId="77777777" w:rsidR="00937F2C" w:rsidRDefault="00056F01">
      <w:pPr>
        <w:numPr>
          <w:ilvl w:val="0"/>
          <w:numId w:val="2"/>
        </w:numPr>
        <w:ind w:left="284"/>
        <w:jc w:val="both"/>
      </w:pPr>
      <w:r>
        <w:t>Smluvní strany se zavazují vzájemně spolupracovat a poskytovat si navzájem informace o veškerých skutečnostech, které jsou nebo mohou být důležité pro poskytování systému ISTA dle této dohody.</w:t>
      </w:r>
    </w:p>
    <w:p w14:paraId="3E574612" w14:textId="77777777" w:rsidR="00937F2C" w:rsidRDefault="00937F2C">
      <w:pPr>
        <w:jc w:val="both"/>
      </w:pPr>
    </w:p>
    <w:p w14:paraId="3527E58D" w14:textId="77777777" w:rsidR="00937F2C" w:rsidRDefault="00056F01">
      <w:pPr>
        <w:numPr>
          <w:ilvl w:val="0"/>
          <w:numId w:val="2"/>
        </w:numPr>
        <w:ind w:left="284"/>
        <w:jc w:val="both"/>
      </w:pPr>
      <w:r>
        <w:t>Kontaktní osobou pro řešení záležitostí týkající se této dohody je:</w:t>
      </w:r>
    </w:p>
    <w:p w14:paraId="569E10DD" w14:textId="77777777" w:rsidR="00937F2C" w:rsidRDefault="00056F01">
      <w:pPr>
        <w:ind w:firstLine="720"/>
        <w:jc w:val="both"/>
      </w:pPr>
      <w:r>
        <w:t>a.) ve věcech smluvních</w:t>
      </w:r>
    </w:p>
    <w:p w14:paraId="08F9C26F" w14:textId="77777777" w:rsidR="00937F2C" w:rsidRDefault="00056F01">
      <w:pPr>
        <w:numPr>
          <w:ilvl w:val="0"/>
          <w:numId w:val="20"/>
        </w:numPr>
        <w:jc w:val="both"/>
      </w:pPr>
      <w:r>
        <w:t xml:space="preserve">za MZe: </w:t>
      </w:r>
      <w:r w:rsidR="006B498E" w:rsidRPr="006B498E">
        <w:t>ředitel odboru informačních a komunikačních technologií,</w:t>
      </w:r>
    </w:p>
    <w:p w14:paraId="70A4CF1F" w14:textId="4E3143FF" w:rsidR="00937F2C" w:rsidRDefault="00056F01">
      <w:pPr>
        <w:numPr>
          <w:ilvl w:val="0"/>
          <w:numId w:val="20"/>
        </w:numPr>
        <w:jc w:val="both"/>
      </w:pPr>
      <w:r>
        <w:t>za TA ČR: ředitel kanceláře TA ČR,</w:t>
      </w:r>
      <w:r w:rsidR="00A17756">
        <w:t xml:space="preserve"> </w:t>
      </w:r>
    </w:p>
    <w:p w14:paraId="7DAADE4E" w14:textId="77777777" w:rsidR="00937F2C" w:rsidRDefault="00056F01">
      <w:pPr>
        <w:ind w:firstLine="720"/>
        <w:jc w:val="both"/>
      </w:pPr>
      <w:r>
        <w:t>b.) ve věcech technických</w:t>
      </w:r>
    </w:p>
    <w:p w14:paraId="1F1F54E4" w14:textId="77777777" w:rsidR="00937F2C" w:rsidRDefault="00056F01">
      <w:pPr>
        <w:numPr>
          <w:ilvl w:val="0"/>
          <w:numId w:val="16"/>
        </w:numPr>
        <w:jc w:val="both"/>
      </w:pPr>
      <w:r>
        <w:t xml:space="preserve">za MZe: </w:t>
      </w:r>
      <w:r w:rsidR="006B498E" w:rsidRPr="006B498E">
        <w:t>vedoucí oddělení rozvoje ICT</w:t>
      </w:r>
      <w:r w:rsidRPr="006B498E">
        <w:t>,</w:t>
      </w:r>
    </w:p>
    <w:p w14:paraId="100880BA" w14:textId="77777777" w:rsidR="00937F2C" w:rsidRDefault="00056F01">
      <w:pPr>
        <w:numPr>
          <w:ilvl w:val="0"/>
          <w:numId w:val="16"/>
        </w:numPr>
        <w:jc w:val="both"/>
      </w:pPr>
      <w:r>
        <w:t>za TA ČR: vedoucí Oddělení informačních a komunikačních technologií,</w:t>
      </w:r>
    </w:p>
    <w:p w14:paraId="313F2781" w14:textId="77777777" w:rsidR="00937F2C" w:rsidRDefault="00056F01">
      <w:pPr>
        <w:ind w:firstLine="720"/>
        <w:jc w:val="both"/>
      </w:pPr>
      <w:r>
        <w:t>c.) ve věcech metodických</w:t>
      </w:r>
    </w:p>
    <w:p w14:paraId="5EDB41B9" w14:textId="77777777" w:rsidR="00937F2C" w:rsidRDefault="00056F01">
      <w:pPr>
        <w:numPr>
          <w:ilvl w:val="0"/>
          <w:numId w:val="12"/>
        </w:numPr>
        <w:jc w:val="both"/>
      </w:pPr>
      <w:r>
        <w:t>za MZe: vedoucí oddělení Národní agentura pro zemědělský výzkum,</w:t>
      </w:r>
    </w:p>
    <w:p w14:paraId="1C754973" w14:textId="77777777" w:rsidR="00937F2C" w:rsidRDefault="00056F01">
      <w:pPr>
        <w:numPr>
          <w:ilvl w:val="0"/>
          <w:numId w:val="10"/>
        </w:numPr>
        <w:jc w:val="both"/>
      </w:pPr>
      <w:r>
        <w:t>za TA ČR: ředitel Sekce implementace programů.</w:t>
      </w:r>
    </w:p>
    <w:p w14:paraId="5A8F8230" w14:textId="77777777" w:rsidR="00937F2C" w:rsidRDefault="00937F2C">
      <w:pPr>
        <w:jc w:val="both"/>
      </w:pPr>
    </w:p>
    <w:p w14:paraId="4E825B3B" w14:textId="38C0F0C8" w:rsidR="00937F2C" w:rsidRDefault="00E013F5">
      <w:pPr>
        <w:numPr>
          <w:ilvl w:val="0"/>
          <w:numId w:val="2"/>
        </w:numPr>
        <w:ind w:left="284"/>
        <w:jc w:val="both"/>
      </w:pPr>
      <w:r w:rsidRPr="001017EB">
        <w:t>Smluvní strany konstatují, že jsou osobami povinnými ve smyslu zákona č. 106/1999 Sb., o svobodném přístupu k informacím, ve znění pozdějších předpisů, a jsou tak povinny o této dohodě a právním vztahu jí založe</w:t>
      </w:r>
      <w:r w:rsidRPr="00860789">
        <w:t>ném zpřístupňovat všechny informace, které zákon ze zpřístupňování nevylučuje, a dále, že tato dohoda bude uveřejněna v souladu se zákonem č. 340/2015 Sb., o zvláštních podmínkách účinnosti některých smluv, uveřejňování těchto smluv a o registru smluv (zákon o registru smluv), ve znění pozdějších předpisů. Uveřejnění provede TA ČR; tím však není dotčeno právo MZe, aby uveřejnilo dohodu</w:t>
      </w:r>
      <w:r>
        <w:t xml:space="preserve"> samo</w:t>
      </w:r>
      <w:r w:rsidR="00056F01">
        <w:t>.</w:t>
      </w:r>
    </w:p>
    <w:p w14:paraId="79F2C092" w14:textId="77777777" w:rsidR="00937F2C" w:rsidRDefault="00937F2C">
      <w:pPr>
        <w:jc w:val="both"/>
      </w:pPr>
    </w:p>
    <w:p w14:paraId="70D28E95" w14:textId="77777777" w:rsidR="00937F2C" w:rsidRDefault="00056F01">
      <w:pPr>
        <w:numPr>
          <w:ilvl w:val="0"/>
          <w:numId w:val="2"/>
        </w:numPr>
        <w:ind w:left="284"/>
        <w:jc w:val="both"/>
      </w:pPr>
      <w:r>
        <w:t xml:space="preserve">Tato dohoda se vyhotovuje </w:t>
      </w:r>
      <w:r w:rsidR="006B498E">
        <w:t>v elektronické podobě ve formátu (.pdf)</w:t>
      </w:r>
      <w:r>
        <w:t xml:space="preserve">, přičemž každá ze smluvních stran obdrží </w:t>
      </w:r>
      <w:r w:rsidR="006B498E">
        <w:t>oboustranně elektronicky podepsaný datový soubor</w:t>
      </w:r>
      <w:r>
        <w:t xml:space="preserve"> této dohody. </w:t>
      </w:r>
    </w:p>
    <w:p w14:paraId="58B4D98C" w14:textId="77777777" w:rsidR="00937F2C" w:rsidRDefault="00937F2C">
      <w:pPr>
        <w:jc w:val="both"/>
      </w:pPr>
    </w:p>
    <w:p w14:paraId="2D0AAD99" w14:textId="77777777" w:rsidR="00937F2C" w:rsidRDefault="00056F01">
      <w:pPr>
        <w:numPr>
          <w:ilvl w:val="0"/>
          <w:numId w:val="2"/>
        </w:numPr>
        <w:ind w:left="284"/>
        <w:jc w:val="both"/>
      </w:pPr>
      <w:r>
        <w:t>Nedílnou součástí této dohody je:</w:t>
      </w:r>
    </w:p>
    <w:p w14:paraId="0DB282FA" w14:textId="77777777" w:rsidR="00937F2C" w:rsidRDefault="00056F01">
      <w:pPr>
        <w:numPr>
          <w:ilvl w:val="0"/>
          <w:numId w:val="7"/>
        </w:numPr>
        <w:jc w:val="both"/>
      </w:pPr>
      <w:r>
        <w:t>Příloha č. 1 - Úkony a plnění dle článku 3 této dohody a jejich finanční ohodnocení</w:t>
      </w:r>
    </w:p>
    <w:p w14:paraId="145773BC" w14:textId="77777777" w:rsidR="00937F2C" w:rsidRDefault="00056F01">
      <w:pPr>
        <w:numPr>
          <w:ilvl w:val="0"/>
          <w:numId w:val="7"/>
        </w:numPr>
        <w:jc w:val="both"/>
      </w:pPr>
      <w:r>
        <w:t>Příloha č. 2 - Rozsah dokumentace informačního systému</w:t>
      </w:r>
    </w:p>
    <w:p w14:paraId="79FFAEA3" w14:textId="77777777" w:rsidR="00937F2C" w:rsidRDefault="00056F01">
      <w:pPr>
        <w:numPr>
          <w:ilvl w:val="0"/>
          <w:numId w:val="7"/>
        </w:numPr>
        <w:jc w:val="both"/>
      </w:pPr>
      <w:r>
        <w:t>Příloha č. 3 - Harmonogram plnění dohody</w:t>
      </w:r>
    </w:p>
    <w:p w14:paraId="60DB9E05" w14:textId="77777777" w:rsidR="00937F2C" w:rsidRDefault="00937F2C">
      <w:pPr>
        <w:jc w:val="both"/>
      </w:pPr>
    </w:p>
    <w:p w14:paraId="644A1AED" w14:textId="0448C876" w:rsidR="00937F2C" w:rsidRPr="00474BFE" w:rsidRDefault="005D72C5">
      <w:pPr>
        <w:numPr>
          <w:ilvl w:val="0"/>
          <w:numId w:val="2"/>
        </w:numPr>
        <w:ind w:left="284"/>
        <w:jc w:val="both"/>
      </w:pPr>
      <w:r w:rsidRPr="00607A5E">
        <w:lastRenderedPageBreak/>
        <w:t>V souvislosti s plněním dohody se TAČR zavazuje zachovávat mlčenlivost o všech skutečnostech, o kterých se dozví, a to i po ukončení dohody.</w:t>
      </w:r>
      <w:r w:rsidRPr="00474BFE">
        <w:t xml:space="preserve"> </w:t>
      </w:r>
      <w:r w:rsidRPr="00607A5E">
        <w:t xml:space="preserve">Pokud se TA ČR kdykoliv v průběhu realizace dohody nebo po jejím ukončení seznámí s osobními údaji, platí povinnost mlčenlivosti také pro osobní údaje včetně zákazu předávat osobní údaje třetí osobě. </w:t>
      </w:r>
      <w:r w:rsidRPr="00474BFE">
        <w:t xml:space="preserve">TA ČR je povinen při plnění této dohody postupovat v souladu se zákonem č. 110/2019 Sb., o zpracování osobních údajů, ve znění pozdějších předpisů a v souladu s nařízením Evropského parlamentu a Rady (EU) 2016/679 </w:t>
      </w:r>
      <w:r w:rsidRPr="00607A5E">
        <w:t>ze dne 27. dubna 2016 o ochraně fyzických osob v souvislosti se zpracováním osobních údajů a o volném pohybu těchto údajů a o zrušení směrnice 95/46/ES (obecné nařízení o ochraně osobních údajů</w:t>
      </w:r>
      <w:r w:rsidRPr="00474BFE">
        <w:t>). TA ČR se zavazuje pro případ, že v rámci plnění této dohody zjistí, že bude zpracovávat osobní údaje, že je bude chránit a nakládat s nimi plně v souladu s příslušnými právními předpisy, a to i po ukončení plnění dohody. O této skutečnosti zpracování osobních údajů je TAČR povinen neprodleně informovat objednatele a uzavřít s ním uzavřít s ním dohodu o zpracování osobních údajů podle nařízení Evropského parlamentu a Rady (EU) 2016/679. těchto právních předpisů</w:t>
      </w:r>
      <w:r w:rsidR="00056F01" w:rsidRPr="00474BFE">
        <w:t>.</w:t>
      </w:r>
    </w:p>
    <w:p w14:paraId="09F7F2A2" w14:textId="77777777" w:rsidR="00937F2C" w:rsidRDefault="00937F2C">
      <w:pPr>
        <w:ind w:left="1440"/>
        <w:jc w:val="both"/>
      </w:pPr>
    </w:p>
    <w:p w14:paraId="5BDA2940" w14:textId="0BA795AA" w:rsidR="00607A5E" w:rsidRDefault="005D72C5" w:rsidP="00607A5E">
      <w:pPr>
        <w:numPr>
          <w:ilvl w:val="0"/>
          <w:numId w:val="2"/>
        </w:numPr>
        <w:ind w:left="284"/>
        <w:jc w:val="both"/>
      </w:pPr>
      <w:r>
        <w:t xml:space="preserve">Dohoda nabývá platnosti dnem jejího podpisu druhou smluvní stranou a účinnosti nabývá následujícího dne poté, co MZe obdrží písemné oznámení TAČR o uzavření </w:t>
      </w:r>
      <w:r w:rsidR="006147EC">
        <w:t xml:space="preserve">dodatku č. 6 ke smlouvě o vytvoření informačního systému a jeho provozu a rozvoje ze dne 04. 01. 2016 </w:t>
      </w:r>
      <w:r>
        <w:t xml:space="preserve"> mezi TA ČR a Dodavatelem, a to za podmínky, že dohoda bude do té doby uveřejněna v registru smluv, jinak by nabyla účinnosti až dnem jejího uveřejnění v tomto registru.  Tato odložená účinnost dohody se však nevztahuje na zajištění veřejné soutěže programu ZEMĚ 2017-2025 dle přílohy č. 3 bodu 2.2 a 2.3 (dále jen „program ZEMĚ“); pro účely zajištění programu ZEMĚ nabývá dohoda účinnosti dnem jejího uveřejnění v registru smluv</w:t>
      </w:r>
      <w:r w:rsidR="00056F01">
        <w:t>.</w:t>
      </w:r>
      <w:r w:rsidR="006C0D60">
        <w:t xml:space="preserve"> Výše uvedeným není dotčeno právo MZe, aby Dohodu uveřejnilo</w:t>
      </w:r>
      <w:r w:rsidR="00607A5E">
        <w:t xml:space="preserve"> </w:t>
      </w:r>
    </w:p>
    <w:p w14:paraId="0823DFFC" w14:textId="5B6D5065" w:rsidR="00937F2C" w:rsidRDefault="006C0D60" w:rsidP="00607A5E">
      <w:pPr>
        <w:ind w:left="284"/>
      </w:pPr>
      <w:r>
        <w:t>v registru smluv samo.</w:t>
      </w:r>
      <w:r w:rsidR="00056F01">
        <w:rPr>
          <w:highlight w:val="red"/>
        </w:rPr>
        <w:br/>
      </w:r>
    </w:p>
    <w:p w14:paraId="635483B0" w14:textId="77777777" w:rsidR="00937F2C" w:rsidRDefault="00937F2C"/>
    <w:p w14:paraId="3C4CD92B" w14:textId="77777777" w:rsidR="006B498E" w:rsidRDefault="006B498E" w:rsidP="006B498E">
      <w:r>
        <w:t>V Praze dne:</w:t>
      </w:r>
      <w:r>
        <w:tab/>
      </w:r>
      <w:r>
        <w:tab/>
      </w:r>
      <w:r>
        <w:tab/>
      </w:r>
      <w:r>
        <w:tab/>
      </w:r>
      <w:r>
        <w:tab/>
      </w:r>
      <w:r>
        <w:tab/>
      </w:r>
      <w:r>
        <w:tab/>
        <w:t>V Praze dne:</w:t>
      </w:r>
    </w:p>
    <w:p w14:paraId="6B34257A" w14:textId="77777777" w:rsidR="00937F2C" w:rsidRDefault="00937F2C"/>
    <w:p w14:paraId="4A8EB7E0" w14:textId="77777777" w:rsidR="00937F2C" w:rsidRDefault="00937F2C"/>
    <w:p w14:paraId="6030DE45" w14:textId="77777777" w:rsidR="00937F2C" w:rsidRDefault="00937F2C"/>
    <w:p w14:paraId="4DCBEB5C" w14:textId="77777777" w:rsidR="00937F2C" w:rsidRDefault="00937F2C"/>
    <w:p w14:paraId="231110A6" w14:textId="77777777" w:rsidR="006B498E" w:rsidRDefault="006B498E"/>
    <w:p w14:paraId="60B87D2E" w14:textId="77777777" w:rsidR="00937F2C" w:rsidRDefault="00056F01">
      <w:r>
        <w:t>…………………………………</w:t>
      </w:r>
      <w:r>
        <w:tab/>
      </w:r>
      <w:r>
        <w:tab/>
      </w:r>
      <w:r>
        <w:tab/>
        <w:t xml:space="preserve">           …………………………………</w:t>
      </w:r>
    </w:p>
    <w:p w14:paraId="20A7357D" w14:textId="77777777" w:rsidR="00937F2C" w:rsidRDefault="00056F01">
      <w:r>
        <w:t>Prof. Ing. Petr Konvalinka, CSc., FEng.</w:t>
      </w:r>
      <w:r>
        <w:tab/>
      </w:r>
      <w:r w:rsidRPr="006B498E">
        <w:tab/>
      </w:r>
      <w:r w:rsidRPr="006B498E">
        <w:tab/>
      </w:r>
      <w:r>
        <w:t xml:space="preserve">Mgr. </w:t>
      </w:r>
      <w:r w:rsidR="006B498E">
        <w:t>Václav Koubek, MBA</w:t>
      </w:r>
    </w:p>
    <w:p w14:paraId="49BBC5D7" w14:textId="77777777" w:rsidR="00937F2C" w:rsidRDefault="00056F01">
      <w:r>
        <w:t xml:space="preserve">    </w:t>
      </w:r>
    </w:p>
    <w:p w14:paraId="43A1A33F" w14:textId="77777777" w:rsidR="00937F2C" w:rsidRDefault="00056F01" w:rsidP="006B498E">
      <w:pPr>
        <w:ind w:left="5812" w:hanging="5760"/>
      </w:pPr>
      <w:r>
        <w:t>předseda TA ČR</w:t>
      </w:r>
      <w:r>
        <w:tab/>
      </w:r>
      <w:r w:rsidR="006B498E">
        <w:t xml:space="preserve">ředitel odboru informačních </w:t>
      </w:r>
      <w:r w:rsidR="00D97E41">
        <w:br/>
      </w:r>
      <w:r w:rsidR="006B498E">
        <w:t>a komunikačních technologií</w:t>
      </w:r>
      <w:r>
        <w:tab/>
      </w:r>
      <w:r>
        <w:tab/>
      </w:r>
      <w:r>
        <w:tab/>
      </w:r>
      <w:r>
        <w:tab/>
      </w:r>
      <w:r>
        <w:tab/>
        <w:t xml:space="preserve"> </w:t>
      </w:r>
    </w:p>
    <w:p w14:paraId="2B006F12" w14:textId="77777777" w:rsidR="00937F2C" w:rsidRDefault="00056F01">
      <w:r>
        <w:tab/>
      </w:r>
      <w:r>
        <w:tab/>
      </w:r>
      <w:r>
        <w:tab/>
      </w:r>
      <w:r>
        <w:tab/>
      </w:r>
      <w:r>
        <w:tab/>
      </w:r>
      <w:r>
        <w:tab/>
      </w:r>
    </w:p>
    <w:p w14:paraId="4AB1CE72" w14:textId="77777777" w:rsidR="00937F2C" w:rsidRDefault="00937F2C"/>
    <w:p w14:paraId="2249BB24" w14:textId="77777777" w:rsidR="00937F2C" w:rsidRDefault="00937F2C"/>
    <w:p w14:paraId="3BF0F56E" w14:textId="77777777" w:rsidR="005D72C5" w:rsidRDefault="005D72C5">
      <w:pPr>
        <w:jc w:val="center"/>
        <w:rPr>
          <w:b/>
          <w:sz w:val="28"/>
          <w:szCs w:val="28"/>
        </w:rPr>
      </w:pPr>
    </w:p>
    <w:p w14:paraId="26043ED3" w14:textId="77777777" w:rsidR="005D72C5" w:rsidRDefault="005D72C5">
      <w:pPr>
        <w:jc w:val="center"/>
        <w:rPr>
          <w:b/>
          <w:sz w:val="28"/>
          <w:szCs w:val="28"/>
        </w:rPr>
      </w:pPr>
    </w:p>
    <w:p w14:paraId="0BEAF188" w14:textId="77777777" w:rsidR="005D72C5" w:rsidRDefault="005D72C5">
      <w:pPr>
        <w:jc w:val="center"/>
        <w:rPr>
          <w:b/>
          <w:sz w:val="28"/>
          <w:szCs w:val="28"/>
        </w:rPr>
      </w:pPr>
    </w:p>
    <w:p w14:paraId="4B66BD5B" w14:textId="77777777" w:rsidR="009748E1" w:rsidRDefault="009748E1">
      <w:pPr>
        <w:jc w:val="center"/>
        <w:rPr>
          <w:b/>
          <w:sz w:val="28"/>
          <w:szCs w:val="28"/>
        </w:rPr>
      </w:pPr>
    </w:p>
    <w:p w14:paraId="3F7B2200" w14:textId="77777777" w:rsidR="009748E1" w:rsidRDefault="009748E1">
      <w:pPr>
        <w:jc w:val="center"/>
        <w:rPr>
          <w:b/>
          <w:sz w:val="28"/>
          <w:szCs w:val="28"/>
        </w:rPr>
      </w:pPr>
    </w:p>
    <w:p w14:paraId="71D440F3" w14:textId="77777777" w:rsidR="009748E1" w:rsidRDefault="009748E1">
      <w:pPr>
        <w:jc w:val="center"/>
        <w:rPr>
          <w:b/>
          <w:sz w:val="28"/>
          <w:szCs w:val="28"/>
        </w:rPr>
      </w:pPr>
    </w:p>
    <w:p w14:paraId="4F40AFD1" w14:textId="77777777" w:rsidR="005D72C5" w:rsidRDefault="005D72C5">
      <w:pPr>
        <w:jc w:val="center"/>
        <w:rPr>
          <w:b/>
          <w:sz w:val="28"/>
          <w:szCs w:val="28"/>
        </w:rPr>
      </w:pPr>
    </w:p>
    <w:p w14:paraId="7FA5D4B7" w14:textId="77777777" w:rsidR="005D72C5" w:rsidRDefault="005D72C5">
      <w:pPr>
        <w:jc w:val="center"/>
        <w:rPr>
          <w:b/>
          <w:sz w:val="28"/>
          <w:szCs w:val="28"/>
        </w:rPr>
      </w:pPr>
    </w:p>
    <w:p w14:paraId="17DE70FC" w14:textId="77777777" w:rsidR="005D72C5" w:rsidRDefault="005D72C5">
      <w:pPr>
        <w:jc w:val="center"/>
        <w:rPr>
          <w:b/>
          <w:sz w:val="28"/>
          <w:szCs w:val="28"/>
        </w:rPr>
      </w:pPr>
    </w:p>
    <w:p w14:paraId="4BA13ACE" w14:textId="77777777" w:rsidR="005D72C5" w:rsidRDefault="005D72C5">
      <w:pPr>
        <w:jc w:val="center"/>
        <w:rPr>
          <w:b/>
          <w:sz w:val="28"/>
          <w:szCs w:val="28"/>
        </w:rPr>
      </w:pPr>
    </w:p>
    <w:p w14:paraId="019D11C0" w14:textId="77777777" w:rsidR="00937F2C" w:rsidRDefault="00056F01">
      <w:pPr>
        <w:jc w:val="center"/>
        <w:rPr>
          <w:b/>
          <w:sz w:val="28"/>
          <w:szCs w:val="28"/>
        </w:rPr>
      </w:pPr>
      <w:r>
        <w:rPr>
          <w:b/>
          <w:sz w:val="28"/>
          <w:szCs w:val="28"/>
        </w:rPr>
        <w:t>Příloha č. 1</w:t>
      </w:r>
    </w:p>
    <w:p w14:paraId="01BE92AC" w14:textId="77777777" w:rsidR="00937F2C" w:rsidRDefault="00056F01">
      <w:pPr>
        <w:jc w:val="center"/>
        <w:rPr>
          <w:b/>
          <w:sz w:val="28"/>
          <w:szCs w:val="28"/>
        </w:rPr>
      </w:pPr>
      <w:r>
        <w:rPr>
          <w:b/>
          <w:sz w:val="28"/>
          <w:szCs w:val="28"/>
        </w:rPr>
        <w:t xml:space="preserve">Úkony a plnění </w:t>
      </w:r>
    </w:p>
    <w:p w14:paraId="070D9280" w14:textId="77777777" w:rsidR="00937F2C" w:rsidRDefault="00937F2C">
      <w:pPr>
        <w:jc w:val="center"/>
      </w:pPr>
    </w:p>
    <w:p w14:paraId="2EB9F873" w14:textId="77777777" w:rsidR="00937F2C" w:rsidRDefault="00937F2C">
      <w:pPr>
        <w:jc w:val="center"/>
      </w:pPr>
    </w:p>
    <w:p w14:paraId="2F7D2AF8" w14:textId="77777777" w:rsidR="00937F2C" w:rsidRDefault="00056F01">
      <w:pPr>
        <w:jc w:val="center"/>
        <w:rPr>
          <w:b/>
        </w:rPr>
      </w:pPr>
      <w:r>
        <w:rPr>
          <w:b/>
        </w:rPr>
        <w:t>Článek 1.</w:t>
      </w:r>
    </w:p>
    <w:p w14:paraId="6FE628A2" w14:textId="77777777" w:rsidR="00937F2C" w:rsidRDefault="00056F01">
      <w:pPr>
        <w:jc w:val="center"/>
        <w:rPr>
          <w:b/>
        </w:rPr>
      </w:pPr>
      <w:r>
        <w:rPr>
          <w:b/>
        </w:rPr>
        <w:t>Specifikace nabízených plnění a odpovědnost</w:t>
      </w:r>
    </w:p>
    <w:p w14:paraId="6BB1C60F" w14:textId="77777777" w:rsidR="00937F2C" w:rsidRDefault="00937F2C">
      <w:pPr>
        <w:jc w:val="both"/>
      </w:pPr>
    </w:p>
    <w:p w14:paraId="1E082D5B" w14:textId="77777777" w:rsidR="00937F2C" w:rsidRDefault="00056F01">
      <w:pPr>
        <w:numPr>
          <w:ilvl w:val="0"/>
          <w:numId w:val="15"/>
        </w:numPr>
        <w:ind w:left="425"/>
        <w:jc w:val="both"/>
      </w:pPr>
      <w:r>
        <w:t>Seznam nabízených plnění a odpovědnost:</w:t>
      </w:r>
    </w:p>
    <w:p w14:paraId="3AC0B1EF" w14:textId="77777777" w:rsidR="00937F2C" w:rsidRDefault="00937F2C">
      <w:pPr>
        <w:jc w:val="both"/>
      </w:pPr>
    </w:p>
    <w:tbl>
      <w:tblPr>
        <w:tblStyle w:val="a0"/>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740"/>
        <w:gridCol w:w="4560"/>
      </w:tblGrid>
      <w:tr w:rsidR="00937F2C" w14:paraId="7FFEA85A" w14:textId="77777777">
        <w:tc>
          <w:tcPr>
            <w:tcW w:w="2775" w:type="dxa"/>
            <w:shd w:val="clear" w:color="auto" w:fill="auto"/>
            <w:tcMar>
              <w:top w:w="100" w:type="dxa"/>
              <w:left w:w="100" w:type="dxa"/>
              <w:bottom w:w="100" w:type="dxa"/>
              <w:right w:w="100" w:type="dxa"/>
            </w:tcMar>
          </w:tcPr>
          <w:p w14:paraId="0D76E84E" w14:textId="77777777" w:rsidR="00937F2C" w:rsidRDefault="00056F01">
            <w:pPr>
              <w:widowControl w:val="0"/>
              <w:rPr>
                <w:b/>
              </w:rPr>
            </w:pPr>
            <w:r>
              <w:rPr>
                <w:b/>
              </w:rPr>
              <w:t xml:space="preserve">plnění </w:t>
            </w:r>
          </w:p>
        </w:tc>
        <w:tc>
          <w:tcPr>
            <w:tcW w:w="1740" w:type="dxa"/>
            <w:shd w:val="clear" w:color="auto" w:fill="auto"/>
            <w:tcMar>
              <w:top w:w="100" w:type="dxa"/>
              <w:left w:w="100" w:type="dxa"/>
              <w:bottom w:w="100" w:type="dxa"/>
              <w:right w:w="100" w:type="dxa"/>
            </w:tcMar>
          </w:tcPr>
          <w:p w14:paraId="25BAC0F2" w14:textId="77777777" w:rsidR="00937F2C" w:rsidRDefault="00056F01">
            <w:pPr>
              <w:widowControl w:val="0"/>
              <w:rPr>
                <w:b/>
              </w:rPr>
            </w:pPr>
            <w:r>
              <w:rPr>
                <w:b/>
              </w:rPr>
              <w:t>odpovědnost</w:t>
            </w:r>
          </w:p>
        </w:tc>
        <w:tc>
          <w:tcPr>
            <w:tcW w:w="4560" w:type="dxa"/>
            <w:shd w:val="clear" w:color="auto" w:fill="auto"/>
            <w:tcMar>
              <w:top w:w="100" w:type="dxa"/>
              <w:left w:w="100" w:type="dxa"/>
              <w:bottom w:w="100" w:type="dxa"/>
              <w:right w:w="100" w:type="dxa"/>
            </w:tcMar>
          </w:tcPr>
          <w:p w14:paraId="0888B7C5" w14:textId="77777777" w:rsidR="00937F2C" w:rsidRDefault="00056F01">
            <w:pPr>
              <w:widowControl w:val="0"/>
              <w:rPr>
                <w:b/>
              </w:rPr>
            </w:pPr>
            <w:r>
              <w:rPr>
                <w:b/>
              </w:rPr>
              <w:t>poznámka</w:t>
            </w:r>
          </w:p>
        </w:tc>
      </w:tr>
      <w:tr w:rsidR="00937F2C" w14:paraId="7B1F4EE5" w14:textId="77777777">
        <w:tc>
          <w:tcPr>
            <w:tcW w:w="2775" w:type="dxa"/>
            <w:shd w:val="clear" w:color="auto" w:fill="auto"/>
            <w:tcMar>
              <w:top w:w="100" w:type="dxa"/>
              <w:left w:w="100" w:type="dxa"/>
              <w:bottom w:w="100" w:type="dxa"/>
              <w:right w:w="100" w:type="dxa"/>
            </w:tcMar>
          </w:tcPr>
          <w:p w14:paraId="678D6FD7" w14:textId="77777777" w:rsidR="00937F2C" w:rsidRDefault="00056F01">
            <w:pPr>
              <w:widowControl w:val="0"/>
            </w:pPr>
            <w:r>
              <w:t xml:space="preserve">počáteční technické úpravy systému </w:t>
            </w:r>
          </w:p>
        </w:tc>
        <w:tc>
          <w:tcPr>
            <w:tcW w:w="1740" w:type="dxa"/>
            <w:shd w:val="clear" w:color="auto" w:fill="auto"/>
            <w:tcMar>
              <w:top w:w="100" w:type="dxa"/>
              <w:left w:w="100" w:type="dxa"/>
              <w:bottom w:w="100" w:type="dxa"/>
              <w:right w:w="100" w:type="dxa"/>
            </w:tcMar>
          </w:tcPr>
          <w:p w14:paraId="380881B8" w14:textId="77777777" w:rsidR="00937F2C" w:rsidRDefault="00056F01">
            <w:pPr>
              <w:widowControl w:val="0"/>
            </w:pPr>
            <w:r>
              <w:t>TA ČR prostřednictvím Dodavatele</w:t>
            </w:r>
          </w:p>
        </w:tc>
        <w:tc>
          <w:tcPr>
            <w:tcW w:w="4560" w:type="dxa"/>
            <w:shd w:val="clear" w:color="auto" w:fill="auto"/>
            <w:tcMar>
              <w:top w:w="100" w:type="dxa"/>
              <w:left w:w="100" w:type="dxa"/>
              <w:bottom w:w="100" w:type="dxa"/>
              <w:right w:w="100" w:type="dxa"/>
            </w:tcMar>
          </w:tcPr>
          <w:p w14:paraId="396537ED" w14:textId="77777777" w:rsidR="00937F2C" w:rsidRDefault="00056F01">
            <w:pPr>
              <w:widowControl w:val="0"/>
            </w:pPr>
            <w:r>
              <w:t>Počáteční úpravy systému pro využití MZe.</w:t>
            </w:r>
          </w:p>
        </w:tc>
      </w:tr>
      <w:tr w:rsidR="00937F2C" w14:paraId="5F869F22" w14:textId="77777777">
        <w:tc>
          <w:tcPr>
            <w:tcW w:w="2775" w:type="dxa"/>
            <w:shd w:val="clear" w:color="auto" w:fill="auto"/>
            <w:tcMar>
              <w:top w:w="100" w:type="dxa"/>
              <w:left w:w="100" w:type="dxa"/>
              <w:bottom w:w="100" w:type="dxa"/>
              <w:right w:w="100" w:type="dxa"/>
            </w:tcMar>
          </w:tcPr>
          <w:p w14:paraId="7B229230" w14:textId="77777777" w:rsidR="00937F2C" w:rsidRDefault="00056F01">
            <w:pPr>
              <w:widowControl w:val="0"/>
            </w:pPr>
            <w:r>
              <w:t>příprava zadání</w:t>
            </w:r>
          </w:p>
        </w:tc>
        <w:tc>
          <w:tcPr>
            <w:tcW w:w="1740" w:type="dxa"/>
            <w:shd w:val="clear" w:color="auto" w:fill="auto"/>
            <w:tcMar>
              <w:top w:w="100" w:type="dxa"/>
              <w:left w:w="100" w:type="dxa"/>
              <w:bottom w:w="100" w:type="dxa"/>
              <w:right w:w="100" w:type="dxa"/>
            </w:tcMar>
          </w:tcPr>
          <w:p w14:paraId="784F23F6" w14:textId="77777777" w:rsidR="00937F2C" w:rsidRDefault="00056F01">
            <w:pPr>
              <w:widowControl w:val="0"/>
            </w:pPr>
            <w:r>
              <w:t>MZe</w:t>
            </w:r>
          </w:p>
        </w:tc>
        <w:tc>
          <w:tcPr>
            <w:tcW w:w="4560" w:type="dxa"/>
            <w:shd w:val="clear" w:color="auto" w:fill="auto"/>
            <w:tcMar>
              <w:top w:w="100" w:type="dxa"/>
              <w:left w:w="100" w:type="dxa"/>
              <w:bottom w:w="100" w:type="dxa"/>
              <w:right w:w="100" w:type="dxa"/>
            </w:tcMar>
          </w:tcPr>
          <w:p w14:paraId="0F237D32" w14:textId="77777777" w:rsidR="00937F2C" w:rsidRDefault="00056F01">
            <w:pPr>
              <w:widowControl w:val="0"/>
            </w:pPr>
            <w:r>
              <w:t>Zadání předchází konzultace s TA ČR, zadání je doručeno prostřednictvím servicedesku ISTA.</w:t>
            </w:r>
          </w:p>
        </w:tc>
      </w:tr>
      <w:tr w:rsidR="00937F2C" w14:paraId="5DF93D38" w14:textId="77777777">
        <w:tc>
          <w:tcPr>
            <w:tcW w:w="2775" w:type="dxa"/>
            <w:shd w:val="clear" w:color="auto" w:fill="auto"/>
            <w:tcMar>
              <w:top w:w="100" w:type="dxa"/>
              <w:left w:w="100" w:type="dxa"/>
              <w:bottom w:w="100" w:type="dxa"/>
              <w:right w:w="100" w:type="dxa"/>
            </w:tcMar>
          </w:tcPr>
          <w:p w14:paraId="4A93CF7D" w14:textId="77777777" w:rsidR="00937F2C" w:rsidRDefault="00056F01">
            <w:pPr>
              <w:widowControl w:val="0"/>
            </w:pPr>
            <w:r>
              <w:t>analýza zadání</w:t>
            </w:r>
          </w:p>
        </w:tc>
        <w:tc>
          <w:tcPr>
            <w:tcW w:w="1740" w:type="dxa"/>
            <w:shd w:val="clear" w:color="auto" w:fill="auto"/>
            <w:tcMar>
              <w:top w:w="100" w:type="dxa"/>
              <w:left w:w="100" w:type="dxa"/>
              <w:bottom w:w="100" w:type="dxa"/>
              <w:right w:w="100" w:type="dxa"/>
            </w:tcMar>
          </w:tcPr>
          <w:p w14:paraId="238BDD15" w14:textId="77777777" w:rsidR="00937F2C" w:rsidRDefault="00056F01">
            <w:pPr>
              <w:widowControl w:val="0"/>
            </w:pPr>
            <w:r>
              <w:t>primárně: MZe</w:t>
            </w:r>
          </w:p>
          <w:p w14:paraId="47AD2CF8" w14:textId="77777777" w:rsidR="00937F2C" w:rsidRDefault="00056F01">
            <w:pPr>
              <w:widowControl w:val="0"/>
            </w:pPr>
            <w:r>
              <w:t>spolupracuje: TA ČR, Dodavatel</w:t>
            </w:r>
          </w:p>
        </w:tc>
        <w:tc>
          <w:tcPr>
            <w:tcW w:w="4560" w:type="dxa"/>
            <w:shd w:val="clear" w:color="auto" w:fill="auto"/>
            <w:tcMar>
              <w:top w:w="100" w:type="dxa"/>
              <w:left w:w="100" w:type="dxa"/>
              <w:bottom w:w="100" w:type="dxa"/>
              <w:right w:w="100" w:type="dxa"/>
            </w:tcMar>
          </w:tcPr>
          <w:p w14:paraId="59A304BA" w14:textId="77777777" w:rsidR="00937F2C" w:rsidRDefault="00056F01">
            <w:pPr>
              <w:widowControl w:val="0"/>
            </w:pPr>
            <w:r>
              <w:t>TA ČR provede analýzu požadavků a navrhne řešení kompatibilní s architekturou systému.</w:t>
            </w:r>
          </w:p>
        </w:tc>
      </w:tr>
      <w:tr w:rsidR="00937F2C" w14:paraId="4A392347" w14:textId="77777777">
        <w:tc>
          <w:tcPr>
            <w:tcW w:w="2775" w:type="dxa"/>
            <w:shd w:val="clear" w:color="auto" w:fill="auto"/>
            <w:tcMar>
              <w:top w:w="100" w:type="dxa"/>
              <w:left w:w="100" w:type="dxa"/>
              <w:bottom w:w="100" w:type="dxa"/>
              <w:right w:w="100" w:type="dxa"/>
            </w:tcMar>
          </w:tcPr>
          <w:p w14:paraId="3DAE6B87" w14:textId="77777777" w:rsidR="00937F2C" w:rsidRDefault="00056F01">
            <w:pPr>
              <w:widowControl w:val="0"/>
            </w:pPr>
            <w:r>
              <w:t>konfigurace systému</w:t>
            </w:r>
          </w:p>
        </w:tc>
        <w:tc>
          <w:tcPr>
            <w:tcW w:w="1740" w:type="dxa"/>
            <w:shd w:val="clear" w:color="auto" w:fill="auto"/>
            <w:tcMar>
              <w:top w:w="100" w:type="dxa"/>
              <w:left w:w="100" w:type="dxa"/>
              <w:bottom w:w="100" w:type="dxa"/>
              <w:right w:w="100" w:type="dxa"/>
            </w:tcMar>
          </w:tcPr>
          <w:p w14:paraId="6760003E" w14:textId="77777777" w:rsidR="00937F2C" w:rsidRDefault="00056F01">
            <w:pPr>
              <w:widowControl w:val="0"/>
            </w:pPr>
            <w:r>
              <w:t>TA ČR</w:t>
            </w:r>
          </w:p>
        </w:tc>
        <w:tc>
          <w:tcPr>
            <w:tcW w:w="4560" w:type="dxa"/>
            <w:shd w:val="clear" w:color="auto" w:fill="auto"/>
            <w:tcMar>
              <w:top w:w="100" w:type="dxa"/>
              <w:left w:w="100" w:type="dxa"/>
              <w:bottom w:w="100" w:type="dxa"/>
              <w:right w:w="100" w:type="dxa"/>
            </w:tcMar>
          </w:tcPr>
          <w:p w14:paraId="68F6416F" w14:textId="77777777" w:rsidR="00937F2C" w:rsidRDefault="00056F01">
            <w:pPr>
              <w:widowControl w:val="0"/>
            </w:pPr>
            <w:r>
              <w:t>Požadavky, které lze nastavit konfigurací systému, zabezpečí oddělení ICT.</w:t>
            </w:r>
          </w:p>
        </w:tc>
      </w:tr>
      <w:tr w:rsidR="00937F2C" w14:paraId="5B2352CD" w14:textId="77777777">
        <w:tc>
          <w:tcPr>
            <w:tcW w:w="2775" w:type="dxa"/>
            <w:shd w:val="clear" w:color="auto" w:fill="auto"/>
            <w:tcMar>
              <w:top w:w="100" w:type="dxa"/>
              <w:left w:w="100" w:type="dxa"/>
              <w:bottom w:w="100" w:type="dxa"/>
              <w:right w:w="100" w:type="dxa"/>
            </w:tcMar>
          </w:tcPr>
          <w:p w14:paraId="0D0B4079" w14:textId="77777777" w:rsidR="00937F2C" w:rsidRDefault="00056F01">
            <w:pPr>
              <w:widowControl w:val="0"/>
            </w:pPr>
            <w:r>
              <w:t>úpravy systému, rozvoj systému, release management</w:t>
            </w:r>
          </w:p>
        </w:tc>
        <w:tc>
          <w:tcPr>
            <w:tcW w:w="1740" w:type="dxa"/>
            <w:shd w:val="clear" w:color="auto" w:fill="auto"/>
            <w:tcMar>
              <w:top w:w="100" w:type="dxa"/>
              <w:left w:w="100" w:type="dxa"/>
              <w:bottom w:w="100" w:type="dxa"/>
              <w:right w:w="100" w:type="dxa"/>
            </w:tcMar>
          </w:tcPr>
          <w:p w14:paraId="03B52818" w14:textId="77777777" w:rsidR="00937F2C" w:rsidRDefault="00056F01">
            <w:pPr>
              <w:widowControl w:val="0"/>
            </w:pPr>
            <w:r>
              <w:t>TA ČR prostřednictvím Dodavatele</w:t>
            </w:r>
          </w:p>
        </w:tc>
        <w:tc>
          <w:tcPr>
            <w:tcW w:w="4560" w:type="dxa"/>
            <w:shd w:val="clear" w:color="auto" w:fill="auto"/>
            <w:tcMar>
              <w:top w:w="100" w:type="dxa"/>
              <w:left w:w="100" w:type="dxa"/>
              <w:bottom w:w="100" w:type="dxa"/>
              <w:right w:w="100" w:type="dxa"/>
            </w:tcMar>
          </w:tcPr>
          <w:p w14:paraId="57CFD4CB" w14:textId="77777777" w:rsidR="00937F2C" w:rsidRDefault="00056F01">
            <w:pPr>
              <w:widowControl w:val="0"/>
            </w:pPr>
            <w:r>
              <w:t>Požadavky, které vyžadují pokročilé úpravy systému, zabezpečí Dodavatel. Komunikaci s Dodavatelem zabezpečuje TA ČR.</w:t>
            </w:r>
          </w:p>
        </w:tc>
      </w:tr>
      <w:tr w:rsidR="00937F2C" w14:paraId="0A276284" w14:textId="77777777">
        <w:tc>
          <w:tcPr>
            <w:tcW w:w="2775" w:type="dxa"/>
            <w:shd w:val="clear" w:color="auto" w:fill="auto"/>
            <w:tcMar>
              <w:top w:w="100" w:type="dxa"/>
              <w:left w:w="100" w:type="dxa"/>
              <w:bottom w:w="100" w:type="dxa"/>
              <w:right w:w="100" w:type="dxa"/>
            </w:tcMar>
          </w:tcPr>
          <w:p w14:paraId="752C6141" w14:textId="77777777" w:rsidR="00937F2C" w:rsidRDefault="00056F01">
            <w:pPr>
              <w:widowControl w:val="0"/>
            </w:pPr>
            <w:r>
              <w:t>testování</w:t>
            </w:r>
          </w:p>
        </w:tc>
        <w:tc>
          <w:tcPr>
            <w:tcW w:w="1740" w:type="dxa"/>
            <w:shd w:val="clear" w:color="auto" w:fill="auto"/>
            <w:tcMar>
              <w:top w:w="100" w:type="dxa"/>
              <w:left w:w="100" w:type="dxa"/>
              <w:bottom w:w="100" w:type="dxa"/>
              <w:right w:w="100" w:type="dxa"/>
            </w:tcMar>
          </w:tcPr>
          <w:p w14:paraId="429BF233" w14:textId="77777777" w:rsidR="00937F2C" w:rsidRDefault="00056F01">
            <w:pPr>
              <w:widowControl w:val="0"/>
            </w:pPr>
            <w:r>
              <w:t>primárně: MZe</w:t>
            </w:r>
          </w:p>
          <w:p w14:paraId="73A76478" w14:textId="77777777" w:rsidR="00937F2C" w:rsidRDefault="00056F01">
            <w:pPr>
              <w:widowControl w:val="0"/>
            </w:pPr>
            <w:r>
              <w:t xml:space="preserve">spolupracuje: TA ČR, Dodavatel  </w:t>
            </w:r>
          </w:p>
        </w:tc>
        <w:tc>
          <w:tcPr>
            <w:tcW w:w="4560" w:type="dxa"/>
            <w:shd w:val="clear" w:color="auto" w:fill="auto"/>
            <w:tcMar>
              <w:top w:w="100" w:type="dxa"/>
              <w:left w:w="100" w:type="dxa"/>
              <w:bottom w:w="100" w:type="dxa"/>
              <w:right w:w="100" w:type="dxa"/>
            </w:tcMar>
          </w:tcPr>
          <w:p w14:paraId="77C6368B" w14:textId="77777777" w:rsidR="00937F2C" w:rsidRDefault="00056F01">
            <w:pPr>
              <w:widowControl w:val="0"/>
            </w:pPr>
            <w:r>
              <w:t>Testování provádí MZe dle instrukcí TA ČR na testovacím nebo školícím prostředí.</w:t>
            </w:r>
          </w:p>
        </w:tc>
      </w:tr>
      <w:tr w:rsidR="00937F2C" w14:paraId="2D259069" w14:textId="77777777">
        <w:tc>
          <w:tcPr>
            <w:tcW w:w="2775" w:type="dxa"/>
            <w:shd w:val="clear" w:color="auto" w:fill="auto"/>
            <w:tcMar>
              <w:top w:w="100" w:type="dxa"/>
              <w:left w:w="100" w:type="dxa"/>
              <w:bottom w:w="100" w:type="dxa"/>
              <w:right w:w="100" w:type="dxa"/>
            </w:tcMar>
          </w:tcPr>
          <w:p w14:paraId="23FB2AB6" w14:textId="77777777" w:rsidR="00937F2C" w:rsidRDefault="00056F01">
            <w:pPr>
              <w:widowControl w:val="0"/>
            </w:pPr>
            <w:r>
              <w:t>uživatelský helpdesk (uchazečům, příjemcům)</w:t>
            </w:r>
          </w:p>
        </w:tc>
        <w:tc>
          <w:tcPr>
            <w:tcW w:w="1740" w:type="dxa"/>
            <w:shd w:val="clear" w:color="auto" w:fill="auto"/>
            <w:tcMar>
              <w:top w:w="100" w:type="dxa"/>
              <w:left w:w="100" w:type="dxa"/>
              <w:bottom w:w="100" w:type="dxa"/>
              <w:right w:w="100" w:type="dxa"/>
            </w:tcMar>
          </w:tcPr>
          <w:p w14:paraId="75A249E7" w14:textId="77777777" w:rsidR="00937F2C" w:rsidRDefault="00056F01">
            <w:pPr>
              <w:widowControl w:val="0"/>
            </w:pPr>
            <w:r>
              <w:t>MZe</w:t>
            </w:r>
          </w:p>
        </w:tc>
        <w:tc>
          <w:tcPr>
            <w:tcW w:w="4560" w:type="dxa"/>
            <w:shd w:val="clear" w:color="auto" w:fill="auto"/>
            <w:tcMar>
              <w:top w:w="100" w:type="dxa"/>
              <w:left w:w="100" w:type="dxa"/>
              <w:bottom w:w="100" w:type="dxa"/>
              <w:right w:w="100" w:type="dxa"/>
            </w:tcMar>
          </w:tcPr>
          <w:p w14:paraId="6DFA0F30" w14:textId="77777777" w:rsidR="00937F2C" w:rsidRDefault="00937F2C">
            <w:pPr>
              <w:widowControl w:val="0"/>
            </w:pPr>
          </w:p>
        </w:tc>
      </w:tr>
      <w:tr w:rsidR="00937F2C" w14:paraId="6D76DF29" w14:textId="77777777">
        <w:tc>
          <w:tcPr>
            <w:tcW w:w="2775" w:type="dxa"/>
            <w:shd w:val="clear" w:color="auto" w:fill="auto"/>
            <w:tcMar>
              <w:top w:w="100" w:type="dxa"/>
              <w:left w:w="100" w:type="dxa"/>
              <w:bottom w:w="100" w:type="dxa"/>
              <w:right w:w="100" w:type="dxa"/>
            </w:tcMar>
          </w:tcPr>
          <w:p w14:paraId="1521DC3F" w14:textId="77777777" w:rsidR="00937F2C" w:rsidRDefault="00056F01">
            <w:pPr>
              <w:widowControl w:val="0"/>
            </w:pPr>
            <w:r>
              <w:t>technický servicedesk</w:t>
            </w:r>
          </w:p>
        </w:tc>
        <w:tc>
          <w:tcPr>
            <w:tcW w:w="1740" w:type="dxa"/>
            <w:shd w:val="clear" w:color="auto" w:fill="auto"/>
            <w:tcMar>
              <w:top w:w="100" w:type="dxa"/>
              <w:left w:w="100" w:type="dxa"/>
              <w:bottom w:w="100" w:type="dxa"/>
              <w:right w:w="100" w:type="dxa"/>
            </w:tcMar>
          </w:tcPr>
          <w:p w14:paraId="4F0B1708" w14:textId="77777777" w:rsidR="00937F2C" w:rsidRDefault="00056F01">
            <w:r>
              <w:t>TA ČR, prostřednictvím Dodavatele</w:t>
            </w:r>
          </w:p>
        </w:tc>
        <w:tc>
          <w:tcPr>
            <w:tcW w:w="4560" w:type="dxa"/>
            <w:shd w:val="clear" w:color="auto" w:fill="auto"/>
            <w:tcMar>
              <w:top w:w="100" w:type="dxa"/>
              <w:left w:w="100" w:type="dxa"/>
              <w:bottom w:w="100" w:type="dxa"/>
              <w:right w:w="100" w:type="dxa"/>
            </w:tcMar>
          </w:tcPr>
          <w:p w14:paraId="777F65F2" w14:textId="77777777" w:rsidR="00937F2C" w:rsidRDefault="00056F01">
            <w:pPr>
              <w:widowControl w:val="0"/>
            </w:pPr>
            <w:r>
              <w:t>Požadavky a incidenty MZe zpracovává v první linii podpory TA ČR, v druhé linii podpory Dodavatel.</w:t>
            </w:r>
          </w:p>
        </w:tc>
      </w:tr>
      <w:tr w:rsidR="00937F2C" w14:paraId="3C9A095F" w14:textId="77777777">
        <w:tc>
          <w:tcPr>
            <w:tcW w:w="2775" w:type="dxa"/>
            <w:shd w:val="clear" w:color="auto" w:fill="auto"/>
            <w:tcMar>
              <w:top w:w="100" w:type="dxa"/>
              <w:left w:w="100" w:type="dxa"/>
              <w:bottom w:w="100" w:type="dxa"/>
              <w:right w:w="100" w:type="dxa"/>
            </w:tcMar>
          </w:tcPr>
          <w:p w14:paraId="045C179E" w14:textId="77777777" w:rsidR="00937F2C" w:rsidRDefault="00056F01">
            <w:pPr>
              <w:widowControl w:val="0"/>
            </w:pPr>
            <w:r>
              <w:lastRenderedPageBreak/>
              <w:t>provoz systému, řešení incidentů</w:t>
            </w:r>
          </w:p>
        </w:tc>
        <w:tc>
          <w:tcPr>
            <w:tcW w:w="1740" w:type="dxa"/>
            <w:shd w:val="clear" w:color="auto" w:fill="auto"/>
            <w:tcMar>
              <w:top w:w="100" w:type="dxa"/>
              <w:left w:w="100" w:type="dxa"/>
              <w:bottom w:w="100" w:type="dxa"/>
              <w:right w:w="100" w:type="dxa"/>
            </w:tcMar>
          </w:tcPr>
          <w:p w14:paraId="5C02B547" w14:textId="77777777" w:rsidR="00937F2C" w:rsidRDefault="00056F01">
            <w:r>
              <w:t>TA ČR prostřednictvím Dodavatele</w:t>
            </w:r>
          </w:p>
        </w:tc>
        <w:tc>
          <w:tcPr>
            <w:tcW w:w="4560" w:type="dxa"/>
            <w:shd w:val="clear" w:color="auto" w:fill="auto"/>
            <w:tcMar>
              <w:top w:w="100" w:type="dxa"/>
              <w:left w:w="100" w:type="dxa"/>
              <w:bottom w:w="100" w:type="dxa"/>
              <w:right w:w="100" w:type="dxa"/>
            </w:tcMar>
          </w:tcPr>
          <w:p w14:paraId="6EF15D6D" w14:textId="77777777" w:rsidR="00937F2C" w:rsidRDefault="00056F01">
            <w:pPr>
              <w:widowControl w:val="0"/>
            </w:pPr>
            <w:r>
              <w:t>Nahlášené incidenty systému řeší Dodavatel.</w:t>
            </w:r>
          </w:p>
        </w:tc>
      </w:tr>
      <w:tr w:rsidR="00937F2C" w14:paraId="4763FCCA" w14:textId="77777777">
        <w:tc>
          <w:tcPr>
            <w:tcW w:w="2775" w:type="dxa"/>
            <w:shd w:val="clear" w:color="auto" w:fill="auto"/>
            <w:tcMar>
              <w:top w:w="100" w:type="dxa"/>
              <w:left w:w="100" w:type="dxa"/>
              <w:bottom w:w="100" w:type="dxa"/>
              <w:right w:w="100" w:type="dxa"/>
            </w:tcMar>
          </w:tcPr>
          <w:p w14:paraId="7C665534" w14:textId="77777777" w:rsidR="00937F2C" w:rsidRDefault="00056F01">
            <w:pPr>
              <w:widowControl w:val="0"/>
            </w:pPr>
            <w:r>
              <w:t>migrace dat</w:t>
            </w:r>
          </w:p>
        </w:tc>
        <w:tc>
          <w:tcPr>
            <w:tcW w:w="1740" w:type="dxa"/>
            <w:shd w:val="clear" w:color="auto" w:fill="auto"/>
            <w:tcMar>
              <w:top w:w="100" w:type="dxa"/>
              <w:left w:w="100" w:type="dxa"/>
              <w:bottom w:w="100" w:type="dxa"/>
              <w:right w:w="100" w:type="dxa"/>
            </w:tcMar>
          </w:tcPr>
          <w:p w14:paraId="7CDFA7F8" w14:textId="77777777" w:rsidR="00937F2C" w:rsidRDefault="00056F01">
            <w:pPr>
              <w:widowControl w:val="0"/>
            </w:pPr>
            <w:r>
              <w:t>MZe</w:t>
            </w:r>
          </w:p>
          <w:p w14:paraId="2B3BCD81" w14:textId="77777777" w:rsidR="00937F2C" w:rsidRDefault="00937F2C">
            <w:pPr>
              <w:widowControl w:val="0"/>
            </w:pPr>
          </w:p>
        </w:tc>
        <w:tc>
          <w:tcPr>
            <w:tcW w:w="4560" w:type="dxa"/>
            <w:shd w:val="clear" w:color="auto" w:fill="auto"/>
            <w:tcMar>
              <w:top w:w="100" w:type="dxa"/>
              <w:left w:w="100" w:type="dxa"/>
              <w:bottom w:w="100" w:type="dxa"/>
              <w:right w:w="100" w:type="dxa"/>
            </w:tcMar>
          </w:tcPr>
          <w:p w14:paraId="3047A3CF" w14:textId="77777777" w:rsidR="00937F2C" w:rsidRDefault="00056F01">
            <w:pPr>
              <w:widowControl w:val="0"/>
            </w:pPr>
            <w:r>
              <w:t>Nahrání dat z realizace veřejných soutěží.</w:t>
            </w:r>
          </w:p>
        </w:tc>
      </w:tr>
      <w:tr w:rsidR="00937F2C" w14:paraId="2A6CCF83" w14:textId="77777777">
        <w:tc>
          <w:tcPr>
            <w:tcW w:w="2775" w:type="dxa"/>
            <w:shd w:val="clear" w:color="auto" w:fill="auto"/>
            <w:tcMar>
              <w:top w:w="100" w:type="dxa"/>
              <w:left w:w="100" w:type="dxa"/>
              <w:bottom w:w="100" w:type="dxa"/>
              <w:right w:w="100" w:type="dxa"/>
            </w:tcMar>
          </w:tcPr>
          <w:p w14:paraId="61E59AE3" w14:textId="77777777" w:rsidR="00937F2C" w:rsidRDefault="00056F01">
            <w:pPr>
              <w:widowControl w:val="0"/>
            </w:pPr>
            <w:r>
              <w:t>reporty</w:t>
            </w:r>
          </w:p>
        </w:tc>
        <w:tc>
          <w:tcPr>
            <w:tcW w:w="1740" w:type="dxa"/>
            <w:shd w:val="clear" w:color="auto" w:fill="auto"/>
            <w:tcMar>
              <w:top w:w="100" w:type="dxa"/>
              <w:left w:w="100" w:type="dxa"/>
              <w:bottom w:w="100" w:type="dxa"/>
              <w:right w:w="100" w:type="dxa"/>
            </w:tcMar>
          </w:tcPr>
          <w:p w14:paraId="4073D792" w14:textId="77777777" w:rsidR="00937F2C" w:rsidRDefault="00056F01">
            <w:pPr>
              <w:widowControl w:val="0"/>
            </w:pPr>
            <w:r>
              <w:t>TA ČR</w:t>
            </w:r>
          </w:p>
        </w:tc>
        <w:tc>
          <w:tcPr>
            <w:tcW w:w="4560" w:type="dxa"/>
            <w:shd w:val="clear" w:color="auto" w:fill="auto"/>
            <w:tcMar>
              <w:top w:w="100" w:type="dxa"/>
              <w:left w:w="100" w:type="dxa"/>
              <w:bottom w:w="100" w:type="dxa"/>
              <w:right w:w="100" w:type="dxa"/>
            </w:tcMar>
          </w:tcPr>
          <w:p w14:paraId="3721E577" w14:textId="77777777" w:rsidR="00937F2C" w:rsidRDefault="00056F01">
            <w:pPr>
              <w:widowControl w:val="0"/>
            </w:pPr>
            <w:r>
              <w:t>Již připravené reporty v systému budou přístupné pro MZe.</w:t>
            </w:r>
          </w:p>
        </w:tc>
      </w:tr>
      <w:tr w:rsidR="00937F2C" w14:paraId="0C7BD4E1" w14:textId="77777777">
        <w:tc>
          <w:tcPr>
            <w:tcW w:w="2775" w:type="dxa"/>
            <w:shd w:val="clear" w:color="auto" w:fill="auto"/>
            <w:tcMar>
              <w:top w:w="100" w:type="dxa"/>
              <w:left w:w="100" w:type="dxa"/>
              <w:bottom w:w="100" w:type="dxa"/>
              <w:right w:w="100" w:type="dxa"/>
            </w:tcMar>
          </w:tcPr>
          <w:p w14:paraId="2B61A0CB" w14:textId="77777777" w:rsidR="00937F2C" w:rsidRDefault="00056F01">
            <w:pPr>
              <w:widowControl w:val="0"/>
            </w:pPr>
            <w:r>
              <w:t>podpora pro hodnotitele  VS MZe</w:t>
            </w:r>
          </w:p>
        </w:tc>
        <w:tc>
          <w:tcPr>
            <w:tcW w:w="1740" w:type="dxa"/>
            <w:shd w:val="clear" w:color="auto" w:fill="auto"/>
            <w:tcMar>
              <w:top w:w="100" w:type="dxa"/>
              <w:left w:w="100" w:type="dxa"/>
              <w:bottom w:w="100" w:type="dxa"/>
              <w:right w:w="100" w:type="dxa"/>
            </w:tcMar>
          </w:tcPr>
          <w:p w14:paraId="5B625B2B" w14:textId="77777777" w:rsidR="00937F2C" w:rsidRDefault="00056F01">
            <w:pPr>
              <w:widowControl w:val="0"/>
            </w:pPr>
            <w:r>
              <w:t>primárně:</w:t>
            </w:r>
          </w:p>
          <w:p w14:paraId="67506F23" w14:textId="77777777" w:rsidR="00937F2C" w:rsidRDefault="00056F01">
            <w:pPr>
              <w:widowControl w:val="0"/>
            </w:pPr>
            <w:r>
              <w:t>TA ČR</w:t>
            </w:r>
          </w:p>
          <w:p w14:paraId="13C48ED9" w14:textId="77777777" w:rsidR="00937F2C" w:rsidRDefault="00056F01">
            <w:pPr>
              <w:widowControl w:val="0"/>
            </w:pPr>
            <w:r>
              <w:t>spolupracuje:</w:t>
            </w:r>
          </w:p>
          <w:p w14:paraId="76A8DB58" w14:textId="77777777" w:rsidR="00937F2C" w:rsidRDefault="00056F01">
            <w:pPr>
              <w:widowControl w:val="0"/>
            </w:pPr>
            <w:r>
              <w:t>MZe</w:t>
            </w:r>
          </w:p>
        </w:tc>
        <w:tc>
          <w:tcPr>
            <w:tcW w:w="4560" w:type="dxa"/>
            <w:shd w:val="clear" w:color="auto" w:fill="auto"/>
            <w:tcMar>
              <w:top w:w="100" w:type="dxa"/>
              <w:left w:w="100" w:type="dxa"/>
              <w:bottom w:w="100" w:type="dxa"/>
              <w:right w:w="100" w:type="dxa"/>
            </w:tcMar>
          </w:tcPr>
          <w:p w14:paraId="46F3A7DE" w14:textId="77777777" w:rsidR="00937F2C" w:rsidRDefault="00056F01">
            <w:pPr>
              <w:widowControl w:val="0"/>
            </w:pPr>
            <w:r>
              <w:t>TA ČR poskytuje technickou podporu pro hodnotitele VS MZe. V případě věcných požadavků postoupí MZe</w:t>
            </w:r>
          </w:p>
        </w:tc>
      </w:tr>
      <w:tr w:rsidR="00937F2C" w14:paraId="55E25CEE" w14:textId="77777777">
        <w:tc>
          <w:tcPr>
            <w:tcW w:w="2775" w:type="dxa"/>
            <w:shd w:val="clear" w:color="auto" w:fill="auto"/>
            <w:tcMar>
              <w:top w:w="100" w:type="dxa"/>
              <w:left w:w="100" w:type="dxa"/>
              <w:bottom w:w="100" w:type="dxa"/>
              <w:right w:w="100" w:type="dxa"/>
            </w:tcMar>
          </w:tcPr>
          <w:p w14:paraId="05A27E6E" w14:textId="77777777" w:rsidR="00937F2C" w:rsidRDefault="00056F01">
            <w:pPr>
              <w:widowControl w:val="0"/>
            </w:pPr>
            <w:r>
              <w:t>zvýšená podpora pro technický servicedesk</w:t>
            </w:r>
          </w:p>
        </w:tc>
        <w:tc>
          <w:tcPr>
            <w:tcW w:w="1740" w:type="dxa"/>
            <w:shd w:val="clear" w:color="auto" w:fill="auto"/>
            <w:tcMar>
              <w:top w:w="100" w:type="dxa"/>
              <w:left w:w="100" w:type="dxa"/>
              <w:bottom w:w="100" w:type="dxa"/>
              <w:right w:w="100" w:type="dxa"/>
            </w:tcMar>
          </w:tcPr>
          <w:p w14:paraId="45D8E866" w14:textId="77777777" w:rsidR="00937F2C" w:rsidRDefault="00056F01">
            <w:pPr>
              <w:widowControl w:val="0"/>
            </w:pPr>
            <w:r>
              <w:t>TA ČR prostřednictvím dodavatele</w:t>
            </w:r>
          </w:p>
        </w:tc>
        <w:tc>
          <w:tcPr>
            <w:tcW w:w="4560" w:type="dxa"/>
            <w:shd w:val="clear" w:color="auto" w:fill="auto"/>
            <w:tcMar>
              <w:top w:w="100" w:type="dxa"/>
              <w:left w:w="100" w:type="dxa"/>
              <w:bottom w:w="100" w:type="dxa"/>
              <w:right w:w="100" w:type="dxa"/>
            </w:tcMar>
          </w:tcPr>
          <w:p w14:paraId="2D5871DD" w14:textId="77777777" w:rsidR="00937F2C" w:rsidRDefault="00056F01">
            <w:pPr>
              <w:widowControl w:val="0"/>
            </w:pPr>
            <w:r>
              <w:t xml:space="preserve">Zajištění zvýšené podpory např. pro období konce lhůty pro podání návrhu projektu. </w:t>
            </w:r>
          </w:p>
          <w:p w14:paraId="3514F8D6" w14:textId="77777777" w:rsidR="00937F2C" w:rsidRDefault="00937F2C">
            <w:pPr>
              <w:widowControl w:val="0"/>
            </w:pPr>
          </w:p>
          <w:p w14:paraId="009B0383" w14:textId="77777777" w:rsidR="00937F2C" w:rsidRDefault="00056F01">
            <w:pPr>
              <w:widowControl w:val="0"/>
            </w:pPr>
            <w:r>
              <w:t>Předpokládají se 3 dny zvýšené podpory na lhůtu veřejné soutěže.</w:t>
            </w:r>
          </w:p>
        </w:tc>
      </w:tr>
    </w:tbl>
    <w:p w14:paraId="6813F3F8" w14:textId="77777777" w:rsidR="00937F2C" w:rsidRDefault="00937F2C">
      <w:pPr>
        <w:jc w:val="both"/>
      </w:pPr>
    </w:p>
    <w:p w14:paraId="608370C5" w14:textId="77777777" w:rsidR="00937F2C" w:rsidRDefault="00056F01">
      <w:pPr>
        <w:numPr>
          <w:ilvl w:val="0"/>
          <w:numId w:val="15"/>
        </w:numPr>
        <w:ind w:left="425"/>
        <w:jc w:val="both"/>
      </w:pPr>
      <w:r>
        <w:t xml:space="preserve">Termíny předpokládaných špiček zátěže systému (např. konec soutěžní lhůty veřejné </w:t>
      </w:r>
      <w:r>
        <w:tab/>
        <w:t>soutěže MZe) se stanovují ve spolupráci s TA ČR.</w:t>
      </w:r>
    </w:p>
    <w:p w14:paraId="2D8A2330" w14:textId="77777777" w:rsidR="00937F2C" w:rsidRDefault="00937F2C">
      <w:pPr>
        <w:jc w:val="both"/>
      </w:pPr>
    </w:p>
    <w:p w14:paraId="2774B850" w14:textId="77777777" w:rsidR="00937F2C" w:rsidRDefault="00937F2C"/>
    <w:p w14:paraId="43CFA0AA" w14:textId="77777777" w:rsidR="00937F2C" w:rsidRDefault="00056F01">
      <w:pPr>
        <w:jc w:val="center"/>
        <w:rPr>
          <w:b/>
        </w:rPr>
      </w:pPr>
      <w:r>
        <w:rPr>
          <w:b/>
        </w:rPr>
        <w:t>Článek 2.</w:t>
      </w:r>
    </w:p>
    <w:p w14:paraId="0F537E2A" w14:textId="77777777" w:rsidR="00937F2C" w:rsidRDefault="00056F01">
      <w:pPr>
        <w:jc w:val="center"/>
        <w:rPr>
          <w:b/>
        </w:rPr>
      </w:pPr>
      <w:r>
        <w:rPr>
          <w:b/>
        </w:rPr>
        <w:t xml:space="preserve">Finanční ohodnocení plnění </w:t>
      </w:r>
    </w:p>
    <w:p w14:paraId="111BD406" w14:textId="77777777" w:rsidR="00937F2C" w:rsidRDefault="00937F2C">
      <w:pPr>
        <w:ind w:left="720"/>
        <w:jc w:val="center"/>
        <w:rPr>
          <w:b/>
        </w:rPr>
      </w:pPr>
    </w:p>
    <w:p w14:paraId="73A19795" w14:textId="3C78FDAC" w:rsidR="00937F2C" w:rsidRDefault="005D72C5">
      <w:pPr>
        <w:numPr>
          <w:ilvl w:val="0"/>
          <w:numId w:val="1"/>
        </w:numPr>
        <w:jc w:val="both"/>
      </w:pPr>
      <w:r>
        <w:t>Finanční ohodnocení plnění za období do 31. 12. 2020, které je nutné pro převod rozpočtových prostředků do rozpočtové kapitoly TAČR, bude sestaveno na základě kvalifikovaného odhadu provozních nákladů (technický provoz systému, podpora TA ČR, podpora Dodavatele), nákladů na rozvoj (implementace hodnotícího procesu MZe, úpravy systému za účelem migrace projektů, příprava veřejné soutěže MZe)</w:t>
      </w:r>
      <w:r w:rsidR="003C271A" w:rsidRPr="003C271A">
        <w:rPr>
          <w:color w:val="000000"/>
        </w:rPr>
        <w:t xml:space="preserve"> </w:t>
      </w:r>
      <w:r w:rsidR="003C271A">
        <w:rPr>
          <w:color w:val="000000"/>
        </w:rPr>
        <w:t>a nákladů na hodnotitele (finanční odměna pro zpravodaje projektů MZe v realizaci)</w:t>
      </w:r>
      <w:r w:rsidR="00B477CF">
        <w:t>.</w:t>
      </w:r>
      <w:r>
        <w:t xml:space="preserve"> </w:t>
      </w:r>
    </w:p>
    <w:p w14:paraId="1941322E" w14:textId="77777777" w:rsidR="00937F2C" w:rsidRDefault="00937F2C">
      <w:pPr>
        <w:ind w:left="720"/>
        <w:jc w:val="both"/>
      </w:pPr>
    </w:p>
    <w:p w14:paraId="752EDCB5" w14:textId="30E758F4" w:rsidR="00937F2C" w:rsidRDefault="00056F01">
      <w:pPr>
        <w:numPr>
          <w:ilvl w:val="0"/>
          <w:numId w:val="1"/>
        </w:numPr>
        <w:jc w:val="both"/>
      </w:pPr>
      <w:r>
        <w:t>Sazba plnění poskytnutých ze strany TA ČR pro MZe za 8 hodin</w:t>
      </w:r>
      <w:r w:rsidR="00FB4943">
        <w:t xml:space="preserve"> prá</w:t>
      </w:r>
      <w:r w:rsidR="00D31A73">
        <w:t xml:space="preserve">ce jedné osoby </w:t>
      </w:r>
      <w:r>
        <w:t xml:space="preserve"> (jeden člověkoden) je dána </w:t>
      </w:r>
      <w:r w:rsidR="00D31A73">
        <w:t xml:space="preserve">příslušnými </w:t>
      </w:r>
      <w:r>
        <w:t xml:space="preserve">platovými </w:t>
      </w:r>
      <w:r w:rsidR="00D31A73">
        <w:t xml:space="preserve">tabulkami </w:t>
      </w:r>
      <w:r>
        <w:t xml:space="preserve"> </w:t>
      </w:r>
      <w:r w:rsidR="00D31A73">
        <w:t xml:space="preserve">pro </w:t>
      </w:r>
      <w:r>
        <w:t>státní správ</w:t>
      </w:r>
      <w:r w:rsidR="00D31A73">
        <w:t>u</w:t>
      </w:r>
      <w:r w:rsidR="009E1050">
        <w:t>.</w:t>
      </w:r>
    </w:p>
    <w:p w14:paraId="21D60F55" w14:textId="77777777" w:rsidR="00937F2C" w:rsidRDefault="00937F2C">
      <w:pPr>
        <w:ind w:left="720"/>
        <w:jc w:val="both"/>
      </w:pPr>
    </w:p>
    <w:p w14:paraId="2C16E1DC" w14:textId="76CC9A24" w:rsidR="00937F2C" w:rsidRDefault="00056F01">
      <w:pPr>
        <w:numPr>
          <w:ilvl w:val="0"/>
          <w:numId w:val="1"/>
        </w:numPr>
        <w:jc w:val="both"/>
      </w:pPr>
      <w:r>
        <w:t>Sazba plnění, které prostřednictvím TA ČR poskytne pro MZe Dodavatel, je uvedena v nabídce Dodavatele k veřejné zakázce za účelem zasmluvnění Dodavatele, přičemž tato cena nebude vyšší než 8 712 Kč za 8 hodin práce</w:t>
      </w:r>
      <w:r w:rsidR="00855011">
        <w:t xml:space="preserve"> jedné osoby</w:t>
      </w:r>
      <w:r>
        <w:t xml:space="preserve"> (jeden člověkoden). V případě zapojení stávajícího nebo jiného dodavatele či dodavatelů služeb pro rozvoj systému ISTA, vybraným či vybranými na základě nadlimitní veřejné zakázky pro rozvoj ISTA vyhlášené TA ČR se budou tyto ceny řídit dle ceny za jeden člověkoden vysoutěžené v této zakázce.</w:t>
      </w:r>
    </w:p>
    <w:p w14:paraId="04E36E52" w14:textId="77777777" w:rsidR="00937F2C" w:rsidRDefault="00937F2C">
      <w:pPr>
        <w:ind w:left="720"/>
        <w:jc w:val="both"/>
      </w:pPr>
    </w:p>
    <w:p w14:paraId="240BF883" w14:textId="77777777" w:rsidR="00937F2C" w:rsidRDefault="00056F01">
      <w:pPr>
        <w:numPr>
          <w:ilvl w:val="0"/>
          <w:numId w:val="1"/>
        </w:numPr>
        <w:jc w:val="both"/>
      </w:pPr>
      <w:r>
        <w:t>Předpokládané pracnosti pro konfiguraci modulů pro první vyhlášenou soutěž:</w:t>
      </w:r>
    </w:p>
    <w:p w14:paraId="7A498052" w14:textId="77777777" w:rsidR="00937F2C" w:rsidRDefault="00937F2C">
      <w:pPr>
        <w:ind w:left="720"/>
        <w:jc w:val="both"/>
      </w:pPr>
    </w:p>
    <w:tbl>
      <w:tblPr>
        <w:tblStyle w:val="a1"/>
        <w:tblW w:w="8352"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6"/>
        <w:gridCol w:w="4176"/>
      </w:tblGrid>
      <w:tr w:rsidR="00937F2C" w14:paraId="5989B03E" w14:textId="77777777">
        <w:tc>
          <w:tcPr>
            <w:tcW w:w="4176" w:type="dxa"/>
            <w:shd w:val="clear" w:color="auto" w:fill="auto"/>
            <w:tcMar>
              <w:top w:w="100" w:type="dxa"/>
              <w:left w:w="100" w:type="dxa"/>
              <w:bottom w:w="100" w:type="dxa"/>
              <w:right w:w="100" w:type="dxa"/>
            </w:tcMar>
          </w:tcPr>
          <w:p w14:paraId="70CCB59C" w14:textId="77777777" w:rsidR="00937F2C" w:rsidRDefault="00056F01">
            <w:pPr>
              <w:widowControl w:val="0"/>
              <w:pBdr>
                <w:top w:val="nil"/>
                <w:left w:val="nil"/>
                <w:bottom w:val="nil"/>
                <w:right w:val="nil"/>
                <w:between w:val="nil"/>
              </w:pBdr>
            </w:pPr>
            <w:r>
              <w:lastRenderedPageBreak/>
              <w:t>vyhlášení veřejné soutěže (projektová</w:t>
            </w:r>
          </w:p>
          <w:p w14:paraId="78600A32" w14:textId="77777777" w:rsidR="00937F2C" w:rsidRDefault="00056F01">
            <w:pPr>
              <w:widowControl w:val="0"/>
              <w:pBdr>
                <w:top w:val="nil"/>
                <w:left w:val="nil"/>
                <w:bottom w:val="nil"/>
                <w:right w:val="nil"/>
                <w:between w:val="nil"/>
              </w:pBdr>
            </w:pPr>
            <w:r>
              <w:t>přihláška), podávání přihlášek, formální kontrola</w:t>
            </w:r>
          </w:p>
        </w:tc>
        <w:tc>
          <w:tcPr>
            <w:tcW w:w="4176" w:type="dxa"/>
            <w:shd w:val="clear" w:color="auto" w:fill="auto"/>
            <w:tcMar>
              <w:top w:w="100" w:type="dxa"/>
              <w:left w:w="100" w:type="dxa"/>
              <w:bottom w:w="100" w:type="dxa"/>
              <w:right w:w="100" w:type="dxa"/>
            </w:tcMar>
          </w:tcPr>
          <w:p w14:paraId="177408FE" w14:textId="77777777" w:rsidR="00937F2C" w:rsidRDefault="00056F01">
            <w:pPr>
              <w:widowControl w:val="0"/>
              <w:pBdr>
                <w:top w:val="nil"/>
                <w:left w:val="nil"/>
                <w:bottom w:val="nil"/>
                <w:right w:val="nil"/>
                <w:between w:val="nil"/>
              </w:pBdr>
            </w:pPr>
            <w:r>
              <w:t>15 člověkodnů</w:t>
            </w:r>
          </w:p>
        </w:tc>
      </w:tr>
      <w:tr w:rsidR="00937F2C" w14:paraId="5970B722" w14:textId="77777777">
        <w:tc>
          <w:tcPr>
            <w:tcW w:w="4176" w:type="dxa"/>
            <w:shd w:val="clear" w:color="auto" w:fill="auto"/>
            <w:tcMar>
              <w:top w:w="100" w:type="dxa"/>
              <w:left w:w="100" w:type="dxa"/>
              <w:bottom w:w="100" w:type="dxa"/>
              <w:right w:w="100" w:type="dxa"/>
            </w:tcMar>
          </w:tcPr>
          <w:p w14:paraId="123B2EAA" w14:textId="77777777" w:rsidR="00937F2C" w:rsidRDefault="00056F01">
            <w:pPr>
              <w:widowControl w:val="0"/>
              <w:pBdr>
                <w:top w:val="nil"/>
                <w:left w:val="nil"/>
                <w:bottom w:val="nil"/>
                <w:right w:val="nil"/>
                <w:between w:val="nil"/>
              </w:pBdr>
            </w:pPr>
            <w:r>
              <w:t>příprava a generování smluv k podpisu,</w:t>
            </w:r>
          </w:p>
          <w:p w14:paraId="0379F811" w14:textId="77777777" w:rsidR="00937F2C" w:rsidRDefault="00056F01">
            <w:pPr>
              <w:widowControl w:val="0"/>
              <w:pBdr>
                <w:top w:val="nil"/>
                <w:left w:val="nil"/>
                <w:bottom w:val="nil"/>
                <w:right w:val="nil"/>
                <w:between w:val="nil"/>
              </w:pBdr>
            </w:pPr>
            <w:r>
              <w:t>zveřejnění hodnocení, úprava integrací</w:t>
            </w:r>
          </w:p>
        </w:tc>
        <w:tc>
          <w:tcPr>
            <w:tcW w:w="4176" w:type="dxa"/>
            <w:shd w:val="clear" w:color="auto" w:fill="auto"/>
            <w:tcMar>
              <w:top w:w="100" w:type="dxa"/>
              <w:left w:w="100" w:type="dxa"/>
              <w:bottom w:w="100" w:type="dxa"/>
              <w:right w:w="100" w:type="dxa"/>
            </w:tcMar>
          </w:tcPr>
          <w:p w14:paraId="792E6283" w14:textId="77777777" w:rsidR="00937F2C" w:rsidRDefault="00056F01">
            <w:pPr>
              <w:widowControl w:val="0"/>
              <w:pBdr>
                <w:top w:val="nil"/>
                <w:left w:val="nil"/>
                <w:bottom w:val="nil"/>
                <w:right w:val="nil"/>
                <w:between w:val="nil"/>
              </w:pBdr>
            </w:pPr>
            <w:r>
              <w:t>15 člověkodnů</w:t>
            </w:r>
          </w:p>
          <w:p w14:paraId="03864097" w14:textId="77777777" w:rsidR="00937F2C" w:rsidRDefault="00056F01">
            <w:pPr>
              <w:widowControl w:val="0"/>
              <w:pBdr>
                <w:top w:val="nil"/>
                <w:left w:val="nil"/>
                <w:bottom w:val="nil"/>
                <w:right w:val="nil"/>
                <w:between w:val="nil"/>
              </w:pBdr>
            </w:pPr>
            <w:r>
              <w:t>(pouze v případě zachování existujícího</w:t>
            </w:r>
          </w:p>
          <w:p w14:paraId="5068A437" w14:textId="77777777" w:rsidR="00937F2C" w:rsidRDefault="00056F01">
            <w:pPr>
              <w:widowControl w:val="0"/>
              <w:pBdr>
                <w:top w:val="nil"/>
                <w:left w:val="nil"/>
                <w:bottom w:val="nil"/>
                <w:right w:val="nil"/>
                <w:between w:val="nil"/>
              </w:pBdr>
            </w:pPr>
            <w:r>
              <w:t>workflow a formulářů)</w:t>
            </w:r>
          </w:p>
        </w:tc>
      </w:tr>
      <w:tr w:rsidR="00937F2C" w14:paraId="28C5C727" w14:textId="77777777">
        <w:tc>
          <w:tcPr>
            <w:tcW w:w="4176" w:type="dxa"/>
            <w:shd w:val="clear" w:color="auto" w:fill="auto"/>
            <w:tcMar>
              <w:top w:w="100" w:type="dxa"/>
              <w:left w:w="100" w:type="dxa"/>
              <w:bottom w:w="100" w:type="dxa"/>
              <w:right w:w="100" w:type="dxa"/>
            </w:tcMar>
          </w:tcPr>
          <w:p w14:paraId="542E756F" w14:textId="77777777" w:rsidR="00937F2C" w:rsidRDefault="00056F01">
            <w:pPr>
              <w:widowControl w:val="0"/>
              <w:pBdr>
                <w:top w:val="nil"/>
                <w:left w:val="nil"/>
                <w:bottom w:val="nil"/>
                <w:right w:val="nil"/>
                <w:between w:val="nil"/>
              </w:pBdr>
            </w:pPr>
            <w:r>
              <w:t>proces změnového řízení projektů,</w:t>
            </w:r>
          </w:p>
          <w:p w14:paraId="155BF440" w14:textId="77777777" w:rsidR="00937F2C" w:rsidRDefault="00056F01">
            <w:pPr>
              <w:widowControl w:val="0"/>
              <w:pBdr>
                <w:top w:val="nil"/>
                <w:left w:val="nil"/>
                <w:bottom w:val="nil"/>
                <w:right w:val="nil"/>
                <w:between w:val="nil"/>
              </w:pBdr>
            </w:pPr>
            <w:r>
              <w:t>generování dodatků, úprava exportu CEP</w:t>
            </w:r>
          </w:p>
        </w:tc>
        <w:tc>
          <w:tcPr>
            <w:tcW w:w="4176" w:type="dxa"/>
            <w:shd w:val="clear" w:color="auto" w:fill="auto"/>
            <w:tcMar>
              <w:top w:w="100" w:type="dxa"/>
              <w:left w:w="100" w:type="dxa"/>
              <w:bottom w:w="100" w:type="dxa"/>
              <w:right w:w="100" w:type="dxa"/>
            </w:tcMar>
          </w:tcPr>
          <w:p w14:paraId="03B5F553" w14:textId="77777777" w:rsidR="00937F2C" w:rsidRDefault="00056F01">
            <w:pPr>
              <w:widowControl w:val="0"/>
              <w:pBdr>
                <w:top w:val="nil"/>
                <w:left w:val="nil"/>
                <w:bottom w:val="nil"/>
                <w:right w:val="nil"/>
                <w:between w:val="nil"/>
              </w:pBdr>
            </w:pPr>
            <w:r>
              <w:t>20 člověkodnů</w:t>
            </w:r>
          </w:p>
          <w:p w14:paraId="76911BDC" w14:textId="77777777" w:rsidR="00937F2C" w:rsidRDefault="00056F01">
            <w:pPr>
              <w:widowControl w:val="0"/>
              <w:pBdr>
                <w:top w:val="nil"/>
                <w:left w:val="nil"/>
                <w:bottom w:val="nil"/>
                <w:right w:val="nil"/>
                <w:between w:val="nil"/>
              </w:pBdr>
            </w:pPr>
            <w:r>
              <w:t>(pouze v případě zachování existujícího</w:t>
            </w:r>
          </w:p>
          <w:p w14:paraId="37E6B54B" w14:textId="77777777" w:rsidR="00937F2C" w:rsidRDefault="00056F01">
            <w:pPr>
              <w:widowControl w:val="0"/>
              <w:pBdr>
                <w:top w:val="nil"/>
                <w:left w:val="nil"/>
                <w:bottom w:val="nil"/>
                <w:right w:val="nil"/>
                <w:between w:val="nil"/>
              </w:pBdr>
            </w:pPr>
            <w:r>
              <w:t>workflow a formulářů)</w:t>
            </w:r>
          </w:p>
        </w:tc>
      </w:tr>
      <w:tr w:rsidR="00937F2C" w14:paraId="09D63F5C" w14:textId="77777777">
        <w:tc>
          <w:tcPr>
            <w:tcW w:w="4176" w:type="dxa"/>
            <w:shd w:val="clear" w:color="auto" w:fill="auto"/>
            <w:tcMar>
              <w:top w:w="100" w:type="dxa"/>
              <w:left w:w="100" w:type="dxa"/>
              <w:bottom w:w="100" w:type="dxa"/>
              <w:right w:w="100" w:type="dxa"/>
            </w:tcMar>
          </w:tcPr>
          <w:p w14:paraId="4675F2E4" w14:textId="77777777" w:rsidR="00937F2C" w:rsidRDefault="00056F01">
            <w:pPr>
              <w:widowControl w:val="0"/>
              <w:pBdr>
                <w:top w:val="nil"/>
                <w:left w:val="nil"/>
                <w:bottom w:val="nil"/>
                <w:right w:val="nil"/>
                <w:between w:val="nil"/>
              </w:pBdr>
            </w:pPr>
            <w:r>
              <w:t>úpravy systému za účelem migrace dat a příprava ročních (průběžných)</w:t>
            </w:r>
          </w:p>
          <w:p w14:paraId="35F3F8DC" w14:textId="77777777" w:rsidR="00937F2C" w:rsidRDefault="00056F01">
            <w:pPr>
              <w:widowControl w:val="0"/>
              <w:pBdr>
                <w:top w:val="nil"/>
                <w:left w:val="nil"/>
                <w:bottom w:val="nil"/>
                <w:right w:val="nil"/>
                <w:between w:val="nil"/>
              </w:pBdr>
            </w:pPr>
            <w:r>
              <w:t>a závěrečných zpráv</w:t>
            </w:r>
          </w:p>
        </w:tc>
        <w:tc>
          <w:tcPr>
            <w:tcW w:w="4176" w:type="dxa"/>
            <w:shd w:val="clear" w:color="auto" w:fill="auto"/>
            <w:tcMar>
              <w:top w:w="100" w:type="dxa"/>
              <w:left w:w="100" w:type="dxa"/>
              <w:bottom w:w="100" w:type="dxa"/>
              <w:right w:w="100" w:type="dxa"/>
            </w:tcMar>
          </w:tcPr>
          <w:p w14:paraId="6B9ED634" w14:textId="77777777" w:rsidR="00937F2C" w:rsidRDefault="00056F01">
            <w:pPr>
              <w:widowControl w:val="0"/>
              <w:pBdr>
                <w:top w:val="nil"/>
                <w:left w:val="nil"/>
                <w:bottom w:val="nil"/>
                <w:right w:val="nil"/>
                <w:between w:val="nil"/>
              </w:pBdr>
            </w:pPr>
            <w:r>
              <w:t>30 člověkodnů</w:t>
            </w:r>
          </w:p>
          <w:p w14:paraId="478C7144" w14:textId="77777777" w:rsidR="00937F2C" w:rsidRDefault="00056F01">
            <w:pPr>
              <w:widowControl w:val="0"/>
              <w:pBdr>
                <w:top w:val="nil"/>
                <w:left w:val="nil"/>
                <w:bottom w:val="nil"/>
                <w:right w:val="nil"/>
                <w:between w:val="nil"/>
              </w:pBdr>
            </w:pPr>
            <w:r>
              <w:t>(pouze v případě zachování existujícího</w:t>
            </w:r>
          </w:p>
          <w:p w14:paraId="71E21897" w14:textId="77777777" w:rsidR="00937F2C" w:rsidRDefault="00056F01">
            <w:pPr>
              <w:widowControl w:val="0"/>
              <w:pBdr>
                <w:top w:val="nil"/>
                <w:left w:val="nil"/>
                <w:bottom w:val="nil"/>
                <w:right w:val="nil"/>
                <w:between w:val="nil"/>
              </w:pBdr>
            </w:pPr>
            <w:r>
              <w:t>workflow a formulářů)</w:t>
            </w:r>
          </w:p>
        </w:tc>
      </w:tr>
      <w:tr w:rsidR="00937F2C" w14:paraId="2D0E3B7F" w14:textId="77777777">
        <w:trPr>
          <w:trHeight w:val="440"/>
        </w:trPr>
        <w:tc>
          <w:tcPr>
            <w:tcW w:w="4176" w:type="dxa"/>
            <w:shd w:val="clear" w:color="auto" w:fill="auto"/>
            <w:tcMar>
              <w:top w:w="100" w:type="dxa"/>
              <w:left w:w="100" w:type="dxa"/>
              <w:bottom w:w="100" w:type="dxa"/>
              <w:right w:w="100" w:type="dxa"/>
            </w:tcMar>
          </w:tcPr>
          <w:p w14:paraId="7B49727A" w14:textId="77777777" w:rsidR="00937F2C" w:rsidRDefault="00056F01">
            <w:pPr>
              <w:widowControl w:val="0"/>
              <w:pBdr>
                <w:top w:val="nil"/>
                <w:left w:val="nil"/>
                <w:bottom w:val="nil"/>
                <w:right w:val="nil"/>
                <w:between w:val="nil"/>
              </w:pBdr>
            </w:pPr>
            <w:r>
              <w:t>technická podpora (servicedesk)</w:t>
            </w:r>
          </w:p>
        </w:tc>
        <w:tc>
          <w:tcPr>
            <w:tcW w:w="4176" w:type="dxa"/>
            <w:shd w:val="clear" w:color="auto" w:fill="auto"/>
            <w:tcMar>
              <w:top w:w="100" w:type="dxa"/>
              <w:left w:w="100" w:type="dxa"/>
              <w:bottom w:w="100" w:type="dxa"/>
              <w:right w:w="100" w:type="dxa"/>
            </w:tcMar>
          </w:tcPr>
          <w:p w14:paraId="4BB9AC27" w14:textId="77777777" w:rsidR="00937F2C" w:rsidRDefault="00056F01">
            <w:pPr>
              <w:widowControl w:val="0"/>
              <w:pBdr>
                <w:top w:val="nil"/>
                <w:left w:val="nil"/>
                <w:bottom w:val="nil"/>
                <w:right w:val="nil"/>
                <w:between w:val="nil"/>
              </w:pBdr>
            </w:pPr>
            <w:r>
              <w:t>25 člověkodnů</w:t>
            </w:r>
          </w:p>
        </w:tc>
      </w:tr>
      <w:tr w:rsidR="00937F2C" w14:paraId="20B41624" w14:textId="77777777">
        <w:trPr>
          <w:trHeight w:val="440"/>
        </w:trPr>
        <w:tc>
          <w:tcPr>
            <w:tcW w:w="4176" w:type="dxa"/>
            <w:shd w:val="clear" w:color="auto" w:fill="auto"/>
            <w:tcMar>
              <w:top w:w="100" w:type="dxa"/>
              <w:left w:w="100" w:type="dxa"/>
              <w:bottom w:w="100" w:type="dxa"/>
              <w:right w:w="100" w:type="dxa"/>
            </w:tcMar>
          </w:tcPr>
          <w:p w14:paraId="160D3D1F" w14:textId="77777777" w:rsidR="00937F2C" w:rsidRDefault="00056F01">
            <w:pPr>
              <w:widowControl w:val="0"/>
              <w:pBdr>
                <w:top w:val="nil"/>
                <w:left w:val="nil"/>
                <w:bottom w:val="nil"/>
                <w:right w:val="nil"/>
                <w:between w:val="nil"/>
              </w:pBdr>
            </w:pPr>
            <w:r>
              <w:t>implementace hodnotícího procesu MZe</w:t>
            </w:r>
          </w:p>
        </w:tc>
        <w:tc>
          <w:tcPr>
            <w:tcW w:w="4176" w:type="dxa"/>
            <w:shd w:val="clear" w:color="auto" w:fill="auto"/>
            <w:tcMar>
              <w:top w:w="100" w:type="dxa"/>
              <w:left w:w="100" w:type="dxa"/>
              <w:bottom w:w="100" w:type="dxa"/>
              <w:right w:w="100" w:type="dxa"/>
            </w:tcMar>
          </w:tcPr>
          <w:p w14:paraId="14EE9AC4" w14:textId="77777777" w:rsidR="00937F2C" w:rsidRDefault="00056F01">
            <w:pPr>
              <w:widowControl w:val="0"/>
              <w:pBdr>
                <w:top w:val="nil"/>
                <w:left w:val="nil"/>
                <w:bottom w:val="nil"/>
                <w:right w:val="nil"/>
                <w:between w:val="nil"/>
              </w:pBdr>
            </w:pPr>
            <w:r>
              <w:t>32 člověkodnů</w:t>
            </w:r>
          </w:p>
        </w:tc>
      </w:tr>
    </w:tbl>
    <w:p w14:paraId="37C21AC0" w14:textId="77777777" w:rsidR="00937F2C" w:rsidRDefault="00937F2C">
      <w:pPr>
        <w:ind w:left="720"/>
        <w:jc w:val="both"/>
      </w:pPr>
    </w:p>
    <w:p w14:paraId="2C891004" w14:textId="77777777" w:rsidR="00937F2C" w:rsidRDefault="00937F2C">
      <w:pPr>
        <w:ind w:left="720"/>
        <w:jc w:val="both"/>
      </w:pPr>
    </w:p>
    <w:p w14:paraId="2138423F" w14:textId="77777777" w:rsidR="00937F2C" w:rsidRDefault="00937F2C">
      <w:pPr>
        <w:jc w:val="both"/>
      </w:pPr>
    </w:p>
    <w:p w14:paraId="065227BB" w14:textId="77777777" w:rsidR="00937F2C" w:rsidRDefault="00056F01">
      <w:pPr>
        <w:jc w:val="center"/>
        <w:rPr>
          <w:b/>
        </w:rPr>
      </w:pPr>
      <w:r>
        <w:rPr>
          <w:b/>
        </w:rPr>
        <w:t>Článek 3.</w:t>
      </w:r>
    </w:p>
    <w:p w14:paraId="18CAF74B" w14:textId="77777777" w:rsidR="00937F2C" w:rsidRDefault="00056F01">
      <w:pPr>
        <w:jc w:val="center"/>
        <w:rPr>
          <w:b/>
        </w:rPr>
      </w:pPr>
      <w:r>
        <w:rPr>
          <w:b/>
        </w:rPr>
        <w:t>Specifikace poskytovaných modulů systému ISTA</w:t>
      </w:r>
    </w:p>
    <w:p w14:paraId="3D7DC13A" w14:textId="77777777" w:rsidR="00937F2C" w:rsidRDefault="00937F2C">
      <w:pPr>
        <w:ind w:left="720"/>
        <w:jc w:val="center"/>
        <w:rPr>
          <w:b/>
        </w:rPr>
      </w:pPr>
      <w:bookmarkStart w:id="3" w:name="_1fob9te" w:colFirst="0" w:colLast="0"/>
      <w:bookmarkEnd w:id="3"/>
    </w:p>
    <w:p w14:paraId="1C6AA4C4" w14:textId="77777777" w:rsidR="00937F2C" w:rsidRDefault="00056F01">
      <w:pPr>
        <w:numPr>
          <w:ilvl w:val="0"/>
          <w:numId w:val="3"/>
        </w:numPr>
        <w:jc w:val="both"/>
      </w:pPr>
      <w:r>
        <w:t>Seznam poskytovaných modulů systému:</w:t>
      </w:r>
    </w:p>
    <w:p w14:paraId="423FACC0" w14:textId="77777777" w:rsidR="00937F2C" w:rsidRDefault="00056F01">
      <w:pPr>
        <w:numPr>
          <w:ilvl w:val="0"/>
          <w:numId w:val="25"/>
        </w:numPr>
        <w:jc w:val="both"/>
      </w:pPr>
      <w:r>
        <w:t>evidence programů a soutěží,</w:t>
      </w:r>
    </w:p>
    <w:p w14:paraId="1FD30869" w14:textId="77777777" w:rsidR="00937F2C" w:rsidRDefault="00056F01">
      <w:pPr>
        <w:numPr>
          <w:ilvl w:val="0"/>
          <w:numId w:val="25"/>
        </w:numPr>
        <w:jc w:val="both"/>
      </w:pPr>
      <w:r>
        <w:t>vyhlášení veřejné soutěže, podávání projektových přihlášek,</w:t>
      </w:r>
    </w:p>
    <w:p w14:paraId="7DF662A2" w14:textId="77777777" w:rsidR="00937F2C" w:rsidRDefault="00056F01">
      <w:pPr>
        <w:numPr>
          <w:ilvl w:val="0"/>
          <w:numId w:val="25"/>
        </w:numPr>
        <w:jc w:val="both"/>
      </w:pPr>
      <w:r>
        <w:t>formální kontrola projektů,</w:t>
      </w:r>
    </w:p>
    <w:p w14:paraId="7032CD6C" w14:textId="77777777" w:rsidR="00937F2C" w:rsidRDefault="00056F01">
      <w:pPr>
        <w:numPr>
          <w:ilvl w:val="0"/>
          <w:numId w:val="25"/>
        </w:numPr>
      </w:pPr>
      <w:r>
        <w:t>evidence hodnotitelů,</w:t>
      </w:r>
    </w:p>
    <w:p w14:paraId="67FF89B7" w14:textId="77777777" w:rsidR="00937F2C" w:rsidRDefault="00056F01">
      <w:pPr>
        <w:numPr>
          <w:ilvl w:val="0"/>
          <w:numId w:val="25"/>
        </w:numPr>
        <w:jc w:val="both"/>
      </w:pPr>
      <w:r>
        <w:t>hodnotící proces projektů (hodnotitelské posudky, hodnotitelské orgány),</w:t>
      </w:r>
    </w:p>
    <w:p w14:paraId="51531775" w14:textId="77777777" w:rsidR="00937F2C" w:rsidRDefault="00056F01">
      <w:pPr>
        <w:numPr>
          <w:ilvl w:val="0"/>
          <w:numId w:val="25"/>
        </w:numPr>
        <w:jc w:val="both"/>
      </w:pPr>
      <w:r>
        <w:t>změnová řízení projektů,</w:t>
      </w:r>
    </w:p>
    <w:p w14:paraId="7BB7C582" w14:textId="77777777" w:rsidR="00937F2C" w:rsidRDefault="00056F01">
      <w:pPr>
        <w:numPr>
          <w:ilvl w:val="0"/>
          <w:numId w:val="25"/>
        </w:numPr>
        <w:jc w:val="both"/>
      </w:pPr>
      <w:r>
        <w:t>vykazování zpráv o projektech,</w:t>
      </w:r>
    </w:p>
    <w:p w14:paraId="5420FC8B" w14:textId="77777777" w:rsidR="00937F2C" w:rsidRDefault="00056F01">
      <w:pPr>
        <w:numPr>
          <w:ilvl w:val="0"/>
          <w:numId w:val="25"/>
        </w:numPr>
        <w:jc w:val="both"/>
      </w:pPr>
      <w:r>
        <w:t>oponentní řízení, závěrečné oponentní řízení projektů,</w:t>
      </w:r>
    </w:p>
    <w:p w14:paraId="10854521" w14:textId="77777777" w:rsidR="00937F2C" w:rsidRDefault="00056F01">
      <w:pPr>
        <w:numPr>
          <w:ilvl w:val="0"/>
          <w:numId w:val="25"/>
        </w:numPr>
        <w:jc w:val="both"/>
      </w:pPr>
      <w:r>
        <w:t>předdefinované reporty (včetně exportů do CEP),</w:t>
      </w:r>
    </w:p>
    <w:p w14:paraId="63B9B44A" w14:textId="77777777" w:rsidR="00937F2C" w:rsidRDefault="00056F01">
      <w:pPr>
        <w:numPr>
          <w:ilvl w:val="0"/>
          <w:numId w:val="25"/>
        </w:numPr>
        <w:jc w:val="both"/>
      </w:pPr>
      <w:r>
        <w:t>aplikace servicedesk,</w:t>
      </w:r>
    </w:p>
    <w:p w14:paraId="664668A7" w14:textId="77777777" w:rsidR="00937F2C" w:rsidRDefault="00056F01">
      <w:pPr>
        <w:numPr>
          <w:ilvl w:val="0"/>
          <w:numId w:val="25"/>
        </w:numPr>
        <w:jc w:val="both"/>
      </w:pPr>
      <w:r>
        <w:t>veřejnosprávní kontroly.</w:t>
      </w:r>
    </w:p>
    <w:p w14:paraId="3629AC7B" w14:textId="77777777" w:rsidR="00937F2C" w:rsidRDefault="00937F2C">
      <w:pPr>
        <w:jc w:val="both"/>
      </w:pPr>
    </w:p>
    <w:p w14:paraId="77CAAE0B" w14:textId="77777777" w:rsidR="00937F2C" w:rsidRDefault="00056F01">
      <w:pPr>
        <w:numPr>
          <w:ilvl w:val="0"/>
          <w:numId w:val="3"/>
        </w:numPr>
        <w:jc w:val="both"/>
      </w:pPr>
      <w:r>
        <w:t>Není poskytována integrace se spisovou službou a ekonomickým systémem.</w:t>
      </w:r>
    </w:p>
    <w:p w14:paraId="3583C126" w14:textId="77777777" w:rsidR="00937F2C" w:rsidRDefault="00937F2C">
      <w:pPr>
        <w:jc w:val="both"/>
      </w:pPr>
    </w:p>
    <w:p w14:paraId="1A95B10A" w14:textId="77777777" w:rsidR="00937F2C" w:rsidRDefault="00056F01">
      <w:pPr>
        <w:numPr>
          <w:ilvl w:val="0"/>
          <w:numId w:val="3"/>
        </w:numPr>
        <w:jc w:val="both"/>
      </w:pPr>
      <w:r>
        <w:t>Předpokládaný rozsah činností je 1 až 2 veřejné soutěže ročně.</w:t>
      </w:r>
    </w:p>
    <w:p w14:paraId="7BB58520" w14:textId="77777777" w:rsidR="00937F2C" w:rsidRDefault="00937F2C">
      <w:pPr>
        <w:ind w:left="720"/>
        <w:jc w:val="both"/>
      </w:pPr>
    </w:p>
    <w:p w14:paraId="7DC11B2D" w14:textId="77777777" w:rsidR="00937F2C" w:rsidRDefault="00937F2C">
      <w:pPr>
        <w:rPr>
          <w:rFonts w:ascii="Arial" w:eastAsia="Arial" w:hAnsi="Arial" w:cs="Arial"/>
          <w:color w:val="333333"/>
          <w:sz w:val="20"/>
          <w:szCs w:val="20"/>
          <w:highlight w:val="yellow"/>
        </w:rPr>
      </w:pPr>
    </w:p>
    <w:p w14:paraId="743C859B" w14:textId="77777777" w:rsidR="00937F2C" w:rsidRDefault="00937F2C">
      <w:pPr>
        <w:rPr>
          <w:rFonts w:ascii="Arial" w:eastAsia="Arial" w:hAnsi="Arial" w:cs="Arial"/>
          <w:color w:val="333333"/>
          <w:sz w:val="20"/>
          <w:szCs w:val="20"/>
          <w:highlight w:val="yellow"/>
        </w:rPr>
      </w:pPr>
    </w:p>
    <w:p w14:paraId="50DE79AD" w14:textId="77777777" w:rsidR="00937F2C" w:rsidRDefault="00937F2C">
      <w:pPr>
        <w:rPr>
          <w:rFonts w:ascii="Arial" w:eastAsia="Arial" w:hAnsi="Arial" w:cs="Arial"/>
          <w:color w:val="333333"/>
          <w:sz w:val="20"/>
          <w:szCs w:val="20"/>
          <w:highlight w:val="yellow"/>
        </w:rPr>
      </w:pPr>
    </w:p>
    <w:p w14:paraId="01EED11F" w14:textId="77777777" w:rsidR="00937F2C" w:rsidRDefault="00056F01">
      <w:pPr>
        <w:rPr>
          <w:b/>
          <w:sz w:val="28"/>
          <w:szCs w:val="28"/>
        </w:rPr>
      </w:pPr>
      <w:r>
        <w:br w:type="page"/>
      </w:r>
    </w:p>
    <w:p w14:paraId="41D93B9F" w14:textId="77777777" w:rsidR="00937F2C" w:rsidRDefault="00056F01">
      <w:pPr>
        <w:jc w:val="center"/>
        <w:rPr>
          <w:b/>
          <w:sz w:val="28"/>
          <w:szCs w:val="28"/>
        </w:rPr>
      </w:pPr>
      <w:r>
        <w:rPr>
          <w:b/>
          <w:sz w:val="28"/>
          <w:szCs w:val="28"/>
        </w:rPr>
        <w:lastRenderedPageBreak/>
        <w:t>Příloha č. 2</w:t>
      </w:r>
    </w:p>
    <w:p w14:paraId="45D126CB" w14:textId="77777777" w:rsidR="00937F2C" w:rsidRDefault="00056F01">
      <w:pPr>
        <w:jc w:val="center"/>
        <w:rPr>
          <w:b/>
          <w:sz w:val="28"/>
          <w:szCs w:val="28"/>
        </w:rPr>
      </w:pPr>
      <w:r>
        <w:rPr>
          <w:b/>
          <w:sz w:val="28"/>
          <w:szCs w:val="28"/>
        </w:rPr>
        <w:t>Rozsah dokumentace informačního systému</w:t>
      </w:r>
    </w:p>
    <w:p w14:paraId="03CA1709" w14:textId="77777777" w:rsidR="00937F2C" w:rsidRDefault="00937F2C">
      <w:pPr>
        <w:jc w:val="center"/>
      </w:pPr>
    </w:p>
    <w:p w14:paraId="7AE26D36" w14:textId="77777777" w:rsidR="00937F2C" w:rsidRDefault="00937F2C"/>
    <w:p w14:paraId="5B84B29E" w14:textId="77777777" w:rsidR="00937F2C" w:rsidRDefault="00056F01">
      <w:pPr>
        <w:jc w:val="center"/>
        <w:rPr>
          <w:b/>
        </w:rPr>
      </w:pPr>
      <w:r>
        <w:rPr>
          <w:b/>
        </w:rPr>
        <w:t>Článek 1.</w:t>
      </w:r>
    </w:p>
    <w:p w14:paraId="0CC536EF" w14:textId="77777777" w:rsidR="00937F2C" w:rsidRDefault="00056F01">
      <w:pPr>
        <w:jc w:val="center"/>
        <w:rPr>
          <w:b/>
        </w:rPr>
      </w:pPr>
      <w:r>
        <w:rPr>
          <w:b/>
        </w:rPr>
        <w:t>Součást dokumentace</w:t>
      </w:r>
    </w:p>
    <w:p w14:paraId="04D93902" w14:textId="77777777" w:rsidR="00937F2C" w:rsidRDefault="00937F2C">
      <w:pPr>
        <w:rPr>
          <w:rFonts w:ascii="Arial" w:eastAsia="Arial" w:hAnsi="Arial" w:cs="Arial"/>
          <w:color w:val="333333"/>
          <w:sz w:val="20"/>
          <w:szCs w:val="20"/>
          <w:highlight w:val="yellow"/>
        </w:rPr>
      </w:pPr>
    </w:p>
    <w:p w14:paraId="1C6CAE76" w14:textId="77777777" w:rsidR="00937F2C" w:rsidRDefault="00056F01">
      <w:pPr>
        <w:numPr>
          <w:ilvl w:val="0"/>
          <w:numId w:val="18"/>
        </w:numPr>
        <w:ind w:left="141"/>
        <w:jc w:val="both"/>
      </w:pPr>
      <w:r>
        <w:t>Součástí dokumentace systému je:</w:t>
      </w:r>
    </w:p>
    <w:p w14:paraId="106DA934" w14:textId="77777777" w:rsidR="00937F2C" w:rsidRDefault="00056F01">
      <w:pPr>
        <w:numPr>
          <w:ilvl w:val="0"/>
          <w:numId w:val="17"/>
        </w:numPr>
        <w:jc w:val="both"/>
      </w:pPr>
      <w:r>
        <w:t xml:space="preserve">Zpracování technické dokumentace aplikací </w:t>
      </w:r>
    </w:p>
    <w:p w14:paraId="5A00FC8A" w14:textId="77777777" w:rsidR="00937F2C" w:rsidRDefault="00056F01">
      <w:pPr>
        <w:ind w:left="720"/>
        <w:jc w:val="both"/>
      </w:pPr>
      <w:r>
        <w:t>i.</w:t>
      </w:r>
      <w:r>
        <w:tab/>
        <w:t>Komentovaný zdrojový kód aplikací v aplikaci Atlassian Bitbucket.</w:t>
      </w:r>
    </w:p>
    <w:p w14:paraId="72E5335D" w14:textId="77777777" w:rsidR="00937F2C" w:rsidRDefault="00937F2C">
      <w:pPr>
        <w:ind w:left="720"/>
        <w:jc w:val="both"/>
      </w:pPr>
    </w:p>
    <w:p w14:paraId="5DF072F1" w14:textId="77777777" w:rsidR="00937F2C" w:rsidRDefault="00056F01">
      <w:pPr>
        <w:ind w:left="720"/>
        <w:jc w:val="both"/>
      </w:pPr>
      <w:r>
        <w:t>ii.</w:t>
      </w:r>
      <w:r>
        <w:tab/>
        <w:t>Dokumentace reálného nasazení - popis technologické infrastruktury - analytické dokumenty odpovídající reálnému nasazení systému.</w:t>
      </w:r>
    </w:p>
    <w:p w14:paraId="6C7660A3" w14:textId="77777777" w:rsidR="00937F2C" w:rsidRDefault="00937F2C">
      <w:pPr>
        <w:ind w:left="720"/>
        <w:jc w:val="both"/>
      </w:pPr>
    </w:p>
    <w:p w14:paraId="14664C4C" w14:textId="77777777" w:rsidR="00937F2C" w:rsidRDefault="00056F01">
      <w:pPr>
        <w:ind w:left="720"/>
        <w:jc w:val="both"/>
      </w:pPr>
      <w:r>
        <w:t>iii.</w:t>
      </w:r>
      <w:r>
        <w:tab/>
        <w:t>Dokumentace webových služeb a dokumentace všech XML,  XSD (popř. alternativních jazyků nebo definicí) včetně podrobných komentářů jednotlivých elementů.</w:t>
      </w:r>
    </w:p>
    <w:p w14:paraId="3389B57C" w14:textId="77777777" w:rsidR="00937F2C" w:rsidRDefault="00937F2C">
      <w:pPr>
        <w:ind w:left="720"/>
        <w:jc w:val="both"/>
      </w:pPr>
    </w:p>
    <w:p w14:paraId="45042087" w14:textId="77777777" w:rsidR="00937F2C" w:rsidRDefault="00056F01">
      <w:pPr>
        <w:ind w:left="720"/>
        <w:jc w:val="both"/>
      </w:pPr>
      <w:r>
        <w:t>iv.</w:t>
      </w:r>
      <w:r>
        <w:tab/>
        <w:t>Dokument popisující vazby mezi aplikacemi a dalšími systémy (popis procesů, technická dokumentace výměny dat – viz předchozí bod).</w:t>
      </w:r>
    </w:p>
    <w:p w14:paraId="4A60A3A6" w14:textId="77777777" w:rsidR="00937F2C" w:rsidRDefault="00937F2C">
      <w:pPr>
        <w:jc w:val="both"/>
      </w:pPr>
    </w:p>
    <w:p w14:paraId="7872F184" w14:textId="77777777" w:rsidR="00937F2C" w:rsidRDefault="00056F01">
      <w:pPr>
        <w:numPr>
          <w:ilvl w:val="0"/>
          <w:numId w:val="17"/>
        </w:numPr>
        <w:pBdr>
          <w:top w:val="nil"/>
          <w:left w:val="nil"/>
          <w:bottom w:val="nil"/>
          <w:right w:val="nil"/>
          <w:between w:val="nil"/>
        </w:pBdr>
        <w:jc w:val="both"/>
      </w:pPr>
      <w:r>
        <w:t>Zpracování provozní dokumentace</w:t>
      </w:r>
    </w:p>
    <w:p w14:paraId="6CA84977" w14:textId="77777777" w:rsidR="00937F2C" w:rsidRDefault="00056F01">
      <w:pPr>
        <w:ind w:left="720"/>
        <w:jc w:val="both"/>
      </w:pPr>
      <w:r>
        <w:t>i.</w:t>
      </w:r>
      <w:r>
        <w:tab/>
        <w:t>Řídící a podpůrné procesy, popis organizačního rámce (primárně relapse management, problem management, incident management, change management a další),</w:t>
      </w:r>
    </w:p>
    <w:p w14:paraId="0F174575" w14:textId="77777777" w:rsidR="00937F2C" w:rsidRDefault="00937F2C">
      <w:pPr>
        <w:ind w:left="720"/>
        <w:jc w:val="both"/>
      </w:pPr>
    </w:p>
    <w:p w14:paraId="0AD04A49" w14:textId="77777777" w:rsidR="00937F2C" w:rsidRDefault="00056F01">
      <w:pPr>
        <w:ind w:left="720"/>
        <w:jc w:val="both"/>
        <w:rPr>
          <w:strike/>
        </w:rPr>
      </w:pPr>
      <w:r>
        <w:t>ii.</w:t>
      </w:r>
      <w:r>
        <w:tab/>
        <w:t>Popis konfigurace zálohování, plán zálohování,</w:t>
      </w:r>
    </w:p>
    <w:p w14:paraId="73BE8F82" w14:textId="77777777" w:rsidR="00937F2C" w:rsidRDefault="00937F2C">
      <w:pPr>
        <w:ind w:left="720"/>
        <w:jc w:val="both"/>
      </w:pPr>
    </w:p>
    <w:p w14:paraId="709468E2" w14:textId="77777777" w:rsidR="00937F2C" w:rsidRDefault="00056F01">
      <w:pPr>
        <w:ind w:left="720"/>
        <w:jc w:val="both"/>
      </w:pPr>
      <w:r>
        <w:t>iii.</w:t>
      </w:r>
      <w:r>
        <w:tab/>
        <w:t xml:space="preserve">Provozní řád systému, který upravuje chování všech uživatelů, </w:t>
      </w:r>
    </w:p>
    <w:p w14:paraId="08888D48" w14:textId="77777777" w:rsidR="00937F2C" w:rsidRDefault="00937F2C">
      <w:pPr>
        <w:ind w:left="720"/>
        <w:jc w:val="both"/>
      </w:pPr>
    </w:p>
    <w:p w14:paraId="79A0BB46" w14:textId="77777777" w:rsidR="00937F2C" w:rsidRDefault="00056F01">
      <w:pPr>
        <w:ind w:left="720"/>
        <w:jc w:val="both"/>
      </w:pPr>
      <w:r>
        <w:t>iv.</w:t>
      </w:r>
      <w:r>
        <w:tab/>
        <w:t>Servisní řád upravující poskytování provozní podpory mezi TA ČR a Dodavatelem,</w:t>
      </w:r>
    </w:p>
    <w:p w14:paraId="263D6E82" w14:textId="77777777" w:rsidR="00937F2C" w:rsidRDefault="00937F2C">
      <w:pPr>
        <w:ind w:left="720"/>
        <w:jc w:val="both"/>
      </w:pPr>
    </w:p>
    <w:p w14:paraId="1DC5314B" w14:textId="77777777" w:rsidR="00937F2C" w:rsidRDefault="00056F01">
      <w:pPr>
        <w:ind w:left="720"/>
        <w:jc w:val="both"/>
      </w:pPr>
      <w:r>
        <w:t>v.</w:t>
      </w:r>
      <w:r>
        <w:tab/>
        <w:t>Popis reálného provedení od HW úrovně až po aplikační,</w:t>
      </w:r>
    </w:p>
    <w:p w14:paraId="3100C956" w14:textId="77777777" w:rsidR="00937F2C" w:rsidRDefault="00937F2C">
      <w:pPr>
        <w:ind w:left="720"/>
        <w:jc w:val="both"/>
      </w:pPr>
    </w:p>
    <w:p w14:paraId="0638BFD6" w14:textId="77777777" w:rsidR="00937F2C" w:rsidRDefault="00056F01">
      <w:pPr>
        <w:ind w:left="720"/>
        <w:jc w:val="both"/>
      </w:pPr>
      <w:r>
        <w:t>vi.</w:t>
      </w:r>
      <w:r>
        <w:tab/>
        <w:t>Dokument popisující parametry provozování systému a dopady na TA ČR,</w:t>
      </w:r>
    </w:p>
    <w:p w14:paraId="4A24352E" w14:textId="77777777" w:rsidR="00937F2C" w:rsidRDefault="00937F2C">
      <w:pPr>
        <w:ind w:left="720"/>
        <w:jc w:val="both"/>
      </w:pPr>
    </w:p>
    <w:p w14:paraId="6A1907A4" w14:textId="77777777" w:rsidR="00937F2C" w:rsidRDefault="00056F01">
      <w:pPr>
        <w:ind w:left="720"/>
        <w:jc w:val="both"/>
      </w:pPr>
      <w:r>
        <w:t>vii.</w:t>
      </w:r>
      <w:r>
        <w:tab/>
        <w:t>Bezpečnostní dokumentace</w:t>
      </w:r>
    </w:p>
    <w:p w14:paraId="5D4707ED" w14:textId="77777777" w:rsidR="00937F2C" w:rsidRDefault="00056F01">
      <w:pPr>
        <w:rPr>
          <w:rFonts w:ascii="Arial" w:eastAsia="Arial" w:hAnsi="Arial" w:cs="Arial"/>
          <w:color w:val="333333"/>
          <w:sz w:val="20"/>
          <w:szCs w:val="20"/>
          <w:highlight w:val="yellow"/>
        </w:rPr>
      </w:pPr>
      <w:r>
        <w:br w:type="page"/>
      </w:r>
    </w:p>
    <w:p w14:paraId="0907F7C7" w14:textId="77777777" w:rsidR="00937F2C" w:rsidRDefault="00056F01">
      <w:pPr>
        <w:jc w:val="center"/>
        <w:rPr>
          <w:b/>
          <w:sz w:val="28"/>
          <w:szCs w:val="28"/>
        </w:rPr>
      </w:pPr>
      <w:r>
        <w:rPr>
          <w:b/>
          <w:sz w:val="28"/>
          <w:szCs w:val="28"/>
        </w:rPr>
        <w:lastRenderedPageBreak/>
        <w:t>Příloha č. 3</w:t>
      </w:r>
    </w:p>
    <w:p w14:paraId="11B93742" w14:textId="77777777" w:rsidR="00937F2C" w:rsidRDefault="00056F01">
      <w:pPr>
        <w:jc w:val="center"/>
        <w:rPr>
          <w:b/>
          <w:sz w:val="28"/>
          <w:szCs w:val="28"/>
        </w:rPr>
      </w:pPr>
      <w:r>
        <w:rPr>
          <w:b/>
          <w:sz w:val="28"/>
          <w:szCs w:val="28"/>
        </w:rPr>
        <w:t>Harmonogram plnění dohody</w:t>
      </w:r>
    </w:p>
    <w:p w14:paraId="098987AB" w14:textId="77777777" w:rsidR="00937F2C" w:rsidRDefault="00937F2C">
      <w:pPr>
        <w:jc w:val="both"/>
        <w:rPr>
          <w:b/>
          <w:sz w:val="28"/>
          <w:szCs w:val="28"/>
        </w:rPr>
      </w:pPr>
    </w:p>
    <w:p w14:paraId="7C26506F" w14:textId="77777777" w:rsidR="00937F2C" w:rsidRDefault="00056F01">
      <w:pPr>
        <w:numPr>
          <w:ilvl w:val="0"/>
          <w:numId w:val="19"/>
        </w:numPr>
        <w:jc w:val="both"/>
      </w:pPr>
      <w:r>
        <w:t xml:space="preserve"> Harmonogram plnění dohody za účelem přípravy systému pro vyhlašování veřejných soutěží MZe</w:t>
      </w:r>
    </w:p>
    <w:p w14:paraId="64E89DB2" w14:textId="77777777" w:rsidR="00937F2C" w:rsidRDefault="00937F2C">
      <w:pPr>
        <w:jc w:val="both"/>
        <w:rPr>
          <w:shd w:val="clear" w:color="auto" w:fill="93C47D"/>
        </w:rPr>
      </w:pPr>
    </w:p>
    <w:p w14:paraId="4AF69ABE" w14:textId="77777777" w:rsidR="00937F2C" w:rsidRDefault="00056F01">
      <w:pPr>
        <w:jc w:val="both"/>
        <w:rPr>
          <w:b/>
          <w:i/>
        </w:rPr>
      </w:pPr>
      <w:r>
        <w:rPr>
          <w:b/>
          <w:i/>
        </w:rPr>
        <w:t>žlutě - společná aktivita, zeleně - aktivita MZe, červeně - aktivita TA ČR</w:t>
      </w:r>
    </w:p>
    <w:p w14:paraId="35C39289" w14:textId="77777777" w:rsidR="003C271A" w:rsidRDefault="003C271A">
      <w:pPr>
        <w:jc w:val="both"/>
        <w:rPr>
          <w:b/>
          <w:sz w:val="28"/>
          <w:szCs w:val="28"/>
          <w:highlight w:val="cyan"/>
        </w:rPr>
      </w:pPr>
    </w:p>
    <w:tbl>
      <w:tblPr>
        <w:tblW w:w="0" w:type="auto"/>
        <w:tblCellMar>
          <w:top w:w="15" w:type="dxa"/>
          <w:left w:w="15" w:type="dxa"/>
          <w:bottom w:w="15" w:type="dxa"/>
          <w:right w:w="15" w:type="dxa"/>
        </w:tblCellMar>
        <w:tblLook w:val="04A0" w:firstRow="1" w:lastRow="0" w:firstColumn="1" w:lastColumn="0" w:noHBand="0" w:noVBand="1"/>
      </w:tblPr>
      <w:tblGrid>
        <w:gridCol w:w="4892"/>
        <w:gridCol w:w="600"/>
        <w:gridCol w:w="600"/>
        <w:gridCol w:w="795"/>
        <w:gridCol w:w="795"/>
        <w:gridCol w:w="795"/>
        <w:gridCol w:w="795"/>
      </w:tblGrid>
      <w:tr w:rsidR="003C271A" w14:paraId="317586E5"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70E3D" w14:textId="77777777" w:rsidR="003C271A" w:rsidRDefault="003C271A" w:rsidP="00AF6B54">
            <w:pPr>
              <w:pStyle w:val="Normlnweb"/>
              <w:spacing w:before="0" w:beforeAutospacing="0" w:after="0" w:afterAutospacing="0"/>
              <w:jc w:val="center"/>
            </w:pPr>
            <w:r>
              <w:rPr>
                <w:b/>
                <w:bCs/>
                <w:color w:val="000000"/>
              </w:rPr>
              <w:t>Aktivita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A23BC" w14:textId="77777777" w:rsidR="003C271A" w:rsidRDefault="003C271A" w:rsidP="00AF6B54">
            <w:pPr>
              <w:pStyle w:val="Normlnweb"/>
              <w:spacing w:before="0" w:beforeAutospacing="0" w:after="0" w:afterAutospacing="0"/>
              <w:jc w:val="center"/>
            </w:pPr>
            <w:r>
              <w:rPr>
                <w:b/>
                <w:bCs/>
                <w:color w:val="000000"/>
                <w:sz w:val="20"/>
                <w:szCs w:val="20"/>
              </w:rPr>
              <w:t>11</w:t>
            </w:r>
          </w:p>
          <w:p w14:paraId="5939BA96" w14:textId="77777777" w:rsidR="003C271A" w:rsidRDefault="003C271A" w:rsidP="00AF6B54">
            <w:pPr>
              <w:pStyle w:val="Normlnweb"/>
              <w:spacing w:before="0" w:beforeAutospacing="0" w:after="0" w:afterAutospacing="0"/>
              <w:jc w:val="center"/>
            </w:pPr>
            <w:r>
              <w:rPr>
                <w:b/>
                <w:bCs/>
                <w:color w:val="000000"/>
                <w:sz w:val="20"/>
                <w:szCs w:val="20"/>
              </w:rPr>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7FDC9" w14:textId="77777777" w:rsidR="003C271A" w:rsidRDefault="003C271A" w:rsidP="00AF6B54">
            <w:pPr>
              <w:pStyle w:val="Normlnweb"/>
              <w:spacing w:before="0" w:beforeAutospacing="0" w:after="0" w:afterAutospacing="0"/>
              <w:jc w:val="center"/>
            </w:pPr>
            <w:r>
              <w:rPr>
                <w:b/>
                <w:bCs/>
                <w:color w:val="000000"/>
                <w:sz w:val="20"/>
                <w:szCs w:val="20"/>
              </w:rPr>
              <w:t>12</w:t>
            </w:r>
          </w:p>
          <w:p w14:paraId="2B8FD413" w14:textId="77777777" w:rsidR="003C271A" w:rsidRDefault="003C271A" w:rsidP="00AF6B54">
            <w:pPr>
              <w:pStyle w:val="Normlnweb"/>
              <w:spacing w:before="0" w:beforeAutospacing="0" w:after="0" w:afterAutospacing="0"/>
              <w:jc w:val="center"/>
            </w:pPr>
            <w:r>
              <w:rPr>
                <w:b/>
                <w:bCs/>
                <w:color w:val="000000"/>
                <w:sz w:val="20"/>
                <w:szCs w:val="20"/>
              </w:rPr>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79E64" w14:textId="77777777" w:rsidR="003C271A" w:rsidRDefault="003C271A" w:rsidP="00AF6B54">
            <w:pPr>
              <w:pStyle w:val="Normlnweb"/>
              <w:spacing w:before="0" w:beforeAutospacing="0" w:after="0" w:afterAutospacing="0"/>
              <w:jc w:val="center"/>
            </w:pPr>
            <w:r>
              <w:rPr>
                <w:b/>
                <w:bCs/>
                <w:color w:val="000000"/>
                <w:sz w:val="20"/>
                <w:szCs w:val="20"/>
              </w:rPr>
              <w:t>01 2020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432BA" w14:textId="77777777" w:rsidR="003C271A" w:rsidRDefault="003C271A" w:rsidP="00AF6B54">
            <w:pPr>
              <w:pStyle w:val="Normlnweb"/>
              <w:spacing w:before="0" w:beforeAutospacing="0" w:after="0" w:afterAutospacing="0"/>
              <w:jc w:val="center"/>
            </w:pPr>
            <w:r>
              <w:rPr>
                <w:b/>
                <w:bCs/>
                <w:color w:val="000000"/>
                <w:sz w:val="20"/>
                <w:szCs w:val="20"/>
              </w:rPr>
              <w:t>02 2020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ADF97" w14:textId="77777777" w:rsidR="003C271A" w:rsidRDefault="003C271A" w:rsidP="00AF6B54">
            <w:pPr>
              <w:pStyle w:val="Normlnweb"/>
              <w:spacing w:before="0" w:beforeAutospacing="0" w:after="0" w:afterAutospacing="0"/>
              <w:jc w:val="center"/>
            </w:pPr>
            <w:r>
              <w:rPr>
                <w:b/>
                <w:bCs/>
                <w:color w:val="000000"/>
                <w:sz w:val="20"/>
                <w:szCs w:val="20"/>
              </w:rPr>
              <w:t>03 2020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06B6A" w14:textId="77777777" w:rsidR="003C271A" w:rsidRDefault="003C271A" w:rsidP="00AF6B54">
            <w:pPr>
              <w:pStyle w:val="Normlnweb"/>
              <w:spacing w:before="0" w:beforeAutospacing="0" w:after="0" w:afterAutospacing="0"/>
              <w:jc w:val="center"/>
            </w:pPr>
            <w:r>
              <w:rPr>
                <w:b/>
                <w:bCs/>
                <w:color w:val="000000"/>
                <w:sz w:val="20"/>
                <w:szCs w:val="20"/>
              </w:rPr>
              <w:t>04 2020</w:t>
            </w:r>
          </w:p>
        </w:tc>
      </w:tr>
      <w:tr w:rsidR="003C271A" w14:paraId="11F480AB"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4BA50" w14:textId="77777777" w:rsidR="003C271A" w:rsidRDefault="003C271A" w:rsidP="00AF6B54">
            <w:pPr>
              <w:pStyle w:val="Normlnweb"/>
              <w:spacing w:before="0" w:beforeAutospacing="0" w:after="0" w:afterAutospacing="0"/>
            </w:pPr>
            <w:r>
              <w:rPr>
                <w:color w:val="000000"/>
                <w:sz w:val="20"/>
                <w:szCs w:val="20"/>
              </w:rPr>
              <w:t>1. Realizace v ISTA pro stávající projekty</w:t>
            </w:r>
          </w:p>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0A2C4E9B"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044FB"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345A0"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2C8F0"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399C5"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EFAB4" w14:textId="77777777" w:rsidR="003C271A" w:rsidRDefault="003C271A" w:rsidP="00AF6B54"/>
        </w:tc>
      </w:tr>
      <w:tr w:rsidR="003C271A" w14:paraId="1223AC2D"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8D937" w14:textId="77777777" w:rsidR="003C271A" w:rsidRDefault="003C271A" w:rsidP="00AF6B54">
            <w:pPr>
              <w:pStyle w:val="Normlnweb"/>
              <w:spacing w:before="0" w:beforeAutospacing="0" w:after="0" w:afterAutospacing="0"/>
            </w:pPr>
            <w:r>
              <w:rPr>
                <w:color w:val="000000"/>
                <w:sz w:val="20"/>
                <w:szCs w:val="20"/>
              </w:rPr>
              <w:t xml:space="preserve"> 1.1. Migrace dat do ISTA</w:t>
            </w:r>
          </w:p>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44B1FC8E"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2AAE0"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244AA"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1202C"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C1FD5"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E2524" w14:textId="77777777" w:rsidR="003C271A" w:rsidRDefault="003C271A" w:rsidP="00AF6B54"/>
        </w:tc>
      </w:tr>
      <w:tr w:rsidR="003C271A" w14:paraId="0BBE1A88"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0E281" w14:textId="77777777" w:rsidR="003C271A" w:rsidRDefault="003C271A" w:rsidP="00AF6B54">
            <w:pPr>
              <w:pStyle w:val="Normlnweb"/>
              <w:spacing w:before="0" w:beforeAutospacing="0" w:after="0" w:afterAutospacing="0"/>
            </w:pPr>
            <w:r>
              <w:rPr>
                <w:color w:val="000000"/>
                <w:sz w:val="20"/>
                <w:szCs w:val="20"/>
              </w:rPr>
              <w:t>  1.1.1. Testování zakládání projektů v testovacím prostředí</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3A4E7CDA"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89920"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749F9"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DBE48"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9AE7E"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7E58D" w14:textId="77777777" w:rsidR="003C271A" w:rsidRDefault="003C271A" w:rsidP="00AF6B54"/>
        </w:tc>
      </w:tr>
      <w:tr w:rsidR="003C271A" w14:paraId="4277EDF2"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C91C0" w14:textId="77777777" w:rsidR="003C271A" w:rsidRDefault="003C271A" w:rsidP="00AF6B54">
            <w:pPr>
              <w:pStyle w:val="Normlnweb"/>
              <w:spacing w:before="0" w:beforeAutospacing="0" w:after="0" w:afterAutospacing="0"/>
            </w:pPr>
            <w:r>
              <w:rPr>
                <w:color w:val="000000"/>
                <w:sz w:val="20"/>
                <w:szCs w:val="20"/>
              </w:rPr>
              <w:t>  1.1.2. Potvrzení funkcionality (akceptace)</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58402B05"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F4877"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BDB6B"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D57B6"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AB1A9"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EAAB5" w14:textId="77777777" w:rsidR="003C271A" w:rsidRDefault="003C271A" w:rsidP="00AF6B54"/>
        </w:tc>
      </w:tr>
      <w:tr w:rsidR="003C271A" w14:paraId="5ED3EEE6"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03110" w14:textId="77777777" w:rsidR="003C271A" w:rsidRDefault="003C271A" w:rsidP="00AF6B54">
            <w:pPr>
              <w:pStyle w:val="Normlnweb"/>
              <w:spacing w:before="0" w:beforeAutospacing="0" w:after="0" w:afterAutospacing="0"/>
            </w:pPr>
            <w:r>
              <w:rPr>
                <w:color w:val="000000"/>
                <w:sz w:val="20"/>
                <w:szCs w:val="20"/>
              </w:rPr>
              <w:t>  1.1.3. Zakládání projektu na produkčním prostředí</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5296E59D"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397B9"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045F5"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8B93A"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69BCB"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39DA7" w14:textId="77777777" w:rsidR="003C271A" w:rsidRDefault="003C271A" w:rsidP="00AF6B54"/>
        </w:tc>
      </w:tr>
      <w:tr w:rsidR="003C271A" w14:paraId="6FB89D9F"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0E8AA" w14:textId="77777777" w:rsidR="003C271A" w:rsidRDefault="003C271A" w:rsidP="00AF6B54">
            <w:pPr>
              <w:pStyle w:val="Normlnweb"/>
              <w:spacing w:before="0" w:beforeAutospacing="0" w:after="0" w:afterAutospacing="0"/>
            </w:pPr>
            <w:r>
              <w:rPr>
                <w:color w:val="000000"/>
                <w:sz w:val="20"/>
                <w:szCs w:val="20"/>
              </w:rPr>
              <w:t xml:space="preserve"> 1.2. Testování monitorovacích zpráv</w:t>
            </w:r>
          </w:p>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036A85F2"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153A1"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2229A"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642FD"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4C3F7"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ED5B0" w14:textId="77777777" w:rsidR="003C271A" w:rsidRDefault="003C271A" w:rsidP="00AF6B54"/>
        </w:tc>
      </w:tr>
      <w:tr w:rsidR="003C271A" w14:paraId="79B51FE4"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3D10E" w14:textId="77777777" w:rsidR="003C271A" w:rsidRDefault="003C271A" w:rsidP="00AF6B54">
            <w:pPr>
              <w:pStyle w:val="Normlnweb"/>
              <w:spacing w:before="0" w:beforeAutospacing="0" w:after="0" w:afterAutospacing="0"/>
            </w:pPr>
            <w:r>
              <w:rPr>
                <w:color w:val="000000"/>
                <w:sz w:val="20"/>
                <w:szCs w:val="20"/>
              </w:rPr>
              <w:t>  1.2.1 Testování zpráv</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13F7B5F8"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CA132"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0B42E"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D51AE"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35B8C"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BF3CE" w14:textId="77777777" w:rsidR="003C271A" w:rsidRDefault="003C271A" w:rsidP="00AF6B54"/>
        </w:tc>
      </w:tr>
      <w:tr w:rsidR="003C271A" w14:paraId="2797F04D"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569E9" w14:textId="77777777" w:rsidR="003C271A" w:rsidRDefault="003C271A" w:rsidP="00AF6B54">
            <w:pPr>
              <w:pStyle w:val="Normlnweb"/>
              <w:spacing w:before="0" w:beforeAutospacing="0" w:after="0" w:afterAutospacing="0"/>
            </w:pPr>
            <w:r>
              <w:rPr>
                <w:color w:val="000000"/>
                <w:sz w:val="20"/>
                <w:szCs w:val="20"/>
              </w:rPr>
              <w:t>  1.2.2 Potvrzení funkcionality (akceptace)</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630CE1B0"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B192C"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1669A"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A15F0"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860F2"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BE5B3" w14:textId="77777777" w:rsidR="003C271A" w:rsidRDefault="003C271A" w:rsidP="00AF6B54"/>
        </w:tc>
      </w:tr>
      <w:tr w:rsidR="003C271A" w14:paraId="65336F4E"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A7F82" w14:textId="77777777" w:rsidR="003C271A" w:rsidRDefault="003C271A" w:rsidP="00AF6B54">
            <w:pPr>
              <w:pStyle w:val="Normlnweb"/>
              <w:spacing w:before="0" w:beforeAutospacing="0" w:after="0" w:afterAutospacing="0"/>
            </w:pPr>
            <w:r>
              <w:rPr>
                <w:color w:val="000000"/>
                <w:sz w:val="20"/>
                <w:szCs w:val="20"/>
              </w:rPr>
              <w:t>  1.2.3 Nasazení na produkční prostředí</w:t>
            </w:r>
          </w:p>
        </w:tc>
        <w:tc>
          <w:tcPr>
            <w:tcW w:w="0" w:type="auto"/>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612A6748"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912D1"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3B7B6"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BAE83"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2B8EC"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D0DB4" w14:textId="77777777" w:rsidR="003C271A" w:rsidRDefault="003C271A" w:rsidP="00AF6B54"/>
        </w:tc>
      </w:tr>
      <w:tr w:rsidR="003C271A" w14:paraId="37F1976E"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1F708" w14:textId="77777777" w:rsidR="003C271A" w:rsidRDefault="003C271A" w:rsidP="00AF6B54">
            <w:pPr>
              <w:pStyle w:val="Normlnweb"/>
              <w:spacing w:before="0" w:beforeAutospacing="0" w:after="0" w:afterAutospacing="0"/>
            </w:pPr>
            <w:r>
              <w:rPr>
                <w:color w:val="000000"/>
                <w:sz w:val="20"/>
                <w:szCs w:val="20"/>
              </w:rPr>
              <w:t>  1.2.4. Spuštění zpráv pro příjemce</w:t>
            </w:r>
          </w:p>
        </w:tc>
        <w:tc>
          <w:tcPr>
            <w:tcW w:w="0" w:type="auto"/>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5AAE8C67"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D227C"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0D6E6"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1061B"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3F767"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6E9BB" w14:textId="77777777" w:rsidR="003C271A" w:rsidRDefault="003C271A" w:rsidP="00AF6B54"/>
        </w:tc>
      </w:tr>
      <w:tr w:rsidR="003C271A" w14:paraId="2871225F"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B3166" w14:textId="77777777" w:rsidR="003C271A" w:rsidRDefault="003C271A" w:rsidP="00AF6B54">
            <w:pPr>
              <w:pStyle w:val="Normlnweb"/>
              <w:spacing w:before="0" w:beforeAutospacing="0" w:after="0" w:afterAutospacing="0"/>
            </w:pPr>
            <w:r>
              <w:rPr>
                <w:color w:val="000000"/>
                <w:sz w:val="20"/>
                <w:szCs w:val="20"/>
              </w:rPr>
              <w:t>2. Soutěž v ISTA pro MZe</w:t>
            </w:r>
          </w:p>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41B2F91C"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0A0B85F6"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771ED939"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75805C03"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5856C61D"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B3D73" w14:textId="77777777" w:rsidR="003C271A" w:rsidRDefault="003C271A" w:rsidP="00AF6B54"/>
        </w:tc>
      </w:tr>
      <w:tr w:rsidR="003C271A" w14:paraId="70380C02"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055D4" w14:textId="77777777" w:rsidR="003C271A" w:rsidRDefault="003C271A" w:rsidP="00AF6B54">
            <w:pPr>
              <w:pStyle w:val="Normlnweb"/>
              <w:spacing w:before="0" w:beforeAutospacing="0" w:after="0" w:afterAutospacing="0"/>
            </w:pPr>
            <w:r>
              <w:rPr>
                <w:color w:val="000000"/>
                <w:sz w:val="20"/>
                <w:szCs w:val="20"/>
              </w:rPr>
              <w:t xml:space="preserve"> 2.1. Implementace hodnotícího procesu</w:t>
            </w:r>
          </w:p>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1A296C27"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4226C83E"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64DCD594"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06FA6D8E"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50498B72"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76A5C" w14:textId="77777777" w:rsidR="003C271A" w:rsidRDefault="003C271A" w:rsidP="00AF6B54"/>
        </w:tc>
      </w:tr>
      <w:tr w:rsidR="003C271A" w14:paraId="5ADFF9D9"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19899" w14:textId="77777777" w:rsidR="003C271A" w:rsidRDefault="003C271A" w:rsidP="00AF6B54">
            <w:pPr>
              <w:pStyle w:val="Normlnweb"/>
              <w:spacing w:before="0" w:beforeAutospacing="0" w:after="0" w:afterAutospacing="0"/>
            </w:pPr>
            <w:r>
              <w:rPr>
                <w:color w:val="000000"/>
                <w:sz w:val="20"/>
                <w:szCs w:val="20"/>
              </w:rPr>
              <w:t>  2.1.1. Analýza HP MZe</w:t>
            </w:r>
          </w:p>
        </w:tc>
        <w:tc>
          <w:tcPr>
            <w:tcW w:w="0" w:type="auto"/>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56B7E066"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89972"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395F0"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BE4C5"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3FF1A"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E88B9" w14:textId="77777777" w:rsidR="003C271A" w:rsidRDefault="003C271A" w:rsidP="00AF6B54"/>
        </w:tc>
      </w:tr>
      <w:tr w:rsidR="003C271A" w14:paraId="46176A35"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0CF19" w14:textId="77777777" w:rsidR="003C271A" w:rsidRDefault="003C271A" w:rsidP="00AF6B54">
            <w:pPr>
              <w:pStyle w:val="Normlnweb"/>
              <w:spacing w:before="0" w:beforeAutospacing="0" w:after="0" w:afterAutospacing="0"/>
            </w:pPr>
            <w:r>
              <w:rPr>
                <w:color w:val="000000"/>
                <w:sz w:val="20"/>
                <w:szCs w:val="20"/>
              </w:rPr>
              <w:t>  2.1.2. Příprava zadání pro dodavatele</w:t>
            </w:r>
          </w:p>
        </w:tc>
        <w:tc>
          <w:tcPr>
            <w:tcW w:w="0" w:type="auto"/>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3195E70C"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D7F97"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4A198"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8009D"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C49F2"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DAA9F" w14:textId="77777777" w:rsidR="003C271A" w:rsidRDefault="003C271A" w:rsidP="00AF6B54"/>
        </w:tc>
      </w:tr>
      <w:tr w:rsidR="003C271A" w14:paraId="615B42D5"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241EF" w14:textId="77777777" w:rsidR="003C271A" w:rsidRDefault="003C271A" w:rsidP="00AF6B54">
            <w:pPr>
              <w:pStyle w:val="Normlnweb"/>
              <w:spacing w:before="0" w:beforeAutospacing="0" w:after="0" w:afterAutospacing="0"/>
            </w:pPr>
            <w:r>
              <w:rPr>
                <w:color w:val="000000"/>
                <w:sz w:val="20"/>
                <w:szCs w:val="20"/>
              </w:rPr>
              <w:t>  2.1.3. Implementace HP MZe v ISTA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816A8"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4A4A2B02"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1A60CEDC"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C8D51"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6032A"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43894" w14:textId="77777777" w:rsidR="003C271A" w:rsidRDefault="003C271A" w:rsidP="00AF6B54"/>
        </w:tc>
      </w:tr>
      <w:tr w:rsidR="003C271A" w14:paraId="37B6FA8A"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FC0A5" w14:textId="77777777" w:rsidR="003C271A" w:rsidRDefault="003C271A" w:rsidP="00AF6B54">
            <w:pPr>
              <w:pStyle w:val="Normlnweb"/>
              <w:spacing w:before="0" w:beforeAutospacing="0" w:after="0" w:afterAutospacing="0"/>
            </w:pPr>
            <w:r>
              <w:rPr>
                <w:color w:val="000000"/>
                <w:sz w:val="20"/>
                <w:szCs w:val="20"/>
              </w:rPr>
              <w:t>  2.1.4. Testování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E368F"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FE3C4"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3701AB8C"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561EEF6D"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41311"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C77A7" w14:textId="77777777" w:rsidR="003C271A" w:rsidRDefault="003C271A" w:rsidP="00AF6B54"/>
        </w:tc>
      </w:tr>
      <w:tr w:rsidR="003C271A" w14:paraId="58D2107E"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654CE" w14:textId="77777777" w:rsidR="003C271A" w:rsidRDefault="003C271A" w:rsidP="00AF6B54">
            <w:pPr>
              <w:pStyle w:val="Normlnweb"/>
              <w:spacing w:before="0" w:beforeAutospacing="0" w:after="0" w:afterAutospacing="0"/>
            </w:pPr>
            <w:r>
              <w:rPr>
                <w:color w:val="000000"/>
                <w:sz w:val="20"/>
                <w:szCs w:val="20"/>
              </w:rPr>
              <w:t>  2.1.5. Potvrzení funkcionality (akceptace)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0200D"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A7BED"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0FE7A"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F5DD2"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785F1069"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58527" w14:textId="77777777" w:rsidR="003C271A" w:rsidRDefault="003C271A" w:rsidP="00AF6B54"/>
        </w:tc>
      </w:tr>
      <w:tr w:rsidR="003C271A" w14:paraId="3CA8C0C9"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F9E33" w14:textId="77777777" w:rsidR="003C271A" w:rsidRDefault="003C271A" w:rsidP="00AF6B54">
            <w:pPr>
              <w:pStyle w:val="Normlnweb"/>
              <w:spacing w:before="0" w:beforeAutospacing="0" w:after="0" w:afterAutospacing="0"/>
            </w:pPr>
            <w:r>
              <w:rPr>
                <w:color w:val="000000"/>
                <w:sz w:val="20"/>
                <w:szCs w:val="20"/>
              </w:rPr>
              <w:t xml:space="preserve"> 2.2. Příprava přihlášky</w:t>
            </w:r>
          </w:p>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70F4B7A2"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7735A906"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25007"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4F854"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79BE9"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51AF9" w14:textId="77777777" w:rsidR="003C271A" w:rsidRDefault="003C271A" w:rsidP="00AF6B54"/>
        </w:tc>
      </w:tr>
      <w:tr w:rsidR="003C271A" w14:paraId="30ABDD2F"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8C273" w14:textId="77777777" w:rsidR="003C271A" w:rsidRDefault="003C271A" w:rsidP="00AF6B54"/>
          <w:p w14:paraId="5248910A" w14:textId="77777777" w:rsidR="003C271A" w:rsidRDefault="003C271A" w:rsidP="00AF6B54">
            <w:pPr>
              <w:pStyle w:val="Normlnweb"/>
              <w:spacing w:before="0" w:beforeAutospacing="0" w:after="0" w:afterAutospacing="0"/>
            </w:pPr>
            <w:r>
              <w:rPr>
                <w:color w:val="000000"/>
                <w:sz w:val="20"/>
                <w:szCs w:val="20"/>
              </w:rPr>
              <w:t>  2.2.1. Příprava zadání a analýza</w:t>
            </w:r>
          </w:p>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44F10F9D"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0D1D9"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F6D8A"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A1CC7"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EC95E"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01B80" w14:textId="77777777" w:rsidR="003C271A" w:rsidRDefault="003C271A" w:rsidP="00AF6B54"/>
        </w:tc>
      </w:tr>
      <w:tr w:rsidR="003C271A" w14:paraId="5A5B9E5E" w14:textId="77777777" w:rsidTr="00AF6B5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12C31" w14:textId="77777777" w:rsidR="003C271A" w:rsidRDefault="003C271A" w:rsidP="00AF6B54">
            <w:pPr>
              <w:pStyle w:val="Normlnweb"/>
              <w:spacing w:before="0" w:beforeAutospacing="0" w:after="0" w:afterAutospacing="0"/>
            </w:pPr>
            <w:r>
              <w:rPr>
                <w:color w:val="000000"/>
                <w:sz w:val="20"/>
                <w:szCs w:val="20"/>
              </w:rPr>
              <w:t>  2.2.2 Implementace v ISTA</w:t>
            </w:r>
          </w:p>
        </w:tc>
        <w:tc>
          <w:tcPr>
            <w:tcW w:w="0" w:type="auto"/>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61191EA7"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9D81E"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4BC82"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09741"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74BCA"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3608B" w14:textId="77777777" w:rsidR="003C271A" w:rsidRDefault="003C271A" w:rsidP="00AF6B54"/>
        </w:tc>
      </w:tr>
      <w:tr w:rsidR="003C271A" w14:paraId="52879FFC" w14:textId="77777777" w:rsidTr="00AF6B5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76F3E" w14:textId="77777777" w:rsidR="003C271A" w:rsidRDefault="003C271A" w:rsidP="00AF6B54">
            <w:pPr>
              <w:pStyle w:val="Normlnweb"/>
              <w:spacing w:before="0" w:beforeAutospacing="0" w:after="0" w:afterAutospacing="0"/>
            </w:pPr>
            <w:r>
              <w:rPr>
                <w:color w:val="000000"/>
                <w:sz w:val="20"/>
                <w:szCs w:val="20"/>
              </w:rPr>
              <w:lastRenderedPageBreak/>
              <w:t>  2.2.3. Testování</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6ED350FF"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3BD73EAC"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C2606"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B9057"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D437B"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29269" w14:textId="77777777" w:rsidR="003C271A" w:rsidRDefault="003C271A" w:rsidP="00AF6B54"/>
        </w:tc>
      </w:tr>
      <w:tr w:rsidR="003C271A" w14:paraId="66EF01E8" w14:textId="77777777" w:rsidTr="00AF6B5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15838" w14:textId="77777777" w:rsidR="003C271A" w:rsidRDefault="003C271A" w:rsidP="00AF6B54">
            <w:pPr>
              <w:pStyle w:val="Normlnweb"/>
              <w:spacing w:before="0" w:beforeAutospacing="0" w:after="0" w:afterAutospacing="0"/>
            </w:pPr>
            <w:r>
              <w:rPr>
                <w:color w:val="000000"/>
                <w:sz w:val="20"/>
                <w:szCs w:val="20"/>
              </w:rPr>
              <w:t>  2.2.4. Potvrzení funkcionality (akceptace)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235BD"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14843B86"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C4F6F"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0214E"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A67DB"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F1114" w14:textId="77777777" w:rsidR="003C271A" w:rsidRDefault="003C271A" w:rsidP="00AF6B54"/>
        </w:tc>
      </w:tr>
      <w:tr w:rsidR="003C271A" w14:paraId="2FFB61A2" w14:textId="77777777" w:rsidTr="00AF6B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912B8" w14:textId="77777777" w:rsidR="003C271A" w:rsidRDefault="003C271A" w:rsidP="00AF6B54">
            <w:pPr>
              <w:pStyle w:val="Normlnweb"/>
              <w:spacing w:before="0" w:beforeAutospacing="0" w:after="0" w:afterAutospacing="0"/>
            </w:pPr>
            <w:r>
              <w:rPr>
                <w:color w:val="000000"/>
                <w:sz w:val="20"/>
                <w:szCs w:val="20"/>
              </w:rPr>
              <w:t xml:space="preserve"> 2.3 Příprava zadávací dokumentace, smlouvy, všeobecných podmínek</w:t>
            </w:r>
          </w:p>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14C01D33"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292CE6D9"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0EAF3"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23721"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9D870" w14:textId="77777777" w:rsidR="003C271A" w:rsidRDefault="003C271A" w:rsidP="00AF6B5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1064D" w14:textId="77777777" w:rsidR="003C271A" w:rsidRDefault="003C271A" w:rsidP="00AF6B54"/>
        </w:tc>
      </w:tr>
    </w:tbl>
    <w:p w14:paraId="2AD96D69" w14:textId="77777777" w:rsidR="003C271A" w:rsidRDefault="003C271A">
      <w:pPr>
        <w:jc w:val="both"/>
        <w:rPr>
          <w:b/>
          <w:sz w:val="28"/>
          <w:szCs w:val="28"/>
          <w:highlight w:val="cyan"/>
        </w:rPr>
      </w:pPr>
    </w:p>
    <w:sectPr w:rsidR="003C271A">
      <w:headerReference w:type="default" r:id="rId7"/>
      <w:footerReference w:type="default" r:id="rId8"/>
      <w:pgSz w:w="11906" w:h="16838"/>
      <w:pgMar w:top="1417" w:right="1417" w:bottom="1417" w:left="1417" w:header="0"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DC8D8" w16cid:durableId="217E29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DFC01" w14:textId="77777777" w:rsidR="008D7F9F" w:rsidRDefault="008D7F9F">
      <w:r>
        <w:separator/>
      </w:r>
    </w:p>
  </w:endnote>
  <w:endnote w:type="continuationSeparator" w:id="0">
    <w:p w14:paraId="349AA421" w14:textId="77777777" w:rsidR="008D7F9F" w:rsidRDefault="008D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BB841" w14:textId="02D5048A" w:rsidR="00015301" w:rsidRDefault="00015301">
    <w:pPr>
      <w:tabs>
        <w:tab w:val="center" w:pos="4536"/>
        <w:tab w:val="right" w:pos="9072"/>
      </w:tabs>
      <w:jc w:val="center"/>
    </w:pPr>
    <w:r>
      <w:fldChar w:fldCharType="begin"/>
    </w:r>
    <w:r>
      <w:instrText>PAGE</w:instrText>
    </w:r>
    <w:r>
      <w:fldChar w:fldCharType="separate"/>
    </w:r>
    <w:r w:rsidR="00C31E67">
      <w:rPr>
        <w:noProof/>
      </w:rPr>
      <w:t>1</w:t>
    </w:r>
    <w:r>
      <w:fldChar w:fldCharType="end"/>
    </w:r>
  </w:p>
  <w:p w14:paraId="5DC85A19" w14:textId="77777777" w:rsidR="00015301" w:rsidRDefault="00015301">
    <w:pPr>
      <w:tabs>
        <w:tab w:val="center" w:pos="4536"/>
        <w:tab w:val="right" w:pos="9072"/>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792D2" w14:textId="77777777" w:rsidR="008D7F9F" w:rsidRDefault="008D7F9F">
      <w:r>
        <w:separator/>
      </w:r>
    </w:p>
  </w:footnote>
  <w:footnote w:type="continuationSeparator" w:id="0">
    <w:p w14:paraId="5DA9E828" w14:textId="77777777" w:rsidR="008D7F9F" w:rsidRDefault="008D7F9F">
      <w:r>
        <w:continuationSeparator/>
      </w:r>
    </w:p>
  </w:footnote>
  <w:footnote w:id="1">
    <w:p w14:paraId="62D0BF13" w14:textId="77777777" w:rsidR="00015301" w:rsidRDefault="00015301">
      <w:pPr>
        <w:rPr>
          <w:sz w:val="20"/>
          <w:szCs w:val="20"/>
        </w:rPr>
      </w:pPr>
      <w:r>
        <w:rPr>
          <w:vertAlign w:val="superscript"/>
        </w:rPr>
        <w:footnoteRef/>
      </w:r>
      <w:r>
        <w:rPr>
          <w:sz w:val="20"/>
          <w:szCs w:val="20"/>
        </w:rPr>
        <w:t xml:space="preserve"> OWASP Top 10 je seznam nejkritičtějších bezpečnostních rizik webových aplikací vytvořen bezpečnostní komunitou OWASP.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16CF" w14:textId="77777777" w:rsidR="00015301" w:rsidRDefault="000153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AFE"/>
    <w:multiLevelType w:val="multilevel"/>
    <w:tmpl w:val="87149828"/>
    <w:lvl w:ilvl="0">
      <w:start w:val="1"/>
      <w:numFmt w:val="decimal"/>
      <w:lvlText w:val="%1."/>
      <w:lvlJc w:val="left"/>
      <w:pPr>
        <w:ind w:left="1440" w:hanging="360"/>
      </w:pPr>
      <w:rPr>
        <w:u w:val="none"/>
        <w:shd w:val="clear" w:color="auto" w:fil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5D034E3"/>
    <w:multiLevelType w:val="multilevel"/>
    <w:tmpl w:val="E828E560"/>
    <w:lvl w:ilvl="0">
      <w:start w:val="4"/>
      <w:numFmt w:val="decimal"/>
      <w:lvlText w:val="Článek %1."/>
      <w:lvlJc w:val="center"/>
      <w:pPr>
        <w:ind w:left="2160" w:hanging="360"/>
      </w:pPr>
      <w:rPr>
        <w:rFonts w:hint="default"/>
        <w:b/>
        <w:i w:val="0"/>
        <w:shd w:val="clear" w:color="auto" w:fill="9900F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FE0B13"/>
    <w:multiLevelType w:val="multilevel"/>
    <w:tmpl w:val="2370ED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E0C1203"/>
    <w:multiLevelType w:val="multilevel"/>
    <w:tmpl w:val="6BF4DEFA"/>
    <w:lvl w:ilvl="0">
      <w:start w:val="1"/>
      <w:numFmt w:val="decimal"/>
      <w:lvlText w:val="%1."/>
      <w:lvlJc w:val="left"/>
      <w:pPr>
        <w:ind w:left="1440" w:hanging="360"/>
      </w:pPr>
      <w:rPr>
        <w:u w:val="none"/>
        <w:shd w:val="clear" w:color="auto" w:fil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3A84247"/>
    <w:multiLevelType w:val="multilevel"/>
    <w:tmpl w:val="A30EBC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4BB7ADE"/>
    <w:multiLevelType w:val="multilevel"/>
    <w:tmpl w:val="B4907266"/>
    <w:lvl w:ilvl="0">
      <w:start w:val="1"/>
      <w:numFmt w:val="decimal"/>
      <w:lvlText w:val="%1."/>
      <w:lvlJc w:val="left"/>
      <w:pPr>
        <w:ind w:left="1440"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53F4246"/>
    <w:multiLevelType w:val="multilevel"/>
    <w:tmpl w:val="50BCBE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B912B3"/>
    <w:multiLevelType w:val="multilevel"/>
    <w:tmpl w:val="20C81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D0001D"/>
    <w:multiLevelType w:val="multilevel"/>
    <w:tmpl w:val="12CEA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B86CF6"/>
    <w:multiLevelType w:val="multilevel"/>
    <w:tmpl w:val="E1CA8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F1E09E6"/>
    <w:multiLevelType w:val="multilevel"/>
    <w:tmpl w:val="B6D8322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2D4D94"/>
    <w:multiLevelType w:val="multilevel"/>
    <w:tmpl w:val="D974B482"/>
    <w:lvl w:ilvl="0">
      <w:start w:val="1"/>
      <w:numFmt w:val="decimal"/>
      <w:lvlText w:val="Článek %1."/>
      <w:lvlJc w:val="center"/>
      <w:pPr>
        <w:ind w:left="5746"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515FBB"/>
    <w:multiLevelType w:val="hybridMultilevel"/>
    <w:tmpl w:val="8B4C5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294C0F"/>
    <w:multiLevelType w:val="multilevel"/>
    <w:tmpl w:val="42E6D3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2A23EA8"/>
    <w:multiLevelType w:val="multilevel"/>
    <w:tmpl w:val="D20EF3FC"/>
    <w:lvl w:ilvl="0">
      <w:start w:val="1"/>
      <w:numFmt w:val="decimal"/>
      <w:lvlText w:val="%1."/>
      <w:lvlJc w:val="left"/>
      <w:pPr>
        <w:ind w:left="3296" w:hanging="360"/>
      </w:pPr>
    </w:lvl>
    <w:lvl w:ilvl="1">
      <w:start w:val="1"/>
      <w:numFmt w:val="lowerLetter"/>
      <w:lvlText w:val="%2."/>
      <w:lvlJc w:val="left"/>
      <w:pPr>
        <w:ind w:left="4016" w:hanging="360"/>
      </w:pPr>
    </w:lvl>
    <w:lvl w:ilvl="2">
      <w:start w:val="1"/>
      <w:numFmt w:val="lowerRoman"/>
      <w:lvlText w:val="%3."/>
      <w:lvlJc w:val="right"/>
      <w:pPr>
        <w:ind w:left="4736" w:hanging="180"/>
      </w:pPr>
    </w:lvl>
    <w:lvl w:ilvl="3">
      <w:start w:val="1"/>
      <w:numFmt w:val="decimal"/>
      <w:lvlText w:val="%4."/>
      <w:lvlJc w:val="left"/>
      <w:pPr>
        <w:ind w:left="5456" w:hanging="360"/>
      </w:pPr>
    </w:lvl>
    <w:lvl w:ilvl="4">
      <w:start w:val="1"/>
      <w:numFmt w:val="lowerLetter"/>
      <w:lvlText w:val="%5."/>
      <w:lvlJc w:val="left"/>
      <w:pPr>
        <w:ind w:left="6176" w:hanging="360"/>
      </w:pPr>
    </w:lvl>
    <w:lvl w:ilvl="5">
      <w:start w:val="1"/>
      <w:numFmt w:val="lowerRoman"/>
      <w:lvlText w:val="%6."/>
      <w:lvlJc w:val="right"/>
      <w:pPr>
        <w:ind w:left="6896" w:hanging="180"/>
      </w:pPr>
    </w:lvl>
    <w:lvl w:ilvl="6">
      <w:start w:val="1"/>
      <w:numFmt w:val="decimal"/>
      <w:lvlText w:val="%7."/>
      <w:lvlJc w:val="left"/>
      <w:pPr>
        <w:ind w:left="7616" w:hanging="360"/>
      </w:pPr>
    </w:lvl>
    <w:lvl w:ilvl="7">
      <w:start w:val="1"/>
      <w:numFmt w:val="lowerLetter"/>
      <w:lvlText w:val="%8."/>
      <w:lvlJc w:val="left"/>
      <w:pPr>
        <w:ind w:left="8336" w:hanging="360"/>
      </w:pPr>
    </w:lvl>
    <w:lvl w:ilvl="8">
      <w:start w:val="1"/>
      <w:numFmt w:val="lowerRoman"/>
      <w:lvlText w:val="%9."/>
      <w:lvlJc w:val="right"/>
      <w:pPr>
        <w:ind w:left="9056" w:hanging="180"/>
      </w:pPr>
    </w:lvl>
  </w:abstractNum>
  <w:abstractNum w:abstractNumId="15" w15:restartNumberingAfterBreak="0">
    <w:nsid w:val="38BC4153"/>
    <w:multiLevelType w:val="multilevel"/>
    <w:tmpl w:val="85C0B2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91B7E37"/>
    <w:multiLevelType w:val="multilevel"/>
    <w:tmpl w:val="94E24D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4262E45"/>
    <w:multiLevelType w:val="multilevel"/>
    <w:tmpl w:val="7EE488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969026E"/>
    <w:multiLevelType w:val="multilevel"/>
    <w:tmpl w:val="B51CA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A466E0"/>
    <w:multiLevelType w:val="multilevel"/>
    <w:tmpl w:val="D20EF3FC"/>
    <w:lvl w:ilvl="0">
      <w:start w:val="1"/>
      <w:numFmt w:val="decimal"/>
      <w:lvlText w:val="%1."/>
      <w:lvlJc w:val="left"/>
      <w:pPr>
        <w:ind w:left="3296" w:hanging="360"/>
      </w:pPr>
    </w:lvl>
    <w:lvl w:ilvl="1">
      <w:start w:val="1"/>
      <w:numFmt w:val="lowerLetter"/>
      <w:lvlText w:val="%2."/>
      <w:lvlJc w:val="left"/>
      <w:pPr>
        <w:ind w:left="4016" w:hanging="360"/>
      </w:pPr>
    </w:lvl>
    <w:lvl w:ilvl="2">
      <w:start w:val="1"/>
      <w:numFmt w:val="lowerRoman"/>
      <w:lvlText w:val="%3."/>
      <w:lvlJc w:val="right"/>
      <w:pPr>
        <w:ind w:left="4736" w:hanging="180"/>
      </w:pPr>
    </w:lvl>
    <w:lvl w:ilvl="3">
      <w:start w:val="1"/>
      <w:numFmt w:val="decimal"/>
      <w:lvlText w:val="%4."/>
      <w:lvlJc w:val="left"/>
      <w:pPr>
        <w:ind w:left="5456" w:hanging="360"/>
      </w:pPr>
    </w:lvl>
    <w:lvl w:ilvl="4">
      <w:start w:val="1"/>
      <w:numFmt w:val="lowerLetter"/>
      <w:lvlText w:val="%5."/>
      <w:lvlJc w:val="left"/>
      <w:pPr>
        <w:ind w:left="6176" w:hanging="360"/>
      </w:pPr>
    </w:lvl>
    <w:lvl w:ilvl="5">
      <w:start w:val="1"/>
      <w:numFmt w:val="lowerRoman"/>
      <w:lvlText w:val="%6."/>
      <w:lvlJc w:val="right"/>
      <w:pPr>
        <w:ind w:left="6896" w:hanging="180"/>
      </w:pPr>
    </w:lvl>
    <w:lvl w:ilvl="6">
      <w:start w:val="1"/>
      <w:numFmt w:val="decimal"/>
      <w:lvlText w:val="%7."/>
      <w:lvlJc w:val="left"/>
      <w:pPr>
        <w:ind w:left="7616" w:hanging="360"/>
      </w:pPr>
    </w:lvl>
    <w:lvl w:ilvl="7">
      <w:start w:val="1"/>
      <w:numFmt w:val="lowerLetter"/>
      <w:lvlText w:val="%8."/>
      <w:lvlJc w:val="left"/>
      <w:pPr>
        <w:ind w:left="8336" w:hanging="360"/>
      </w:pPr>
    </w:lvl>
    <w:lvl w:ilvl="8">
      <w:start w:val="1"/>
      <w:numFmt w:val="lowerRoman"/>
      <w:lvlText w:val="%9."/>
      <w:lvlJc w:val="right"/>
      <w:pPr>
        <w:ind w:left="9056" w:hanging="180"/>
      </w:pPr>
    </w:lvl>
  </w:abstractNum>
  <w:abstractNum w:abstractNumId="20" w15:restartNumberingAfterBreak="0">
    <w:nsid w:val="4E695398"/>
    <w:multiLevelType w:val="multilevel"/>
    <w:tmpl w:val="856856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F676941"/>
    <w:multiLevelType w:val="multilevel"/>
    <w:tmpl w:val="733AF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1CD5B47"/>
    <w:multiLevelType w:val="multilevel"/>
    <w:tmpl w:val="0A8C2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2526BF6"/>
    <w:multiLevelType w:val="multilevel"/>
    <w:tmpl w:val="0180C9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6554E20"/>
    <w:multiLevelType w:val="multilevel"/>
    <w:tmpl w:val="F4AC33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9635A21"/>
    <w:multiLevelType w:val="multilevel"/>
    <w:tmpl w:val="DC6C9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E6D09BA"/>
    <w:multiLevelType w:val="hybridMultilevel"/>
    <w:tmpl w:val="96EA2662"/>
    <w:lvl w:ilvl="0" w:tplc="04050019">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6FDD37E6"/>
    <w:multiLevelType w:val="multilevel"/>
    <w:tmpl w:val="4456117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9CA14E3"/>
    <w:multiLevelType w:val="multilevel"/>
    <w:tmpl w:val="F118E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54443E"/>
    <w:multiLevelType w:val="multilevel"/>
    <w:tmpl w:val="752EC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20"/>
  </w:num>
  <w:num w:numId="3">
    <w:abstractNumId w:val="21"/>
  </w:num>
  <w:num w:numId="4">
    <w:abstractNumId w:val="19"/>
  </w:num>
  <w:num w:numId="5">
    <w:abstractNumId w:val="18"/>
  </w:num>
  <w:num w:numId="6">
    <w:abstractNumId w:val="5"/>
  </w:num>
  <w:num w:numId="7">
    <w:abstractNumId w:val="7"/>
  </w:num>
  <w:num w:numId="8">
    <w:abstractNumId w:val="1"/>
  </w:num>
  <w:num w:numId="9">
    <w:abstractNumId w:val="0"/>
  </w:num>
  <w:num w:numId="10">
    <w:abstractNumId w:val="23"/>
  </w:num>
  <w:num w:numId="11">
    <w:abstractNumId w:val="11"/>
  </w:num>
  <w:num w:numId="12">
    <w:abstractNumId w:val="15"/>
  </w:num>
  <w:num w:numId="13">
    <w:abstractNumId w:val="17"/>
  </w:num>
  <w:num w:numId="14">
    <w:abstractNumId w:val="25"/>
  </w:num>
  <w:num w:numId="15">
    <w:abstractNumId w:val="29"/>
  </w:num>
  <w:num w:numId="16">
    <w:abstractNumId w:val="2"/>
  </w:num>
  <w:num w:numId="17">
    <w:abstractNumId w:val="4"/>
  </w:num>
  <w:num w:numId="18">
    <w:abstractNumId w:val="22"/>
  </w:num>
  <w:num w:numId="19">
    <w:abstractNumId w:val="9"/>
  </w:num>
  <w:num w:numId="20">
    <w:abstractNumId w:val="13"/>
  </w:num>
  <w:num w:numId="21">
    <w:abstractNumId w:val="28"/>
  </w:num>
  <w:num w:numId="22">
    <w:abstractNumId w:val="16"/>
  </w:num>
  <w:num w:numId="23">
    <w:abstractNumId w:val="10"/>
  </w:num>
  <w:num w:numId="24">
    <w:abstractNumId w:val="6"/>
  </w:num>
  <w:num w:numId="25">
    <w:abstractNumId w:val="24"/>
  </w:num>
  <w:num w:numId="26">
    <w:abstractNumId w:val="12"/>
  </w:num>
  <w:num w:numId="27">
    <w:abstractNumId w:val="3"/>
  </w:num>
  <w:num w:numId="28">
    <w:abstractNumId w:val="14"/>
  </w:num>
  <w:num w:numId="29">
    <w:abstractNumId w:val="2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2C"/>
    <w:rsid w:val="00015301"/>
    <w:rsid w:val="00025476"/>
    <w:rsid w:val="000278FF"/>
    <w:rsid w:val="00056F01"/>
    <w:rsid w:val="000F7605"/>
    <w:rsid w:val="00114648"/>
    <w:rsid w:val="00126B12"/>
    <w:rsid w:val="00131C30"/>
    <w:rsid w:val="00134A52"/>
    <w:rsid w:val="0017352A"/>
    <w:rsid w:val="00191914"/>
    <w:rsid w:val="001E5946"/>
    <w:rsid w:val="003A21F3"/>
    <w:rsid w:val="003A51CF"/>
    <w:rsid w:val="003C271A"/>
    <w:rsid w:val="00465E1E"/>
    <w:rsid w:val="00474BFE"/>
    <w:rsid w:val="004954D1"/>
    <w:rsid w:val="004E6E64"/>
    <w:rsid w:val="00514D50"/>
    <w:rsid w:val="005D72C5"/>
    <w:rsid w:val="00607A5E"/>
    <w:rsid w:val="006147EC"/>
    <w:rsid w:val="00657865"/>
    <w:rsid w:val="006B32F9"/>
    <w:rsid w:val="006B498E"/>
    <w:rsid w:val="006C0D60"/>
    <w:rsid w:val="006D4DBD"/>
    <w:rsid w:val="007A2598"/>
    <w:rsid w:val="007A5E04"/>
    <w:rsid w:val="007F43A7"/>
    <w:rsid w:val="007F50F6"/>
    <w:rsid w:val="008378A6"/>
    <w:rsid w:val="008450E5"/>
    <w:rsid w:val="00855011"/>
    <w:rsid w:val="008767F9"/>
    <w:rsid w:val="008C78B0"/>
    <w:rsid w:val="008D7F9F"/>
    <w:rsid w:val="00937F2C"/>
    <w:rsid w:val="009748E1"/>
    <w:rsid w:val="009A4533"/>
    <w:rsid w:val="009E1050"/>
    <w:rsid w:val="00A13170"/>
    <w:rsid w:val="00A17756"/>
    <w:rsid w:val="00A36172"/>
    <w:rsid w:val="00A645AF"/>
    <w:rsid w:val="00AA5F78"/>
    <w:rsid w:val="00AA6511"/>
    <w:rsid w:val="00B3024B"/>
    <w:rsid w:val="00B477CF"/>
    <w:rsid w:val="00BA0957"/>
    <w:rsid w:val="00C31E67"/>
    <w:rsid w:val="00CA6C35"/>
    <w:rsid w:val="00CD5994"/>
    <w:rsid w:val="00D22D6F"/>
    <w:rsid w:val="00D31A73"/>
    <w:rsid w:val="00D57394"/>
    <w:rsid w:val="00D75587"/>
    <w:rsid w:val="00D97E41"/>
    <w:rsid w:val="00DA771F"/>
    <w:rsid w:val="00DC1DCE"/>
    <w:rsid w:val="00E013F5"/>
    <w:rsid w:val="00E10DC3"/>
    <w:rsid w:val="00E15E68"/>
    <w:rsid w:val="00EC09EF"/>
    <w:rsid w:val="00F51C41"/>
    <w:rsid w:val="00F74E85"/>
    <w:rsid w:val="00FB4943"/>
    <w:rsid w:val="00FF07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13F3"/>
  <w15:docId w15:val="{9319C03E-C8CA-4BD2-9A53-035DAB76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B498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498E"/>
    <w:rPr>
      <w:rFonts w:ascii="Segoe UI" w:hAnsi="Segoe UI" w:cs="Segoe UI"/>
      <w:sz w:val="18"/>
      <w:szCs w:val="18"/>
    </w:rPr>
  </w:style>
  <w:style w:type="paragraph" w:styleId="Odstavecseseznamem">
    <w:name w:val="List Paragraph"/>
    <w:basedOn w:val="Normln"/>
    <w:uiPriority w:val="34"/>
    <w:qFormat/>
    <w:rsid w:val="003A21F3"/>
    <w:pPr>
      <w:ind w:left="720"/>
      <w:contextualSpacing/>
    </w:pPr>
  </w:style>
  <w:style w:type="paragraph" w:styleId="Pedmtkomente">
    <w:name w:val="annotation subject"/>
    <w:basedOn w:val="Textkomente"/>
    <w:next w:val="Textkomente"/>
    <w:link w:val="PedmtkomenteChar"/>
    <w:uiPriority w:val="99"/>
    <w:semiHidden/>
    <w:unhideWhenUsed/>
    <w:rsid w:val="00E15E68"/>
    <w:rPr>
      <w:b/>
      <w:bCs/>
    </w:rPr>
  </w:style>
  <w:style w:type="character" w:customStyle="1" w:styleId="PedmtkomenteChar">
    <w:name w:val="Předmět komentáře Char"/>
    <w:basedOn w:val="TextkomenteChar"/>
    <w:link w:val="Pedmtkomente"/>
    <w:uiPriority w:val="99"/>
    <w:semiHidden/>
    <w:rsid w:val="00E15E68"/>
    <w:rPr>
      <w:b/>
      <w:bCs/>
      <w:sz w:val="20"/>
      <w:szCs w:val="20"/>
    </w:rPr>
  </w:style>
  <w:style w:type="paragraph" w:styleId="Normlnweb">
    <w:name w:val="Normal (Web)"/>
    <w:basedOn w:val="Normln"/>
    <w:uiPriority w:val="99"/>
    <w:semiHidden/>
    <w:unhideWhenUsed/>
    <w:rsid w:val="003C27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4011</Words>
  <Characters>23665</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SCCM-PSS</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 Vladimír</dc:creator>
  <cp:lastModifiedBy>Horáčková Vladana</cp:lastModifiedBy>
  <cp:revision>2</cp:revision>
  <cp:lastPrinted>2019-11-26T05:33:00Z</cp:lastPrinted>
  <dcterms:created xsi:type="dcterms:W3CDTF">2019-11-26T05:33:00Z</dcterms:created>
  <dcterms:modified xsi:type="dcterms:W3CDTF">2019-11-26T05:33:00Z</dcterms:modified>
</cp:coreProperties>
</file>