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 93 468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027A8E">
        <w:rPr>
          <w:rFonts w:ascii="Arial" w:hAnsi="Arial" w:cs="Arial"/>
          <w:sz w:val="20"/>
          <w:szCs w:val="20"/>
        </w:rPr>
        <w:t>x</w:t>
      </w:r>
    </w:p>
    <w:p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027A8E">
        <w:rPr>
          <w:rFonts w:ascii="Arial" w:hAnsi="Arial" w:cs="Arial"/>
          <w:sz w:val="20"/>
          <w:szCs w:val="20"/>
        </w:rPr>
        <w:t>x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Pr="002C4709">
        <w:rPr>
          <w:rFonts w:ascii="Arial" w:hAnsi="Arial" w:cs="Arial"/>
          <w:sz w:val="20"/>
          <w:szCs w:val="20"/>
        </w:rPr>
        <w:t xml:space="preserve">Ing. </w:t>
      </w:r>
      <w:r w:rsidR="00BD1083">
        <w:rPr>
          <w:rFonts w:ascii="Arial" w:hAnsi="Arial" w:cs="Arial"/>
          <w:sz w:val="20"/>
          <w:szCs w:val="20"/>
        </w:rPr>
        <w:t>Jaroslavem Kociánem</w:t>
      </w:r>
      <w:r w:rsidRPr="002C4709">
        <w:rPr>
          <w:rFonts w:ascii="Arial" w:hAnsi="Arial" w:cs="Arial"/>
          <w:sz w:val="20"/>
          <w:szCs w:val="20"/>
        </w:rPr>
        <w:t>, předsedou představenstva</w:t>
      </w:r>
      <w:r w:rsidRPr="00BF372B">
        <w:rPr>
          <w:rFonts w:ascii="Arial" w:hAnsi="Arial" w:cs="Arial"/>
          <w:sz w:val="20"/>
          <w:szCs w:val="20"/>
        </w:rPr>
        <w:t xml:space="preserve">, a </w:t>
      </w:r>
      <w:r w:rsidR="002250BB">
        <w:rPr>
          <w:rFonts w:ascii="Arial" w:hAnsi="Arial" w:cs="Arial"/>
          <w:sz w:val="20"/>
          <w:szCs w:val="20"/>
        </w:rPr>
        <w:t xml:space="preserve">Ing. Otakarem Krejsou, </w:t>
      </w:r>
      <w:r w:rsidRPr="002C4709">
        <w:rPr>
          <w:rFonts w:ascii="Arial" w:hAnsi="Arial" w:cs="Arial"/>
          <w:sz w:val="20"/>
          <w:szCs w:val="20"/>
        </w:rPr>
        <w:t>místopředsedou představenstva</w:t>
      </w: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Pr="00706122" w:rsidRDefault="00706122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6122">
        <w:rPr>
          <w:rFonts w:ascii="Arial" w:hAnsi="Arial" w:cs="Arial"/>
          <w:b/>
          <w:sz w:val="20"/>
          <w:szCs w:val="20"/>
        </w:rPr>
        <w:t>Dětský domov</w:t>
      </w:r>
      <w:r w:rsidR="00FD227C">
        <w:rPr>
          <w:rFonts w:ascii="Arial" w:hAnsi="Arial" w:cs="Arial"/>
          <w:b/>
          <w:sz w:val="20"/>
          <w:szCs w:val="20"/>
        </w:rPr>
        <w:t>,</w:t>
      </w:r>
      <w:r w:rsidR="00B96FA7" w:rsidRPr="00706122">
        <w:rPr>
          <w:rFonts w:ascii="Arial" w:hAnsi="Arial" w:cs="Arial"/>
          <w:b/>
          <w:sz w:val="20"/>
          <w:szCs w:val="20"/>
        </w:rPr>
        <w:t xml:space="preserve"> </w:t>
      </w:r>
      <w:r w:rsidR="000D3A5D">
        <w:rPr>
          <w:rFonts w:ascii="Arial" w:hAnsi="Arial" w:cs="Arial"/>
          <w:b/>
          <w:sz w:val="20"/>
          <w:szCs w:val="20"/>
        </w:rPr>
        <w:t>Humpolec, Libická 928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</w:t>
      </w:r>
      <w:r w:rsidR="000D3A5D">
        <w:rPr>
          <w:rFonts w:ascii="Arial" w:hAnsi="Arial" w:cs="Arial"/>
          <w:sz w:val="20"/>
          <w:szCs w:val="20"/>
        </w:rPr>
        <w:t xml:space="preserve">Libická 928, 396 01 </w:t>
      </w:r>
      <w:r w:rsidR="00DF1323">
        <w:rPr>
          <w:rFonts w:ascii="Arial" w:hAnsi="Arial" w:cs="Arial"/>
          <w:sz w:val="20"/>
          <w:szCs w:val="20"/>
        </w:rPr>
        <w:t>Humpolec</w:t>
      </w:r>
      <w:r w:rsidR="00222EC6">
        <w:rPr>
          <w:rFonts w:ascii="Arial" w:hAnsi="Arial" w:cs="Arial"/>
          <w:sz w:val="20"/>
          <w:szCs w:val="20"/>
        </w:rPr>
        <w:t xml:space="preserve"> 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0D3A5D">
        <w:rPr>
          <w:rFonts w:ascii="Arial" w:hAnsi="Arial" w:cs="Arial"/>
          <w:sz w:val="20"/>
          <w:szCs w:val="20"/>
        </w:rPr>
        <w:t>70841586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027A8E">
        <w:rPr>
          <w:rFonts w:ascii="Arial" w:hAnsi="Arial" w:cs="Arial"/>
          <w:sz w:val="20"/>
          <w:szCs w:val="20"/>
        </w:rPr>
        <w:t>x</w:t>
      </w:r>
      <w:bookmarkStart w:id="0" w:name="_GoBack"/>
      <w:bookmarkEnd w:id="0"/>
    </w:p>
    <w:p w:rsidR="003E4A0E" w:rsidRPr="00706122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027A8E">
        <w:rPr>
          <w:rFonts w:ascii="Arial" w:hAnsi="Arial" w:cs="Arial"/>
          <w:sz w:val="20"/>
          <w:szCs w:val="20"/>
        </w:rPr>
        <w:t>x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222EC6">
        <w:rPr>
          <w:rFonts w:ascii="Arial" w:hAnsi="Arial" w:cs="Arial"/>
          <w:sz w:val="20"/>
          <w:szCs w:val="20"/>
        </w:rPr>
        <w:t>ý</w:t>
      </w:r>
      <w:r w:rsidR="000057E4">
        <w:rPr>
          <w:rFonts w:ascii="Arial" w:hAnsi="Arial" w:cs="Arial"/>
          <w:sz w:val="20"/>
          <w:szCs w:val="20"/>
        </w:rPr>
        <w:t xml:space="preserve"> </w:t>
      </w:r>
      <w:r w:rsidR="000D3A5D">
        <w:rPr>
          <w:rFonts w:ascii="Arial" w:hAnsi="Arial" w:cs="Arial"/>
          <w:sz w:val="20"/>
          <w:szCs w:val="20"/>
        </w:rPr>
        <w:t xml:space="preserve">Ing. Pavlem Matouškem, ředitelem </w:t>
      </w:r>
    </w:p>
    <w:p w:rsidR="00222EC6" w:rsidRDefault="00222EC6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:rsidR="003E4A0E" w:rsidRDefault="003E4A0E" w:rsidP="003E4A0E">
      <w:pPr>
        <w:spacing w:after="0"/>
        <w:jc w:val="both"/>
      </w:pPr>
    </w:p>
    <w:p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:rsidR="00247480" w:rsidRDefault="00BC48B1" w:rsidP="00BC48B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</w:t>
      </w:r>
      <w:proofErr w:type="gramStart"/>
      <w:r w:rsidR="008B4BF1">
        <w:rPr>
          <w:rFonts w:ascii="Arial" w:hAnsi="Arial" w:cs="Arial"/>
          <w:bCs/>
          <w:sz w:val="20"/>
          <w:szCs w:val="20"/>
        </w:rPr>
        <w:t>odst.</w:t>
      </w:r>
      <w:proofErr w:type="gramEnd"/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:rsidR="00A603AD" w:rsidRDefault="002250BB" w:rsidP="00A603AD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027A8E">
        <w:rPr>
          <w:rFonts w:ascii="Arial" w:hAnsi="Arial" w:cs="Arial"/>
          <w:b/>
          <w:bCs/>
          <w:sz w:val="20"/>
          <w:szCs w:val="20"/>
        </w:rPr>
        <w:t>x</w:t>
      </w:r>
      <w:r w:rsidR="00B1015C" w:rsidRPr="00903FEF">
        <w:rPr>
          <w:rFonts w:ascii="Arial" w:hAnsi="Arial" w:cs="Arial"/>
          <w:b/>
          <w:sz w:val="20"/>
          <w:szCs w:val="20"/>
        </w:rPr>
        <w:t xml:space="preserve"> </w:t>
      </w:r>
      <w:r w:rsidR="00247480" w:rsidRPr="00903FEF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 </w:t>
      </w:r>
      <w:proofErr w:type="gramStart"/>
      <w:r w:rsidR="00027A8E">
        <w:rPr>
          <w:rFonts w:ascii="Arial" w:hAnsi="Arial" w:cs="Arial"/>
          <w:sz w:val="20"/>
          <w:szCs w:val="20"/>
        </w:rPr>
        <w:t>x</w:t>
      </w:r>
      <w:r w:rsidR="00297DB2">
        <w:rPr>
          <w:rFonts w:ascii="Arial" w:hAnsi="Arial" w:cs="Arial"/>
          <w:sz w:val="20"/>
          <w:szCs w:val="20"/>
        </w:rPr>
        <w:t xml:space="preserve">) </w:t>
      </w:r>
      <w:r w:rsidR="00247480">
        <w:rPr>
          <w:rFonts w:ascii="Arial" w:hAnsi="Arial" w:cs="Arial"/>
          <w:sz w:val="20"/>
          <w:szCs w:val="20"/>
        </w:rPr>
        <w:t>(dále</w:t>
      </w:r>
      <w:proofErr w:type="gramEnd"/>
      <w:r w:rsidR="00247480">
        <w:rPr>
          <w:rFonts w:ascii="Arial" w:hAnsi="Arial" w:cs="Arial"/>
          <w:sz w:val="20"/>
          <w:szCs w:val="20"/>
        </w:rPr>
        <w:t xml:space="preserve">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:rsidR="00247480" w:rsidRPr="000D3A5D" w:rsidRDefault="00A603AD" w:rsidP="008B4BF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:rsidR="000D3A5D" w:rsidRPr="00BB6191" w:rsidRDefault="000D3A5D" w:rsidP="008B4BF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B6191">
        <w:rPr>
          <w:rFonts w:ascii="Arial" w:hAnsi="Arial" w:cs="Arial"/>
          <w:sz w:val="20"/>
          <w:szCs w:val="20"/>
        </w:rPr>
        <w:t>Dar nabývá Obdarovaný v souladu § 27 odst. 4 zákona č. 250/2000 Sb. o rozpočtových pravidlech územních rozpočtů, ve znění pozdějších předpisů pro svého zřizovatele.</w:t>
      </w:r>
    </w:p>
    <w:p w:rsidR="00AA7755" w:rsidRPr="00BB6191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47480" w:rsidRPr="00BB6191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B6191">
        <w:rPr>
          <w:rFonts w:ascii="Arial" w:hAnsi="Arial" w:cs="Arial"/>
          <w:b/>
          <w:sz w:val="20"/>
          <w:szCs w:val="20"/>
        </w:rPr>
        <w:t>II.</w:t>
      </w:r>
    </w:p>
    <w:p w:rsidR="00247480" w:rsidRPr="00BB6191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B6191"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 w:rsidRPr="00BB6191">
        <w:rPr>
          <w:rFonts w:ascii="Arial" w:hAnsi="Arial" w:cs="Arial"/>
          <w:b/>
          <w:sz w:val="20"/>
          <w:szCs w:val="20"/>
        </w:rPr>
        <w:t>Daru</w:t>
      </w:r>
    </w:p>
    <w:p w:rsidR="00247480" w:rsidRPr="00BB6191" w:rsidRDefault="00A603AD" w:rsidP="00A603AD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B6191"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 w:rsidRPr="00BB6191">
        <w:rPr>
          <w:rFonts w:ascii="Arial" w:hAnsi="Arial" w:cs="Arial"/>
          <w:bCs/>
          <w:sz w:val="20"/>
          <w:szCs w:val="20"/>
        </w:rPr>
        <w:t>D</w:t>
      </w:r>
      <w:r w:rsidRPr="00BB6191"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BB6191">
        <w:rPr>
          <w:rFonts w:ascii="Arial" w:hAnsi="Arial" w:cs="Arial"/>
          <w:bCs/>
          <w:sz w:val="20"/>
          <w:szCs w:val="20"/>
        </w:rPr>
        <w:t xml:space="preserve">výhradně </w:t>
      </w:r>
      <w:r w:rsidR="002C4709" w:rsidRPr="00BB6191">
        <w:rPr>
          <w:rFonts w:ascii="Arial" w:hAnsi="Arial" w:cs="Arial"/>
          <w:bCs/>
          <w:sz w:val="20"/>
          <w:szCs w:val="20"/>
        </w:rPr>
        <w:t>na účel</w:t>
      </w:r>
      <w:r w:rsidR="00247480" w:rsidRPr="00BB6191">
        <w:rPr>
          <w:rFonts w:ascii="Arial" w:hAnsi="Arial" w:cs="Arial"/>
          <w:bCs/>
          <w:sz w:val="20"/>
          <w:szCs w:val="20"/>
        </w:rPr>
        <w:t>:</w:t>
      </w:r>
    </w:p>
    <w:p w:rsidR="00222EC6" w:rsidRPr="00BB6191" w:rsidRDefault="00FD227C" w:rsidP="00903FEF">
      <w:pPr>
        <w:pStyle w:val="Odstavecseseznamem"/>
        <w:numPr>
          <w:ilvl w:val="0"/>
          <w:numId w:val="5"/>
        </w:numPr>
        <w:tabs>
          <w:tab w:val="left" w:pos="36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B6191">
        <w:rPr>
          <w:rFonts w:ascii="Arial" w:hAnsi="Arial" w:cs="Arial"/>
          <w:bCs/>
          <w:sz w:val="20"/>
          <w:szCs w:val="20"/>
        </w:rPr>
        <w:t xml:space="preserve">pořízení nového nábytku </w:t>
      </w:r>
      <w:r w:rsidR="00DF1323" w:rsidRPr="00BB6191">
        <w:rPr>
          <w:rFonts w:ascii="Arial" w:hAnsi="Arial" w:cs="Arial"/>
          <w:bCs/>
          <w:sz w:val="20"/>
          <w:szCs w:val="20"/>
        </w:rPr>
        <w:t>na rodinné skupiny</w:t>
      </w:r>
    </w:p>
    <w:p w:rsidR="00903FEF" w:rsidRPr="00BB6191" w:rsidRDefault="00903FEF" w:rsidP="00903FEF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247480" w:rsidRPr="00BB6191" w:rsidRDefault="00A603AD" w:rsidP="00A603AD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B6191">
        <w:rPr>
          <w:rFonts w:ascii="Arial" w:hAnsi="Arial" w:cs="Arial"/>
          <w:bCs/>
          <w:sz w:val="20"/>
          <w:szCs w:val="20"/>
        </w:rPr>
        <w:t xml:space="preserve">Obdarovaný </w:t>
      </w:r>
      <w:r w:rsidR="002250BB" w:rsidRPr="00BB6191">
        <w:rPr>
          <w:rFonts w:ascii="Arial" w:hAnsi="Arial" w:cs="Arial"/>
          <w:bCs/>
          <w:sz w:val="20"/>
          <w:szCs w:val="20"/>
        </w:rPr>
        <w:t>D</w:t>
      </w:r>
      <w:r w:rsidRPr="00BB6191">
        <w:rPr>
          <w:rFonts w:ascii="Arial" w:hAnsi="Arial" w:cs="Arial"/>
          <w:bCs/>
          <w:sz w:val="20"/>
          <w:szCs w:val="20"/>
        </w:rPr>
        <w:t>ar přijímá a zavazuje se jej použít výhradně pro účely stanovené v odst. 1 tohoto</w:t>
      </w:r>
      <w:r w:rsidR="000D3A5D" w:rsidRPr="00BB6191">
        <w:rPr>
          <w:rFonts w:ascii="Arial" w:hAnsi="Arial" w:cs="Arial"/>
          <w:bCs/>
          <w:sz w:val="20"/>
          <w:szCs w:val="20"/>
        </w:rPr>
        <w:t xml:space="preserve"> článku a prohlašuje, že jej použije pouze pro činnost vyplývající z jeho poslání.</w:t>
      </w:r>
    </w:p>
    <w:p w:rsidR="00203AF6" w:rsidRDefault="00203AF6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203AF6" w:rsidRDefault="00203AF6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7A6C6D" w:rsidRDefault="007A6C6D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:rsidR="00241284" w:rsidRDefault="00241284" w:rsidP="00241284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smlouvy, a to nejpozději do </w:t>
      </w:r>
      <w:r w:rsidR="00817757">
        <w:rPr>
          <w:rFonts w:ascii="Arial" w:hAnsi="Arial" w:cs="Arial"/>
          <w:sz w:val="20"/>
          <w:szCs w:val="20"/>
        </w:rPr>
        <w:t xml:space="preserve">31. </w:t>
      </w:r>
      <w:r w:rsidR="004E0D22">
        <w:rPr>
          <w:rFonts w:ascii="Arial" w:hAnsi="Arial" w:cs="Arial"/>
          <w:sz w:val="20"/>
          <w:szCs w:val="20"/>
        </w:rPr>
        <w:t>března</w:t>
      </w:r>
      <w:r w:rsidR="00BB4043">
        <w:rPr>
          <w:rFonts w:ascii="Arial" w:hAnsi="Arial" w:cs="Arial"/>
          <w:sz w:val="20"/>
          <w:szCs w:val="20"/>
        </w:rPr>
        <w:t xml:space="preserve"> 20</w:t>
      </w:r>
      <w:r w:rsidR="004E0D22">
        <w:rPr>
          <w:rFonts w:ascii="Arial" w:hAnsi="Arial" w:cs="Arial"/>
          <w:sz w:val="20"/>
          <w:szCs w:val="20"/>
        </w:rPr>
        <w:t>20</w:t>
      </w:r>
      <w:r w:rsidR="00140985">
        <w:rPr>
          <w:rFonts w:ascii="Arial" w:hAnsi="Arial" w:cs="Arial"/>
          <w:sz w:val="20"/>
          <w:szCs w:val="20"/>
        </w:rPr>
        <w:t>.</w:t>
      </w:r>
    </w:p>
    <w:p w:rsidR="00D612DA" w:rsidRPr="00D612DA" w:rsidRDefault="00D612DA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nejpozději však do </w:t>
      </w:r>
      <w:r w:rsidR="00BB4043">
        <w:rPr>
          <w:rFonts w:ascii="Arial" w:hAnsi="Arial" w:cs="Arial"/>
          <w:sz w:val="20"/>
          <w:szCs w:val="20"/>
        </w:rPr>
        <w:br/>
      </w:r>
      <w:r w:rsidR="002C4709">
        <w:rPr>
          <w:rFonts w:ascii="Arial" w:hAnsi="Arial" w:cs="Arial"/>
          <w:sz w:val="20"/>
          <w:szCs w:val="20"/>
        </w:rPr>
        <w:t>3</w:t>
      </w:r>
      <w:r w:rsidR="004E0D22">
        <w:rPr>
          <w:rFonts w:ascii="Arial" w:hAnsi="Arial" w:cs="Arial"/>
          <w:sz w:val="20"/>
          <w:szCs w:val="20"/>
        </w:rPr>
        <w:t>0</w:t>
      </w:r>
      <w:r w:rsidR="00273A4F">
        <w:rPr>
          <w:rFonts w:ascii="Arial" w:hAnsi="Arial" w:cs="Arial"/>
          <w:sz w:val="20"/>
          <w:szCs w:val="20"/>
        </w:rPr>
        <w:t xml:space="preserve">. </w:t>
      </w:r>
      <w:r w:rsidR="004E0D22">
        <w:rPr>
          <w:rFonts w:ascii="Arial" w:hAnsi="Arial" w:cs="Arial"/>
          <w:sz w:val="20"/>
          <w:szCs w:val="20"/>
        </w:rPr>
        <w:t>dub</w:t>
      </w:r>
      <w:r w:rsidR="002C4709">
        <w:rPr>
          <w:rFonts w:ascii="Arial" w:hAnsi="Arial" w:cs="Arial"/>
          <w:sz w:val="20"/>
          <w:szCs w:val="20"/>
        </w:rPr>
        <w:t>na</w:t>
      </w:r>
      <w:r w:rsidR="002250BB">
        <w:rPr>
          <w:rFonts w:ascii="Arial" w:hAnsi="Arial" w:cs="Arial"/>
          <w:sz w:val="20"/>
          <w:szCs w:val="20"/>
        </w:rPr>
        <w:t xml:space="preserve"> 20</w:t>
      </w:r>
      <w:r w:rsidR="00222EC6">
        <w:rPr>
          <w:rFonts w:ascii="Arial" w:hAnsi="Arial" w:cs="Arial"/>
          <w:sz w:val="20"/>
          <w:szCs w:val="20"/>
        </w:rPr>
        <w:t>20</w:t>
      </w:r>
      <w:r w:rsidRPr="00D612DA">
        <w:rPr>
          <w:rFonts w:ascii="Arial" w:hAnsi="Arial" w:cs="Arial"/>
          <w:sz w:val="20"/>
          <w:szCs w:val="20"/>
        </w:rPr>
        <w:t xml:space="preserve">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 xml:space="preserve">aru pro účely dle čl. II </w:t>
      </w:r>
      <w:proofErr w:type="gramStart"/>
      <w:r w:rsidR="0095625B">
        <w:rPr>
          <w:rFonts w:ascii="Arial" w:hAnsi="Arial" w:cs="Arial"/>
          <w:sz w:val="20"/>
          <w:szCs w:val="20"/>
        </w:rPr>
        <w:t>této</w:t>
      </w:r>
      <w:proofErr w:type="gramEnd"/>
      <w:r w:rsidR="0095625B">
        <w:rPr>
          <w:rFonts w:ascii="Arial" w:hAnsi="Arial" w:cs="Arial"/>
          <w:sz w:val="20"/>
          <w:szCs w:val="20"/>
        </w:rPr>
        <w:t xml:space="preserve"> smlouvy.</w:t>
      </w:r>
    </w:p>
    <w:p w:rsidR="00241284" w:rsidRDefault="0095625B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:rsidR="00871EDC" w:rsidRDefault="00871EDC" w:rsidP="00871EDC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871EDC" w:rsidRPr="00D122CC" w:rsidRDefault="00871EDC" w:rsidP="00C7457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122CC">
        <w:rPr>
          <w:rFonts w:ascii="Arial" w:hAnsi="Arial" w:cs="Arial"/>
          <w:sz w:val="20"/>
          <w:szCs w:val="20"/>
        </w:rPr>
        <w:t>této</w:t>
      </w:r>
      <w:proofErr w:type="gramEnd"/>
      <w:r w:rsidRPr="00D122CC">
        <w:rPr>
          <w:rFonts w:ascii="Arial" w:hAnsi="Arial" w:cs="Arial"/>
          <w:sz w:val="20"/>
          <w:szCs w:val="20"/>
        </w:rPr>
        <w:t xml:space="preserve">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:rsidR="00871EDC" w:rsidRDefault="00871EDC" w:rsidP="00AC0A68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CB72E6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:rsidR="00203AF6" w:rsidRDefault="00203AF6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:rsidR="0053207F" w:rsidRPr="0053207F" w:rsidRDefault="001D72E0" w:rsidP="0053207F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>Etický kodex je dostupný na webových stránkách http://www.mero.cz/o-spolecnosti/eticky-kodex/.</w:t>
      </w:r>
    </w:p>
    <w:p w:rsidR="001D72E0" w:rsidRP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:rsid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lastRenderedPageBreak/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:rsidR="00AA7755" w:rsidRPr="002C4709" w:rsidRDefault="00AA7755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:rsidR="001D72E0" w:rsidRPr="002C4709" w:rsidRDefault="00273A4F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6"/>
        <w:gridCol w:w="254"/>
        <w:gridCol w:w="3998"/>
      </w:tblGrid>
      <w:tr w:rsidR="003E4A0E" w:rsidTr="00AA7755">
        <w:tc>
          <w:tcPr>
            <w:tcW w:w="5036" w:type="dxa"/>
          </w:tcPr>
          <w:p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</w:tcPr>
          <w:p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:rsidTr="00AA7755">
        <w:tc>
          <w:tcPr>
            <w:tcW w:w="5036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817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_______________ 201</w:t>
            </w:r>
            <w:r w:rsidR="008177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DF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D227C">
              <w:rPr>
                <w:rFonts w:ascii="Arial" w:hAnsi="Arial" w:cs="Arial"/>
                <w:sz w:val="20"/>
                <w:szCs w:val="20"/>
              </w:rPr>
              <w:t> </w:t>
            </w:r>
            <w:r w:rsidR="00DF1323">
              <w:rPr>
                <w:rFonts w:ascii="Arial" w:hAnsi="Arial" w:cs="Arial"/>
                <w:sz w:val="20"/>
                <w:szCs w:val="20"/>
              </w:rPr>
              <w:t>Humpolci</w:t>
            </w:r>
            <w:r w:rsidR="007A6C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  <w:r w:rsidR="000057E4">
              <w:rPr>
                <w:rFonts w:ascii="Arial" w:hAnsi="Arial" w:cs="Arial"/>
                <w:sz w:val="20"/>
                <w:szCs w:val="20"/>
              </w:rPr>
              <w:t>_</w:t>
            </w:r>
            <w:r w:rsidR="00DF1323">
              <w:rPr>
                <w:rFonts w:ascii="Arial" w:hAnsi="Arial" w:cs="Arial"/>
                <w:sz w:val="20"/>
                <w:szCs w:val="20"/>
              </w:rPr>
              <w:t>___</w:t>
            </w:r>
            <w:r w:rsidR="000057E4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 </w:t>
            </w:r>
            <w:r w:rsidR="0081775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3E4A0E" w:rsidTr="00AA7755">
        <w:tc>
          <w:tcPr>
            <w:tcW w:w="5036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BD1083">
              <w:rPr>
                <w:rFonts w:ascii="Arial" w:hAnsi="Arial" w:cs="Arial"/>
                <w:sz w:val="20"/>
                <w:szCs w:val="20"/>
              </w:rPr>
              <w:t>Jaroslav Kocián</w:t>
            </w:r>
            <w:r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Otakar Krejsa, místopředseda představenstva</w:t>
            </w:r>
          </w:p>
        </w:tc>
        <w:tc>
          <w:tcPr>
            <w:tcW w:w="254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3E4A0E" w:rsidRDefault="000D3A5D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Matoušek, ředitel </w:t>
            </w:r>
          </w:p>
          <w:p w:rsidR="008E4434" w:rsidRDefault="008E4434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4A0E" w:rsidRDefault="003E4A0E" w:rsidP="006D6329">
      <w:pPr>
        <w:spacing w:after="0"/>
        <w:jc w:val="both"/>
      </w:pPr>
    </w:p>
    <w:sectPr w:rsidR="003E4A0E" w:rsidSect="00903FEF">
      <w:headerReference w:type="default" r:id="rId9"/>
      <w:footerReference w:type="default" r:id="rId10"/>
      <w:pgSz w:w="11906" w:h="16838"/>
      <w:pgMar w:top="993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8D" w:rsidRDefault="00872C8D" w:rsidP="00903FEF">
      <w:pPr>
        <w:spacing w:after="0" w:line="240" w:lineRule="auto"/>
      </w:pPr>
      <w:r>
        <w:separator/>
      </w:r>
    </w:p>
  </w:endnote>
  <w:endnote w:type="continuationSeparator" w:id="0">
    <w:p w:rsidR="00872C8D" w:rsidRDefault="00872C8D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536337"/>
      <w:docPartObj>
        <w:docPartGallery w:val="Page Numbers (Bottom of Page)"/>
        <w:docPartUnique/>
      </w:docPartObj>
    </w:sdtPr>
    <w:sdtEndPr/>
    <w:sdtContent>
      <w:p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8E">
          <w:rPr>
            <w:noProof/>
          </w:rPr>
          <w:t>3</w:t>
        </w:r>
        <w:r>
          <w:fldChar w:fldCharType="end"/>
        </w:r>
      </w:p>
    </w:sdtContent>
  </w:sdt>
  <w:p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8D" w:rsidRDefault="00872C8D" w:rsidP="00903FEF">
      <w:pPr>
        <w:spacing w:after="0" w:line="240" w:lineRule="auto"/>
      </w:pPr>
      <w:r>
        <w:separator/>
      </w:r>
    </w:p>
  </w:footnote>
  <w:footnote w:type="continuationSeparator" w:id="0">
    <w:p w:rsidR="00872C8D" w:rsidRDefault="00872C8D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03" w:rsidRPr="00F23BC4" w:rsidRDefault="00F23BC4" w:rsidP="00F23BC4">
    <w:pPr>
      <w:pStyle w:val="Zhlav"/>
      <w:jc w:val="right"/>
    </w:pPr>
    <w:r w:rsidRPr="00F23BC4">
      <w:rPr>
        <w:b/>
        <w:sz w:val="24"/>
        <w:szCs w:val="24"/>
      </w:rPr>
      <w:t>00700/PR_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5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7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7"/>
  </w:num>
  <w:num w:numId="5">
    <w:abstractNumId w:val="12"/>
  </w:num>
  <w:num w:numId="6">
    <w:abstractNumId w:val="19"/>
  </w:num>
  <w:num w:numId="7">
    <w:abstractNumId w:val="9"/>
  </w:num>
  <w:num w:numId="8">
    <w:abstractNumId w:val="0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6"/>
  </w:num>
  <w:num w:numId="14">
    <w:abstractNumId w:val="3"/>
  </w:num>
  <w:num w:numId="15">
    <w:abstractNumId w:val="17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E"/>
    <w:rsid w:val="000057E4"/>
    <w:rsid w:val="00027A8E"/>
    <w:rsid w:val="000D3A5D"/>
    <w:rsid w:val="000D3E3B"/>
    <w:rsid w:val="00140985"/>
    <w:rsid w:val="001955A5"/>
    <w:rsid w:val="001D72E0"/>
    <w:rsid w:val="00203AF6"/>
    <w:rsid w:val="00222EC6"/>
    <w:rsid w:val="002250BB"/>
    <w:rsid w:val="00241284"/>
    <w:rsid w:val="00247480"/>
    <w:rsid w:val="00273A4F"/>
    <w:rsid w:val="00291003"/>
    <w:rsid w:val="00297DB2"/>
    <w:rsid w:val="002C4709"/>
    <w:rsid w:val="002D144D"/>
    <w:rsid w:val="003E4A0E"/>
    <w:rsid w:val="00481944"/>
    <w:rsid w:val="004E0D22"/>
    <w:rsid w:val="0053207F"/>
    <w:rsid w:val="005740E4"/>
    <w:rsid w:val="005D0A6B"/>
    <w:rsid w:val="00636A06"/>
    <w:rsid w:val="006B51AD"/>
    <w:rsid w:val="006D6329"/>
    <w:rsid w:val="00706122"/>
    <w:rsid w:val="007333C3"/>
    <w:rsid w:val="00772CE2"/>
    <w:rsid w:val="00795710"/>
    <w:rsid w:val="007A6C6D"/>
    <w:rsid w:val="00817757"/>
    <w:rsid w:val="008553D8"/>
    <w:rsid w:val="00871EDC"/>
    <w:rsid w:val="00872C8D"/>
    <w:rsid w:val="008B4BF1"/>
    <w:rsid w:val="008E4434"/>
    <w:rsid w:val="009030A1"/>
    <w:rsid w:val="00903FEF"/>
    <w:rsid w:val="0095625B"/>
    <w:rsid w:val="00A559DD"/>
    <w:rsid w:val="00A603AD"/>
    <w:rsid w:val="00AA7755"/>
    <w:rsid w:val="00AC0A68"/>
    <w:rsid w:val="00B1015C"/>
    <w:rsid w:val="00B201EF"/>
    <w:rsid w:val="00B635E0"/>
    <w:rsid w:val="00B96FA7"/>
    <w:rsid w:val="00BB4043"/>
    <w:rsid w:val="00BB6191"/>
    <w:rsid w:val="00BC48B1"/>
    <w:rsid w:val="00BD1083"/>
    <w:rsid w:val="00BF372B"/>
    <w:rsid w:val="00C74577"/>
    <w:rsid w:val="00C954B8"/>
    <w:rsid w:val="00CB5C1B"/>
    <w:rsid w:val="00CB72E6"/>
    <w:rsid w:val="00D15730"/>
    <w:rsid w:val="00D26E96"/>
    <w:rsid w:val="00D46104"/>
    <w:rsid w:val="00D505E3"/>
    <w:rsid w:val="00D56632"/>
    <w:rsid w:val="00D612DA"/>
    <w:rsid w:val="00DF1323"/>
    <w:rsid w:val="00E37B6E"/>
    <w:rsid w:val="00ED610A"/>
    <w:rsid w:val="00EE358D"/>
    <w:rsid w:val="00EF3FF8"/>
    <w:rsid w:val="00F23BC4"/>
    <w:rsid w:val="00FB23AF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0C74-1F4B-4098-8669-B3C28B20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Kateřina Nývltová</cp:lastModifiedBy>
  <cp:revision>2</cp:revision>
  <cp:lastPrinted>2019-11-14T09:34:00Z</cp:lastPrinted>
  <dcterms:created xsi:type="dcterms:W3CDTF">2019-11-25T11:57:00Z</dcterms:created>
  <dcterms:modified xsi:type="dcterms:W3CDTF">2019-11-25T11:57:00Z</dcterms:modified>
</cp:coreProperties>
</file>