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D0F46" w14:textId="77777777" w:rsidR="00BC3B36" w:rsidRPr="00AB63D5" w:rsidRDefault="00A73B1A" w:rsidP="00AB63D5">
      <w:pPr>
        <w:pStyle w:val="Hlavnnadpis"/>
        <w:rPr>
          <w:rStyle w:val="HlavnnadpisChar"/>
          <w:b/>
        </w:rPr>
      </w:pPr>
      <w:r w:rsidRPr="00AB63D5">
        <w:rPr>
          <w:rStyle w:val="HlavnnadpisChar"/>
          <w:b/>
        </w:rPr>
        <w:t>Servisní smlouva (SLA)</w:t>
      </w:r>
    </w:p>
    <w:p w14:paraId="01CFABC7" w14:textId="77777777" w:rsidR="00BC3B36" w:rsidRDefault="00A73B1A" w:rsidP="00AB63D5">
      <w:pPr>
        <w:spacing w:after="360"/>
      </w:pPr>
      <w:r w:rsidRPr="00BC3B36">
        <w:t>TATO SERVISNÍ SMLOUVA (DÁLE JEN „</w:t>
      </w:r>
      <w:r w:rsidRPr="00654BD3">
        <w:rPr>
          <w:b/>
        </w:rPr>
        <w:t>SMLOUVA</w:t>
      </w:r>
      <w:r w:rsidRPr="00BC3B36">
        <w:t>“) BYLA UZAVŘENA NÍŽE VEDENÉHO DNE, MĚSÍCE A ROKU MEZI TĚMITO SMLUVNÍMI STRANAMI</w:t>
      </w:r>
      <w:r w:rsidR="00C721CF">
        <w:t>.</w:t>
      </w:r>
    </w:p>
    <w:p w14:paraId="16FD9F60" w14:textId="77777777" w:rsidR="00BC3B36" w:rsidRDefault="00A73B1A" w:rsidP="00BC3B36">
      <w:pPr>
        <w:spacing w:after="360"/>
      </w:pPr>
      <w:r w:rsidRPr="00BC3B36">
        <w:t>Poskytovatelem je</w:t>
      </w:r>
    </w:p>
    <w:p w14:paraId="1AD7F48E" w14:textId="58E1168C" w:rsidR="00491AE2" w:rsidRPr="001D1316" w:rsidRDefault="00491AE2" w:rsidP="00491AE2">
      <w:pPr>
        <w:tabs>
          <w:tab w:val="left" w:pos="1985"/>
        </w:tabs>
        <w:spacing w:after="360"/>
        <w:rPr>
          <w:b/>
        </w:rPr>
      </w:pPr>
      <w:bookmarkStart w:id="0" w:name="_Hlk507668750"/>
      <w:bookmarkStart w:id="1" w:name="_Hlk507668823"/>
      <w:r w:rsidRPr="00BC3B36">
        <w:t>Společnost:</w:t>
      </w:r>
      <w:r>
        <w:tab/>
      </w:r>
      <w:r w:rsidRPr="00F92060">
        <w:rPr>
          <w:b/>
        </w:rPr>
        <w:t>TEAS spol. s</w:t>
      </w:r>
      <w:r w:rsidR="001D1316">
        <w:rPr>
          <w:b/>
        </w:rPr>
        <w:t xml:space="preserve"> </w:t>
      </w:r>
      <w:r w:rsidRPr="00F92060">
        <w:rPr>
          <w:b/>
        </w:rPr>
        <w:t>r. o.</w:t>
      </w:r>
      <w:r w:rsidR="001D1316">
        <w:rPr>
          <w:b/>
        </w:rPr>
        <w:br/>
      </w:r>
      <w:bookmarkStart w:id="2" w:name="_Hlk508003633"/>
      <w:r w:rsidR="001D1316">
        <w:t>Z</w:t>
      </w:r>
      <w:r w:rsidR="001D1316" w:rsidRPr="001D1316">
        <w:t>apsána</w:t>
      </w:r>
      <w:r w:rsidR="001D1316">
        <w:t>:</w:t>
      </w:r>
      <w:r w:rsidR="001D1316">
        <w:tab/>
      </w:r>
      <w:r w:rsidR="001D1316" w:rsidRPr="001D1316">
        <w:rPr>
          <w:b/>
        </w:rPr>
        <w:t>u Krajského soudu v Brně, oddíl C, vložka 11087</w:t>
      </w:r>
      <w:r>
        <w:br/>
      </w:r>
      <w:bookmarkEnd w:id="2"/>
      <w:r w:rsidRPr="00BC3B36">
        <w:t>IČO:</w:t>
      </w:r>
      <w:r>
        <w:tab/>
      </w:r>
      <w:r w:rsidRPr="00F92060">
        <w:rPr>
          <w:b/>
        </w:rPr>
        <w:t>48906565</w:t>
      </w:r>
      <w:r>
        <w:br/>
      </w:r>
      <w:r w:rsidRPr="00BC3B36">
        <w:t>Sídlo:</w:t>
      </w:r>
      <w:r>
        <w:tab/>
      </w:r>
      <w:r w:rsidRPr="00F92060">
        <w:rPr>
          <w:b/>
        </w:rPr>
        <w:t>tř. T. Bati 299, 763 02 Zlín</w:t>
      </w:r>
      <w:r>
        <w:br/>
      </w:r>
      <w:r w:rsidRPr="00BC3B36">
        <w:t>Za kterou jedná:</w:t>
      </w:r>
      <w:r>
        <w:tab/>
      </w:r>
      <w:r w:rsidRPr="00F92060">
        <w:rPr>
          <w:b/>
        </w:rPr>
        <w:t>Ing. Pavel Javora</w:t>
      </w:r>
      <w:r>
        <w:br/>
      </w:r>
      <w:proofErr w:type="gramStart"/>
      <w:r w:rsidRPr="00BC3B36">
        <w:t>E-mail</w:t>
      </w:r>
      <w:proofErr w:type="gramEnd"/>
      <w:r w:rsidRPr="00BC3B36">
        <w:t>:</w:t>
      </w:r>
      <w:r>
        <w:tab/>
      </w:r>
      <w:r w:rsidRPr="00F92060">
        <w:rPr>
          <w:b/>
        </w:rPr>
        <w:t>pavel.javora@teas.cz</w:t>
      </w:r>
    </w:p>
    <w:bookmarkEnd w:id="0"/>
    <w:p w14:paraId="69CDAB6C" w14:textId="77777777" w:rsidR="00BC3B36" w:rsidRDefault="00A73B1A" w:rsidP="00BC3B36">
      <w:pPr>
        <w:spacing w:after="360"/>
      </w:pPr>
      <w:r w:rsidRPr="00BC3B36">
        <w:t xml:space="preserve"> (dále jako „</w:t>
      </w:r>
      <w:r w:rsidRPr="00491AE2">
        <w:rPr>
          <w:b/>
        </w:rPr>
        <w:t>Poskytovatel</w:t>
      </w:r>
      <w:r w:rsidRPr="00BC3B36">
        <w:t>“)</w:t>
      </w:r>
    </w:p>
    <w:bookmarkEnd w:id="1"/>
    <w:p w14:paraId="12364526" w14:textId="77777777" w:rsidR="00BC3B36" w:rsidRDefault="00A73B1A" w:rsidP="00BC3B36">
      <w:pPr>
        <w:spacing w:after="360"/>
      </w:pPr>
      <w:r w:rsidRPr="00BC3B36">
        <w:t>a</w:t>
      </w:r>
      <w:r w:rsidR="00EF2A14">
        <w:t xml:space="preserve"> </w:t>
      </w:r>
      <w:r w:rsidRPr="00BC3B36">
        <w:t>Klientem je</w:t>
      </w:r>
    </w:p>
    <w:p w14:paraId="2D95EAD6" w14:textId="45A9C757" w:rsidR="0060543E" w:rsidRDefault="0060543E" w:rsidP="0060543E">
      <w:pPr>
        <w:pStyle w:val="Prosttext"/>
        <w:tabs>
          <w:tab w:val="left" w:pos="1985"/>
        </w:tabs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Společnost:</w:t>
      </w:r>
      <w:r>
        <w:rPr>
          <w:rFonts w:ascii="Georgia" w:hAnsi="Georgia"/>
          <w:sz w:val="22"/>
          <w:szCs w:val="22"/>
        </w:rPr>
        <w:tab/>
      </w:r>
      <w:r w:rsidR="00791884" w:rsidRPr="00372B30">
        <w:rPr>
          <w:rFonts w:ascii="Georgia" w:hAnsi="Georgia"/>
          <w:b/>
          <w:bCs/>
          <w:sz w:val="22"/>
          <w:szCs w:val="22"/>
        </w:rPr>
        <w:t>Střední průmyslová škola</w:t>
      </w:r>
      <w:r w:rsidR="00791884">
        <w:rPr>
          <w:rFonts w:ascii="Georgia" w:hAnsi="Georgia"/>
          <w:b/>
          <w:bCs/>
          <w:sz w:val="22"/>
          <w:szCs w:val="22"/>
        </w:rPr>
        <w:t>, Klatovy, nábřeží Kpt. Nálepky 362</w:t>
      </w:r>
      <w:bookmarkStart w:id="3" w:name="_GoBack"/>
      <w:bookmarkEnd w:id="3"/>
    </w:p>
    <w:p w14:paraId="6B5ED707" w14:textId="77777777" w:rsidR="0060543E" w:rsidRDefault="0060543E" w:rsidP="0060543E">
      <w:pPr>
        <w:pStyle w:val="Prosttext"/>
        <w:tabs>
          <w:tab w:val="left" w:pos="1985"/>
        </w:tabs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Zapsána: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>Příspěvková organizace</w:t>
      </w:r>
    </w:p>
    <w:p w14:paraId="306C05BB" w14:textId="77777777" w:rsidR="0060543E" w:rsidRDefault="0060543E" w:rsidP="0060543E">
      <w:pPr>
        <w:pStyle w:val="Prosttext"/>
        <w:tabs>
          <w:tab w:val="left" w:pos="1985"/>
        </w:tabs>
        <w:spacing w:line="360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IČO: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>61750883</w:t>
      </w:r>
    </w:p>
    <w:p w14:paraId="3B2496D9" w14:textId="77777777" w:rsidR="0060543E" w:rsidRDefault="0060543E" w:rsidP="0060543E">
      <w:pPr>
        <w:pStyle w:val="Prosttext"/>
        <w:tabs>
          <w:tab w:val="left" w:pos="1985"/>
        </w:tabs>
        <w:spacing w:line="360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Sídlo: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>nábř. Kpt. Nálepky 362, 339 01 Klatovy</w:t>
      </w:r>
    </w:p>
    <w:p w14:paraId="05BBDA5A" w14:textId="77777777" w:rsidR="0060543E" w:rsidRDefault="0060543E" w:rsidP="0060543E">
      <w:pPr>
        <w:pStyle w:val="Prosttext"/>
        <w:tabs>
          <w:tab w:val="left" w:pos="1985"/>
        </w:tabs>
        <w:spacing w:line="360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Za kterou jedná: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 xml:space="preserve">Ing. Jiří </w:t>
      </w:r>
      <w:proofErr w:type="spellStart"/>
      <w:r>
        <w:rPr>
          <w:rFonts w:ascii="Georgia" w:hAnsi="Georgia"/>
          <w:b/>
          <w:bCs/>
          <w:sz w:val="22"/>
          <w:szCs w:val="22"/>
        </w:rPr>
        <w:t>Dio</w:t>
      </w:r>
      <w:proofErr w:type="spellEnd"/>
    </w:p>
    <w:p w14:paraId="12B4682B" w14:textId="77777777" w:rsidR="0060543E" w:rsidRDefault="0060543E" w:rsidP="0060543E">
      <w:pPr>
        <w:pStyle w:val="Prosttext"/>
        <w:tabs>
          <w:tab w:val="left" w:pos="1985"/>
        </w:tabs>
        <w:spacing w:after="360" w:line="360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E-mail: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>reditel@spskt.cz</w:t>
      </w:r>
    </w:p>
    <w:p w14:paraId="5547D405" w14:textId="77777777" w:rsidR="00BC3B36" w:rsidRDefault="00491AE2" w:rsidP="00491AE2">
      <w:pPr>
        <w:spacing w:after="600"/>
      </w:pPr>
      <w:r w:rsidRPr="00BC3B36">
        <w:t xml:space="preserve"> </w:t>
      </w:r>
      <w:r w:rsidR="00A73B1A" w:rsidRPr="00BC3B36">
        <w:t>(dále jako „</w:t>
      </w:r>
      <w:r w:rsidR="00A73B1A" w:rsidRPr="00BC3B36">
        <w:rPr>
          <w:b/>
        </w:rPr>
        <w:t>Klient</w:t>
      </w:r>
      <w:r w:rsidR="00A73B1A" w:rsidRPr="00BC3B36">
        <w:t>“)</w:t>
      </w:r>
    </w:p>
    <w:p w14:paraId="3F9D9A36" w14:textId="77777777" w:rsidR="00BC3B36" w:rsidRDefault="00A73B1A" w:rsidP="00BC3B36">
      <w:pPr>
        <w:spacing w:after="360"/>
      </w:pPr>
      <w:r w:rsidRPr="00BC3B36">
        <w:t>(Poskytovatel a Klient dále též společně jako „</w:t>
      </w:r>
      <w:r w:rsidRPr="00BC3B36">
        <w:rPr>
          <w:b/>
        </w:rPr>
        <w:t>Smluvní strany</w:t>
      </w:r>
      <w:r w:rsidRPr="00BC3B36">
        <w:t>“ a každý jednotlivě jako „</w:t>
      </w:r>
      <w:r w:rsidRPr="00BC3B36">
        <w:rPr>
          <w:b/>
        </w:rPr>
        <w:t>Smluvní strana</w:t>
      </w:r>
      <w:r w:rsidRPr="00BC3B36">
        <w:t>“)</w:t>
      </w:r>
    </w:p>
    <w:p w14:paraId="1C31CDA8" w14:textId="77777777" w:rsidR="001C253F" w:rsidRDefault="00EF2A14" w:rsidP="001C253F">
      <w:pPr>
        <w:spacing w:after="360"/>
        <w:rPr>
          <w:b/>
        </w:rPr>
      </w:pPr>
      <w:r>
        <w:br w:type="page"/>
      </w:r>
      <w:r w:rsidR="001C253F">
        <w:rPr>
          <w:b/>
        </w:rPr>
        <w:lastRenderedPageBreak/>
        <w:t>PREAMBULE</w:t>
      </w:r>
      <w:r w:rsidR="001C253F" w:rsidRPr="00BC3B36">
        <w:rPr>
          <w:b/>
        </w:rPr>
        <w:t>:</w:t>
      </w:r>
    </w:p>
    <w:p w14:paraId="3DAB56CF" w14:textId="77B0509F" w:rsidR="001C253F" w:rsidRDefault="001C253F">
      <w:pPr>
        <w:spacing w:after="200" w:line="252" w:lineRule="auto"/>
      </w:pPr>
      <w:r>
        <w:t>(A)</w:t>
      </w:r>
      <w:r>
        <w:tab/>
        <w:t>Klient je českou společností, zaměřující se na prodej a servis motorových vozidel, náhradních dílů a příslušenství koncovým zákazníkům. V rámci své činnosti si Klient objednal u Poskytovatele instalaci, implementaci, integraci informačního systému C</w:t>
      </w:r>
      <w:r w:rsidR="00DA3B23">
        <w:t>ARIS</w:t>
      </w:r>
      <w:r>
        <w:t>.</w:t>
      </w:r>
      <w:r w:rsidR="00055AD8">
        <w:t xml:space="preserve"> Na užívání systému má uzavřenu platnou Licenční smlouvu.</w:t>
      </w:r>
    </w:p>
    <w:p w14:paraId="712E268D" w14:textId="544C5874" w:rsidR="00A26154" w:rsidRDefault="001C253F">
      <w:pPr>
        <w:spacing w:after="200" w:line="252" w:lineRule="auto"/>
      </w:pPr>
      <w:r>
        <w:t>(B)</w:t>
      </w:r>
      <w:r>
        <w:tab/>
        <w:t>Poskytovatel je českou společností, zaměřující se na tvorbu, implementaci a realizaci informačních systémů pro své zákazníky, kterými jsou zejména subjekty působící v automobilovém průmyslu. Poskytovatel vytvořil nebo implementoval u Klienta ICT systémy s obchodním názve</w:t>
      </w:r>
      <w:r w:rsidR="00170AB0">
        <w:t>m</w:t>
      </w:r>
      <w:r>
        <w:t xml:space="preserve"> C</w:t>
      </w:r>
      <w:r w:rsidR="00DA3B23">
        <w:t>ARIS</w:t>
      </w:r>
      <w:r>
        <w:t xml:space="preserve">. Jedná se o informační systém, tvořený jednotlivými </w:t>
      </w:r>
      <w:r w:rsidR="00DA3B23">
        <w:t>s</w:t>
      </w:r>
      <w:r>
        <w:t>tandardizovanými moduly</w:t>
      </w:r>
      <w:r w:rsidR="00A26154">
        <w:t xml:space="preserve"> a </w:t>
      </w:r>
      <w:proofErr w:type="spellStart"/>
      <w:r w:rsidR="00DA3B23">
        <w:t>c</w:t>
      </w:r>
      <w:r w:rsidR="00A26154">
        <w:t>ustomizovanými</w:t>
      </w:r>
      <w:proofErr w:type="spellEnd"/>
      <w:r w:rsidR="00A26154">
        <w:t xml:space="preserve"> n</w:t>
      </w:r>
      <w:r w:rsidR="00DA3B23">
        <w:t>a</w:t>
      </w:r>
      <w:r w:rsidR="00A26154">
        <w:t>dstavbami</w:t>
      </w:r>
      <w:r w:rsidR="00A00216">
        <w:t xml:space="preserve"> či moduly</w:t>
      </w:r>
      <w:r w:rsidR="00A26154">
        <w:t xml:space="preserve">, které přizpůsobují funkčnost systému integračním požadavkům Klienta, </w:t>
      </w:r>
      <w:r w:rsidR="00DA3B23">
        <w:t>z</w:t>
      </w:r>
      <w:r w:rsidR="00A26154">
        <w:t>načkovými n</w:t>
      </w:r>
      <w:r w:rsidR="00DA3B23">
        <w:t>a</w:t>
      </w:r>
      <w:r w:rsidR="00A26154">
        <w:t>dstavbami, které přizpůsobují funkčnost systému požadavkům auto</w:t>
      </w:r>
      <w:r w:rsidR="00DA2152">
        <w:t>rizované</w:t>
      </w:r>
      <w:r w:rsidR="00A26154">
        <w:t xml:space="preserve"> značky, jíž je Klient dealerem, či obchodním zástupcem</w:t>
      </w:r>
      <w:r w:rsidR="00654BD3">
        <w:t xml:space="preserve"> </w:t>
      </w:r>
      <w:r w:rsidR="00A00216">
        <w:t xml:space="preserve">(dále jen </w:t>
      </w:r>
      <w:r w:rsidR="00A00216" w:rsidRPr="00A00216">
        <w:rPr>
          <w:b/>
        </w:rPr>
        <w:t>Aplikace</w:t>
      </w:r>
      <w:r w:rsidR="00A00216">
        <w:t>)</w:t>
      </w:r>
      <w:r w:rsidR="00A26154">
        <w:t>.</w:t>
      </w:r>
    </w:p>
    <w:p w14:paraId="1289E9E2" w14:textId="77777777" w:rsidR="00A26154" w:rsidRDefault="00A26154">
      <w:pPr>
        <w:spacing w:after="200" w:line="252" w:lineRule="auto"/>
      </w:pPr>
      <w:r>
        <w:t>(C)</w:t>
      </w:r>
      <w:r>
        <w:tab/>
        <w:t>Klient má zájem o zajištění poskytování služeb provozu, údržby a rozvoje ICT systémů za podmínek uvedených v této smlouvě. Poskytovatel je seznámen s účelem a specifikacemi ICT systémů a má zájem poskytovat Klientovi služby provozu, údržby a rozvoje za podmínek stanovených v této smlouvě.</w:t>
      </w:r>
    </w:p>
    <w:p w14:paraId="4FDE43EA" w14:textId="77777777" w:rsidR="001C253F" w:rsidRDefault="00A26154">
      <w:pPr>
        <w:spacing w:after="200" w:line="252" w:lineRule="auto"/>
      </w:pPr>
      <w:r>
        <w:t xml:space="preserve"> </w:t>
      </w:r>
      <w:r w:rsidR="001C253F">
        <w:br w:type="page"/>
      </w:r>
    </w:p>
    <w:p w14:paraId="1CE0466C" w14:textId="77777777" w:rsidR="00EF2A14" w:rsidRDefault="00A73B1A" w:rsidP="00BC3B36">
      <w:pPr>
        <w:spacing w:after="360"/>
        <w:rPr>
          <w:b/>
        </w:rPr>
      </w:pPr>
      <w:r w:rsidRPr="00BC3B36">
        <w:rPr>
          <w:b/>
        </w:rPr>
        <w:lastRenderedPageBreak/>
        <w:t>SMLUVNÍ STRANY UJEDNÁVAJÍ NÁSLEDUJÍCÍ:</w:t>
      </w:r>
    </w:p>
    <w:p w14:paraId="62FA4B9D" w14:textId="77777777" w:rsidR="00BC3B36" w:rsidRDefault="00BC3B36" w:rsidP="00BC3B36">
      <w:pPr>
        <w:pStyle w:val="Nadpis1"/>
      </w:pPr>
      <w:r>
        <w:t>Předmět Smlouvy</w:t>
      </w:r>
    </w:p>
    <w:p w14:paraId="3733B096" w14:textId="32EAD9F8" w:rsidR="00BC3B36" w:rsidRDefault="00A73B1A" w:rsidP="00BC3B36">
      <w:pPr>
        <w:pStyle w:val="Nadpis2"/>
      </w:pPr>
      <w:r w:rsidRPr="00BC3B36">
        <w:t xml:space="preserve">Tato Smlouva představuje smlouvu o úrovni poskytovaných služeb (SLA) ve smyslu § 1746 odst. 2 </w:t>
      </w:r>
      <w:r w:rsidR="00AA19D9">
        <w:t xml:space="preserve">zákona č. 89/2012 Sb., </w:t>
      </w:r>
      <w:r w:rsidRPr="00BC3B36">
        <w:t>občanského zákoníku</w:t>
      </w:r>
      <w:r w:rsidR="00AA19D9">
        <w:t xml:space="preserve">, ve znění pozdějších předpisů. </w:t>
      </w:r>
      <w:r w:rsidRPr="00BC3B36">
        <w:t>Jejím předmětem je závazek Poskytovatele zajistit pro Klienta garanci kvalitativních parametrů služeb poskytovaných Poskytovatelem Klientovi</w:t>
      </w:r>
      <w:r w:rsidR="00DD6236">
        <w:t xml:space="preserve"> </w:t>
      </w:r>
      <w:r w:rsidRPr="00BC3B36">
        <w:t>(dále jen „</w:t>
      </w:r>
      <w:r w:rsidRPr="00BC3B36">
        <w:rPr>
          <w:b/>
        </w:rPr>
        <w:t>Garance</w:t>
      </w:r>
      <w:r w:rsidRPr="00BC3B36">
        <w:t>“).</w:t>
      </w:r>
    </w:p>
    <w:p w14:paraId="550A2935" w14:textId="77777777" w:rsidR="00BC3B36" w:rsidRDefault="00A73B1A" w:rsidP="00BC3B36">
      <w:pPr>
        <w:pStyle w:val="Nadpis2"/>
      </w:pPr>
      <w:r w:rsidRPr="00BC3B36">
        <w:t>Poskytovatel se zavazuje poskytovat pro Klienta následující služby:</w:t>
      </w:r>
    </w:p>
    <w:p w14:paraId="01DBB15F" w14:textId="77777777" w:rsidR="005A7FC3" w:rsidRDefault="005A7FC3" w:rsidP="001D1316">
      <w:pPr>
        <w:pStyle w:val="Nadpis3"/>
      </w:pPr>
      <w:r>
        <w:t xml:space="preserve">Provozování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aplikace pro nahlášení Incidentů a sledování Řešení.</w:t>
      </w:r>
    </w:p>
    <w:p w14:paraId="64303831" w14:textId="77777777" w:rsidR="00BC3B36" w:rsidRDefault="001D1316" w:rsidP="001D1316">
      <w:pPr>
        <w:pStyle w:val="Nadpis3"/>
      </w:pPr>
      <w:r>
        <w:t>P</w:t>
      </w:r>
      <w:r w:rsidRPr="001D1316">
        <w:t>oradenskou službu dle požadavků a potřeb uživatele (HOT-LINE)</w:t>
      </w:r>
      <w:r w:rsidR="005A7FC3">
        <w:t>.</w:t>
      </w:r>
    </w:p>
    <w:p w14:paraId="28E88FDD" w14:textId="77777777" w:rsidR="001D1316" w:rsidRDefault="005A7FC3" w:rsidP="001D1316">
      <w:pPr>
        <w:pStyle w:val="Nadpis3"/>
      </w:pPr>
      <w:bookmarkStart w:id="4" w:name="_Ref508012524"/>
      <w:r>
        <w:t xml:space="preserve">Udržování </w:t>
      </w:r>
      <w:proofErr w:type="spellStart"/>
      <w:r w:rsidR="001C253F">
        <w:t>necustomizovaných</w:t>
      </w:r>
      <w:proofErr w:type="spellEnd"/>
      <w:r w:rsidR="001C253F">
        <w:t xml:space="preserve"> </w:t>
      </w:r>
      <w:r w:rsidR="007D5AF4">
        <w:t>Aplikací</w:t>
      </w:r>
      <w:r>
        <w:t xml:space="preserve"> v souladu s obecně závaznými právními předpisy.</w:t>
      </w:r>
      <w:bookmarkEnd w:id="4"/>
    </w:p>
    <w:p w14:paraId="7CE3D684" w14:textId="77777777" w:rsidR="005A7FC3" w:rsidRDefault="005A7FC3" w:rsidP="005A7FC3">
      <w:pPr>
        <w:pStyle w:val="Nadpis3"/>
      </w:pPr>
      <w:r>
        <w:t>D</w:t>
      </w:r>
      <w:r w:rsidRPr="005A7FC3">
        <w:t xml:space="preserve">alší vývoj </w:t>
      </w:r>
      <w:proofErr w:type="spellStart"/>
      <w:r>
        <w:t>necustomizovaných</w:t>
      </w:r>
      <w:proofErr w:type="spellEnd"/>
      <w:r>
        <w:t xml:space="preserve"> </w:t>
      </w:r>
      <w:r w:rsidR="007D5AF4">
        <w:t>A</w:t>
      </w:r>
      <w:r>
        <w:t xml:space="preserve">plikací </w:t>
      </w:r>
      <w:r w:rsidRPr="005A7FC3">
        <w:t>formou bezplatného update</w:t>
      </w:r>
      <w:r>
        <w:t>.</w:t>
      </w:r>
    </w:p>
    <w:p w14:paraId="4BA97FDC" w14:textId="77777777" w:rsidR="005A7FC3" w:rsidRDefault="005A7FC3" w:rsidP="005A7FC3">
      <w:pPr>
        <w:pStyle w:val="Nadpis3"/>
      </w:pPr>
      <w:r>
        <w:t>Ř</w:t>
      </w:r>
      <w:r w:rsidRPr="005A7FC3">
        <w:t>ešení havarijních stavů vzniklých při provozu SW s využitím vzdáleného přístupu</w:t>
      </w:r>
      <w:r>
        <w:t>.</w:t>
      </w:r>
    </w:p>
    <w:p w14:paraId="409B0924" w14:textId="77777777" w:rsidR="00BC3B36" w:rsidRDefault="00A73B1A" w:rsidP="00BC3B36">
      <w:pPr>
        <w:pStyle w:val="Nadpis2"/>
      </w:pPr>
      <w:r w:rsidRPr="00BC3B36">
        <w:t>(dále společně jako „</w:t>
      </w:r>
      <w:r w:rsidRPr="00BC3B36">
        <w:rPr>
          <w:b/>
        </w:rPr>
        <w:t>Technická podpora</w:t>
      </w:r>
      <w:r w:rsidRPr="00BC3B36">
        <w:t>“).</w:t>
      </w:r>
    </w:p>
    <w:p w14:paraId="16BA8B57" w14:textId="77777777" w:rsidR="00BC3B36" w:rsidRDefault="00A73B1A" w:rsidP="00543325">
      <w:pPr>
        <w:pStyle w:val="Nadpis3"/>
      </w:pPr>
      <w:r w:rsidRPr="00BC3B36">
        <w:t>Klient se zavazuje platit Poskytovateli za poskytování Technické podpory odměnu za podmínek uvedených v této Smlouvě.</w:t>
      </w:r>
    </w:p>
    <w:p w14:paraId="0D80333E" w14:textId="77777777" w:rsidR="00BC3B36" w:rsidRPr="00BC3B36" w:rsidRDefault="00A73B1A" w:rsidP="00BC3B36">
      <w:pPr>
        <w:pStyle w:val="Nadpis1"/>
      </w:pPr>
      <w:r w:rsidRPr="00BC3B36">
        <w:t>Hlášení požadavků</w:t>
      </w:r>
    </w:p>
    <w:p w14:paraId="0A3A9291" w14:textId="77777777" w:rsidR="00BC3B36" w:rsidRDefault="00A73B1A" w:rsidP="00BC3B36">
      <w:pPr>
        <w:pStyle w:val="Nadpis2"/>
      </w:pPr>
      <w:r w:rsidRPr="00BC3B36">
        <w:t>Klient má povinnost hlásit Poskytovateli požadavky na poskytnutí Technické podpory jedním z následujících způsobů:</w:t>
      </w:r>
    </w:p>
    <w:p w14:paraId="04156B45" w14:textId="77777777" w:rsidR="005A7FC3" w:rsidRDefault="005A7FC3" w:rsidP="00BC3B36">
      <w:pPr>
        <w:pStyle w:val="Nadpis3"/>
        <w:rPr>
          <w:rStyle w:val="Nadpis3Char0"/>
        </w:rPr>
      </w:pPr>
      <w:r>
        <w:rPr>
          <w:rStyle w:val="Nadpis3Char0"/>
        </w:rPr>
        <w:t xml:space="preserve">zápisem požadavku do </w:t>
      </w:r>
      <w:proofErr w:type="spellStart"/>
      <w:r>
        <w:rPr>
          <w:rStyle w:val="Nadpis3Char0"/>
        </w:rPr>
        <w:t>Service</w:t>
      </w:r>
      <w:proofErr w:type="spellEnd"/>
      <w:r>
        <w:rPr>
          <w:rStyle w:val="Nadpis3Char0"/>
        </w:rPr>
        <w:t xml:space="preserve"> </w:t>
      </w:r>
      <w:proofErr w:type="spellStart"/>
      <w:r>
        <w:rPr>
          <w:rStyle w:val="Nadpis3Char0"/>
        </w:rPr>
        <w:t>Desk</w:t>
      </w:r>
      <w:proofErr w:type="spellEnd"/>
      <w:r>
        <w:rPr>
          <w:rStyle w:val="Nadpis3Char0"/>
        </w:rPr>
        <w:t xml:space="preserve"> systému</w:t>
      </w:r>
      <w:r w:rsidR="007D5AF4">
        <w:rPr>
          <w:rStyle w:val="Nadpis3Char0"/>
        </w:rPr>
        <w:t>,</w:t>
      </w:r>
    </w:p>
    <w:p w14:paraId="44C0D815" w14:textId="77777777" w:rsidR="00BC3B36" w:rsidRDefault="00A73B1A" w:rsidP="005A7FC3">
      <w:pPr>
        <w:pStyle w:val="Nadpis3"/>
      </w:pPr>
      <w:r w:rsidRPr="00BC3B36">
        <w:t>telefonicky na telefonní čísl</w:t>
      </w:r>
      <w:r w:rsidR="005A7FC3">
        <w:t xml:space="preserve">a </w:t>
      </w:r>
      <w:r w:rsidR="005A7FC3" w:rsidRPr="005A7FC3">
        <w:t>608 727 906, 577</w:t>
      </w:r>
      <w:r w:rsidR="007D5AF4">
        <w:t xml:space="preserve"> </w:t>
      </w:r>
      <w:r w:rsidR="005A7FC3" w:rsidRPr="005A7FC3">
        <w:t>601</w:t>
      </w:r>
      <w:r w:rsidR="007D5AF4">
        <w:t> </w:t>
      </w:r>
      <w:r w:rsidR="005A7FC3" w:rsidRPr="005A7FC3">
        <w:t>503</w:t>
      </w:r>
      <w:r w:rsidR="007D5AF4">
        <w:t>,</w:t>
      </w:r>
    </w:p>
    <w:p w14:paraId="352E894D" w14:textId="663DD5C9" w:rsidR="00484C8A" w:rsidRDefault="00484C8A" w:rsidP="00484C8A">
      <w:pPr>
        <w:pStyle w:val="Nadpis3"/>
      </w:pPr>
      <w:r w:rsidRPr="00BC3B36">
        <w:rPr>
          <w:rStyle w:val="Nadpis3Char0"/>
        </w:rPr>
        <w:t>prostřednictvím e-mailové zprávy na e-mailovou adresu</w:t>
      </w:r>
      <w:r>
        <w:rPr>
          <w:rStyle w:val="Nadpis3Char0"/>
        </w:rPr>
        <w:t xml:space="preserve"> </w:t>
      </w:r>
      <w:hyperlink r:id="rId11" w:history="1">
        <w:r w:rsidR="007A5FEF" w:rsidRPr="00DD3D19">
          <w:rPr>
            <w:rStyle w:val="Hypertextovodkaz"/>
          </w:rPr>
          <w:t>helpdesk@teas.cz</w:t>
        </w:r>
      </w:hyperlink>
    </w:p>
    <w:p w14:paraId="5205CBDA" w14:textId="1A4305A6" w:rsidR="00440966" w:rsidRDefault="00BD7B1F" w:rsidP="00440966">
      <w:pPr>
        <w:pStyle w:val="Nadpis2"/>
        <w:widowControl w:val="0"/>
        <w:numPr>
          <w:ilvl w:val="1"/>
          <w:numId w:val="4"/>
        </w:numPr>
      </w:pPr>
      <w:r>
        <w:t>P</w:t>
      </w:r>
      <w:r w:rsidRPr="00BD7B1F">
        <w:t xml:space="preserve">ožadavek musí obsahovat popis chyby a další údaje potřebné pro posouzení oprávněnosti </w:t>
      </w:r>
      <w:r w:rsidR="00AC56FF">
        <w:t>a důležitosti požadavku</w:t>
      </w:r>
      <w:r w:rsidR="00440966">
        <w:t>, obzv</w:t>
      </w:r>
      <w:r w:rsidR="00DD6236">
        <w:t>l</w:t>
      </w:r>
      <w:r w:rsidR="00440966">
        <w:t>áště:</w:t>
      </w:r>
    </w:p>
    <w:p w14:paraId="436A55C1" w14:textId="77777777" w:rsidR="00440966" w:rsidRDefault="00440966" w:rsidP="00440966">
      <w:pPr>
        <w:pStyle w:val="Nadpis2"/>
        <w:widowControl w:val="0"/>
        <w:numPr>
          <w:ilvl w:val="0"/>
          <w:numId w:val="5"/>
        </w:numPr>
        <w:spacing w:line="240" w:lineRule="auto"/>
      </w:pPr>
      <w:r>
        <w:t>Jméno Aplikace, jíž se požadavek týká.</w:t>
      </w:r>
    </w:p>
    <w:p w14:paraId="6168B051" w14:textId="77777777" w:rsidR="00440966" w:rsidRDefault="00440966" w:rsidP="00440966">
      <w:pPr>
        <w:pStyle w:val="Nadpis2"/>
        <w:widowControl w:val="0"/>
        <w:numPr>
          <w:ilvl w:val="0"/>
          <w:numId w:val="5"/>
        </w:numPr>
        <w:spacing w:line="240" w:lineRule="auto"/>
      </w:pPr>
      <w:r>
        <w:t>Zda je chyba ojedinělá či soustavná.</w:t>
      </w:r>
    </w:p>
    <w:p w14:paraId="08410027" w14:textId="77777777" w:rsidR="00440966" w:rsidRDefault="00440966" w:rsidP="00440966">
      <w:pPr>
        <w:pStyle w:val="Nadpis2"/>
        <w:widowControl w:val="0"/>
        <w:numPr>
          <w:ilvl w:val="0"/>
          <w:numId w:val="5"/>
        </w:numPr>
        <w:spacing w:line="240" w:lineRule="auto"/>
      </w:pPr>
      <w:r>
        <w:t xml:space="preserve">Po jaké konkrétní činnosti se chyba projevují v případě, že se nejedná o soustavnou chybu a tato je závislá na konkrétní </w:t>
      </w:r>
      <w:proofErr w:type="gramStart"/>
      <w:r>
        <w:t>činnosti  (</w:t>
      </w:r>
      <w:proofErr w:type="gramEnd"/>
      <w:r>
        <w:t xml:space="preserve">co nejpodrobnější popis, aby bylo možno postup zopakovat). </w:t>
      </w:r>
    </w:p>
    <w:p w14:paraId="40AF7AC9" w14:textId="77777777" w:rsidR="00440966" w:rsidRDefault="00440966" w:rsidP="00440966">
      <w:pPr>
        <w:pStyle w:val="Nadpis2"/>
        <w:widowControl w:val="0"/>
        <w:numPr>
          <w:ilvl w:val="0"/>
          <w:numId w:val="5"/>
        </w:numPr>
        <w:spacing w:line="240" w:lineRule="auto"/>
      </w:pPr>
      <w:r>
        <w:t>Zda se chyba projevuje na všech stanicích a všem uživatelům.</w:t>
      </w:r>
    </w:p>
    <w:p w14:paraId="270647B7" w14:textId="77777777" w:rsidR="00440966" w:rsidRDefault="00440966" w:rsidP="00440966">
      <w:pPr>
        <w:pStyle w:val="Nadpis2"/>
        <w:widowControl w:val="0"/>
        <w:numPr>
          <w:ilvl w:val="0"/>
          <w:numId w:val="5"/>
        </w:numPr>
        <w:spacing w:line="240" w:lineRule="auto"/>
      </w:pPr>
      <w:r>
        <w:lastRenderedPageBreak/>
        <w:t>Kdy se chyba projevila poprvé.</w:t>
      </w:r>
    </w:p>
    <w:p w14:paraId="36F9F107" w14:textId="77777777" w:rsidR="00440966" w:rsidRPr="001D74C7" w:rsidRDefault="00440966" w:rsidP="00440966">
      <w:pPr>
        <w:pStyle w:val="Nadpis2"/>
        <w:widowControl w:val="0"/>
        <w:numPr>
          <w:ilvl w:val="0"/>
          <w:numId w:val="5"/>
        </w:numPr>
        <w:spacing w:line="240" w:lineRule="auto"/>
      </w:pPr>
      <w:r>
        <w:t>Zda nepředcházela projevům chyby jakákoliv událost, která by mohla mít s chybou příčinnou souvislost (výpadek sítě, serveru, restart počítače, aktualizace systému, bouřka atd.).</w:t>
      </w:r>
    </w:p>
    <w:p w14:paraId="5556297C" w14:textId="77289924" w:rsidR="00BD7B1F" w:rsidRDefault="00440966" w:rsidP="00440966">
      <w:pPr>
        <w:pStyle w:val="Nadpis2"/>
        <w:widowControl w:val="0"/>
        <w:numPr>
          <w:ilvl w:val="0"/>
          <w:numId w:val="5"/>
        </w:numPr>
        <w:spacing w:line="240" w:lineRule="auto"/>
      </w:pPr>
      <w:r>
        <w:t>Případně další možné informace</w:t>
      </w:r>
      <w:r w:rsidRPr="00BD7B1F">
        <w:t xml:space="preserve"> potřebné pro posouzení </w:t>
      </w:r>
      <w:r>
        <w:t>důležitosti požadavku, které jsou obsluze či správci systému v danou chvíli známy</w:t>
      </w:r>
      <w:r w:rsidRPr="00BD7B1F">
        <w:t>.</w:t>
      </w:r>
    </w:p>
    <w:p w14:paraId="65826412" w14:textId="77777777" w:rsidR="00BC3B36" w:rsidRDefault="00A73B1A" w:rsidP="00BC3B36">
      <w:pPr>
        <w:pStyle w:val="Nadpis1"/>
      </w:pPr>
      <w:r w:rsidRPr="00BC3B36">
        <w:t>Důležitost požadavků</w:t>
      </w:r>
    </w:p>
    <w:p w14:paraId="5645E134" w14:textId="77777777" w:rsidR="00BC3B36" w:rsidRDefault="00A73B1A" w:rsidP="00BC3B36">
      <w:pPr>
        <w:pStyle w:val="Nadpis2"/>
      </w:pPr>
      <w:r w:rsidRPr="00BC3B36">
        <w:t xml:space="preserve">Požadavky s </w:t>
      </w:r>
      <w:r w:rsidRPr="00440966">
        <w:rPr>
          <w:u w:val="single"/>
        </w:rPr>
        <w:t>nejvyšší důležitostí</w:t>
      </w:r>
      <w:r w:rsidRPr="00BC3B36">
        <w:t xml:space="preserve"> jsou požadavky týkající se:</w:t>
      </w:r>
    </w:p>
    <w:p w14:paraId="51DD597D" w14:textId="0D23A68D" w:rsidR="00BC3B36" w:rsidRDefault="00BC3B36" w:rsidP="00BC3B36">
      <w:pPr>
        <w:pStyle w:val="Nadpis3"/>
      </w:pPr>
      <w:bookmarkStart w:id="5" w:name="_Hlk514665229"/>
      <w:r w:rsidRPr="00BC3B36">
        <w:t xml:space="preserve">Celkové </w:t>
      </w:r>
      <w:r w:rsidR="00295413">
        <w:t xml:space="preserve">a globální </w:t>
      </w:r>
      <w:r w:rsidRPr="00BC3B36">
        <w:t>nefunkčnosti systému</w:t>
      </w:r>
      <w:r w:rsidR="00295413">
        <w:t xml:space="preserve"> na všech stanicích</w:t>
      </w:r>
      <w:r w:rsidR="00A73B1A" w:rsidRPr="00BC3B36">
        <w:t>;</w:t>
      </w:r>
      <w:bookmarkEnd w:id="5"/>
    </w:p>
    <w:p w14:paraId="33BEE2D5" w14:textId="692553D9" w:rsidR="00BC3B36" w:rsidRDefault="00BC3B36" w:rsidP="00BC3B36">
      <w:pPr>
        <w:pStyle w:val="Nadpis3"/>
      </w:pPr>
      <w:bookmarkStart w:id="6" w:name="_Hlk514665240"/>
      <w:r w:rsidRPr="00BC3B36">
        <w:t>Nemožnosti spuštění systému</w:t>
      </w:r>
      <w:r w:rsidR="00295413">
        <w:t xml:space="preserve"> na žádné stanici</w:t>
      </w:r>
      <w:bookmarkEnd w:id="6"/>
      <w:r w:rsidR="00C86215">
        <w:t>.</w:t>
      </w:r>
    </w:p>
    <w:p w14:paraId="3D10D7BA" w14:textId="77777777" w:rsidR="00BC3B36" w:rsidRDefault="00A73B1A" w:rsidP="00BC3B36">
      <w:pPr>
        <w:pStyle w:val="Nadpis2"/>
      </w:pPr>
      <w:r w:rsidRPr="00BC3B36">
        <w:t xml:space="preserve">Požadavky s </w:t>
      </w:r>
      <w:r w:rsidRPr="00440966">
        <w:rPr>
          <w:u w:val="single"/>
        </w:rPr>
        <w:t>vysokou důležitostí</w:t>
      </w:r>
      <w:r w:rsidRPr="00BC3B36">
        <w:t xml:space="preserve"> jsou požadavky týkající se:</w:t>
      </w:r>
    </w:p>
    <w:p w14:paraId="4A30C5F3" w14:textId="7B9E80BE" w:rsidR="00BC3B36" w:rsidRDefault="00BC3B36" w:rsidP="00BC3B36">
      <w:pPr>
        <w:pStyle w:val="Nadpis3"/>
      </w:pPr>
      <w:bookmarkStart w:id="7" w:name="_Hlk514665253"/>
      <w:r w:rsidRPr="00BC3B36">
        <w:t xml:space="preserve">Nefunkčnost konkrétního modulu </w:t>
      </w:r>
      <w:r w:rsidR="00295413" w:rsidRPr="00BC3B36">
        <w:t>systému</w:t>
      </w:r>
      <w:r w:rsidR="00295413">
        <w:t xml:space="preserve"> na všech stanicích</w:t>
      </w:r>
      <w:bookmarkEnd w:id="7"/>
      <w:r w:rsidR="00A73B1A" w:rsidRPr="00BC3B36">
        <w:t>;</w:t>
      </w:r>
    </w:p>
    <w:p w14:paraId="4C26CAC7" w14:textId="7FFEFC10" w:rsidR="00BC3B36" w:rsidRDefault="00BC3B36" w:rsidP="00BC3B36">
      <w:pPr>
        <w:pStyle w:val="Nadpis3"/>
      </w:pPr>
      <w:bookmarkStart w:id="8" w:name="_Hlk514665263"/>
      <w:r w:rsidRPr="00BC3B36">
        <w:t xml:space="preserve">Nemožnosti spuštění modulu </w:t>
      </w:r>
      <w:r w:rsidR="00295413" w:rsidRPr="00BC3B36">
        <w:t>systému</w:t>
      </w:r>
      <w:r w:rsidR="00295413">
        <w:t xml:space="preserve"> na žádné stanici</w:t>
      </w:r>
      <w:bookmarkEnd w:id="8"/>
      <w:r w:rsidR="00A73B1A" w:rsidRPr="00BC3B36">
        <w:t>;</w:t>
      </w:r>
    </w:p>
    <w:p w14:paraId="073E036C" w14:textId="77777777" w:rsidR="00BC3B36" w:rsidRDefault="00A73B1A" w:rsidP="00BC3B36">
      <w:pPr>
        <w:pStyle w:val="Nadpis2"/>
      </w:pPr>
      <w:r w:rsidRPr="00BC3B36">
        <w:t xml:space="preserve">Požadavky se </w:t>
      </w:r>
      <w:r w:rsidRPr="00440966">
        <w:rPr>
          <w:u w:val="single"/>
        </w:rPr>
        <w:t>střední důležitostí</w:t>
      </w:r>
      <w:r w:rsidRPr="00BC3B36">
        <w:t xml:space="preserve"> jsou požadavky týkající se:</w:t>
      </w:r>
    </w:p>
    <w:p w14:paraId="7115F284" w14:textId="56C9B44D" w:rsidR="00BC3B36" w:rsidRDefault="00BC3B36" w:rsidP="00BC3B36">
      <w:pPr>
        <w:pStyle w:val="Nadpis3"/>
      </w:pPr>
      <w:r w:rsidRPr="00BC3B36">
        <w:t>Chyby v základní funkčnosti konkrétního modulu</w:t>
      </w:r>
      <w:r w:rsidR="00A73B1A" w:rsidRPr="00BC3B36">
        <w:t>;</w:t>
      </w:r>
    </w:p>
    <w:p w14:paraId="72059934" w14:textId="1496F1BA" w:rsidR="00BC3B36" w:rsidRDefault="00A73B1A" w:rsidP="00BC3B36">
      <w:pPr>
        <w:pStyle w:val="Nadpis2"/>
      </w:pPr>
      <w:r w:rsidRPr="00BC3B36">
        <w:t xml:space="preserve">Požadavky s </w:t>
      </w:r>
      <w:r w:rsidRPr="00440966">
        <w:rPr>
          <w:u w:val="single"/>
        </w:rPr>
        <w:t>nízkou důležitostí</w:t>
      </w:r>
      <w:r w:rsidRPr="00BC3B36">
        <w:t xml:space="preserve"> jsou všechny požadavky, které nespadají ani do jedné z výše uvedených skupin.</w:t>
      </w:r>
      <w:r w:rsidR="00F32148">
        <w:t xml:space="preserve"> </w:t>
      </w:r>
      <w:bookmarkStart w:id="9" w:name="_Hlk514665328"/>
      <w:r w:rsidR="00F32148">
        <w:t>Zde patří i chyby, které nebrání provozu systému, nebo chyby které jsou vázány na stanici či uživatele.</w:t>
      </w:r>
      <w:bookmarkEnd w:id="9"/>
    </w:p>
    <w:p w14:paraId="5BD3456B" w14:textId="77777777" w:rsidR="00BC3B36" w:rsidRDefault="00A73B1A" w:rsidP="00BC3B36">
      <w:pPr>
        <w:pStyle w:val="Nadpis2"/>
      </w:pPr>
      <w:r w:rsidRPr="00BC3B36">
        <w:t>V případě důvodných pochybností o tom, do které skupiny požadavků daný požadavek spadá,</w:t>
      </w:r>
      <w:r w:rsidR="00AC56FF">
        <w:t xml:space="preserve"> či neúplnosti nebo nejasnosti zadání dle článku 2.2,</w:t>
      </w:r>
      <w:r w:rsidRPr="00BC3B36">
        <w:t xml:space="preserve"> platí, že spadá do skupiny s</w:t>
      </w:r>
      <w:r w:rsidR="00BC3B36">
        <w:t xml:space="preserve"> nižší </w:t>
      </w:r>
      <w:r w:rsidRPr="00BC3B36">
        <w:t>důležitostí.</w:t>
      </w:r>
    </w:p>
    <w:p w14:paraId="531AF881" w14:textId="77777777" w:rsidR="00BC3B36" w:rsidRDefault="00A73B1A" w:rsidP="00BC3B36">
      <w:pPr>
        <w:pStyle w:val="Nadpis1"/>
      </w:pPr>
      <w:bookmarkStart w:id="10" w:name="_Ref508012292"/>
      <w:r w:rsidRPr="00BC3B36">
        <w:t>Čas přijímání požadavků</w:t>
      </w:r>
      <w:bookmarkEnd w:id="10"/>
    </w:p>
    <w:p w14:paraId="4CBC5683" w14:textId="03F99B80" w:rsidR="00BC3B36" w:rsidRDefault="00A73B1A" w:rsidP="00BC3B36">
      <w:pPr>
        <w:pStyle w:val="Nadpis2"/>
      </w:pPr>
      <w:r w:rsidRPr="00BC3B36">
        <w:t>Poskytovatel je povinen přijímat požadavky Klienta na poskytnutí Technické podpory</w:t>
      </w:r>
      <w:r w:rsidR="00BC3B36">
        <w:t xml:space="preserve"> pouze </w:t>
      </w:r>
      <w:r w:rsidRPr="00BC3B36">
        <w:t xml:space="preserve">od </w:t>
      </w:r>
      <w:r w:rsidR="00BC3B36">
        <w:t>8:00</w:t>
      </w:r>
      <w:r w:rsidRPr="00BC3B36">
        <w:t xml:space="preserve">hodin do </w:t>
      </w:r>
      <w:r w:rsidR="00BC3B36">
        <w:t xml:space="preserve">17:00 </w:t>
      </w:r>
      <w:r w:rsidRPr="00BC3B36">
        <w:t xml:space="preserve">hodin, a to </w:t>
      </w:r>
      <w:r w:rsidR="00BC3B36">
        <w:t xml:space="preserve">pouze v </w:t>
      </w:r>
      <w:r w:rsidR="00DD6236">
        <w:t>pracov</w:t>
      </w:r>
      <w:r w:rsidR="00BC3B36">
        <w:t>ní dny</w:t>
      </w:r>
      <w:r w:rsidRPr="00BC3B36">
        <w:t>.</w:t>
      </w:r>
    </w:p>
    <w:p w14:paraId="704FBDC6" w14:textId="19CF297C" w:rsidR="00BC3B36" w:rsidRDefault="00A73B1A" w:rsidP="00BC3B36">
      <w:pPr>
        <w:pStyle w:val="Nadpis2"/>
      </w:pPr>
      <w:r w:rsidRPr="00BC3B36">
        <w:t>Požadavek doručený Poskytovateli mimo výše vymezený čas se považuje za doručený momentem počátku první následující doby, ve které je Poskytovatel povinen přijímat požadavky Klienta.</w:t>
      </w:r>
    </w:p>
    <w:p w14:paraId="3E303B22" w14:textId="77777777" w:rsidR="00BC3B36" w:rsidRDefault="00BC3B36" w:rsidP="00BC3B36">
      <w:pPr>
        <w:pStyle w:val="Nadpis2"/>
      </w:pPr>
      <w:r>
        <w:t xml:space="preserve">Dobou řešení požadavků podle čl. 6 </w:t>
      </w:r>
      <w:r w:rsidRPr="00BC3B36">
        <w:t>této Smlouvy</w:t>
      </w:r>
      <w:r>
        <w:t xml:space="preserve"> je myšlena doba definovaná čl. 4.1 </w:t>
      </w:r>
      <w:r w:rsidRPr="00BC3B36">
        <w:t>této Smlouvy.</w:t>
      </w:r>
    </w:p>
    <w:p w14:paraId="5B5957E6" w14:textId="77777777" w:rsidR="00BC3B36" w:rsidRDefault="00A73B1A" w:rsidP="00BC3B36">
      <w:pPr>
        <w:pStyle w:val="Nadpis1"/>
      </w:pPr>
      <w:r w:rsidRPr="00BC3B36">
        <w:t>První reakce na zaslaný požadavek</w:t>
      </w:r>
    </w:p>
    <w:p w14:paraId="0D8DF683" w14:textId="3CA155F2" w:rsidR="00BC3B36" w:rsidRDefault="00A73B1A" w:rsidP="00BC3B36">
      <w:pPr>
        <w:pStyle w:val="Nadpis2"/>
      </w:pPr>
      <w:r w:rsidRPr="00BC3B36">
        <w:lastRenderedPageBreak/>
        <w:t>Poskytovatel má povinnost odeslat Klientovi první reakci (zejména oznámit přijetí požadavku) na požadavek s nejvyšší důležitostí nejpozději do</w:t>
      </w:r>
      <w:r w:rsidR="00BC3B36">
        <w:t xml:space="preserve"> </w:t>
      </w:r>
      <w:r w:rsidR="00F32148">
        <w:t>12</w:t>
      </w:r>
      <w:r w:rsidR="00BC3B36">
        <w:t>0 minut</w:t>
      </w:r>
      <w:r w:rsidRPr="00BC3B36">
        <w:t xml:space="preserve"> od doručení takového požadavku v souladu s podmínkami uvedenými v čl. 4 této Smlouvy.</w:t>
      </w:r>
    </w:p>
    <w:p w14:paraId="1A36BEE8" w14:textId="66493477" w:rsidR="00BC3B36" w:rsidRDefault="00A73B1A" w:rsidP="00BC3B36">
      <w:pPr>
        <w:pStyle w:val="Nadpis2"/>
      </w:pPr>
      <w:r w:rsidRPr="00BC3B36">
        <w:t xml:space="preserve">Poskytovatel má povinnost odeslat Klientovi první reakci (zejména oznámit přijetí požadavku) na požadavek s vysokou důležitostí nejpozději do </w:t>
      </w:r>
      <w:r w:rsidR="00BC3B36">
        <w:t>2</w:t>
      </w:r>
      <w:r w:rsidR="00F32148">
        <w:t>4</w:t>
      </w:r>
      <w:r w:rsidR="00BC3B36">
        <w:t xml:space="preserve">0 minut </w:t>
      </w:r>
      <w:r w:rsidRPr="00BC3B36">
        <w:t>od doručení takového požadavku v souladu s podmínkami uvedenými v čl. 4 této Smlouvy.</w:t>
      </w:r>
    </w:p>
    <w:p w14:paraId="4146906A" w14:textId="3116EE63" w:rsidR="00BC3B36" w:rsidRDefault="00A73B1A" w:rsidP="00BC3B36">
      <w:pPr>
        <w:pStyle w:val="Nadpis2"/>
      </w:pPr>
      <w:r w:rsidRPr="00BC3B36">
        <w:t xml:space="preserve">Poskytovatel má povinnost odeslat Klientovi první reakci (zejména oznámit přijetí požadavku) na požadavek se střední důležitostí nejpozději </w:t>
      </w:r>
      <w:bookmarkStart w:id="11" w:name="_Hlk514665383"/>
      <w:r w:rsidR="00543325">
        <w:t xml:space="preserve">do </w:t>
      </w:r>
      <w:r w:rsidR="00F32148">
        <w:t xml:space="preserve">360 minut </w:t>
      </w:r>
      <w:bookmarkEnd w:id="11"/>
      <w:r w:rsidRPr="00BC3B36">
        <w:t>od doručení takového požadavku v souladu s podmínkami uvedenými v čl. 4 této Smlouvy.</w:t>
      </w:r>
    </w:p>
    <w:p w14:paraId="4B1F0CF2" w14:textId="77777777" w:rsidR="00EF2A14" w:rsidRDefault="00A73B1A" w:rsidP="00BC3B36">
      <w:pPr>
        <w:pStyle w:val="Nadpis2"/>
      </w:pPr>
      <w:r w:rsidRPr="00BC3B36">
        <w:t xml:space="preserve">Poskytovatel má povinnost odeslat Klientovi první reakci (zejména oznámit přijetí požadavku) na požadavek s nízkou důležitostí nejpozději do </w:t>
      </w:r>
      <w:r w:rsidR="00BC3B36">
        <w:t xml:space="preserve">24 hodin </w:t>
      </w:r>
      <w:r w:rsidRPr="00BC3B36">
        <w:t>od doručení takového požadavku v souladu s podmínkami uvedenými v čl. 4 této Smlouvy.</w:t>
      </w:r>
    </w:p>
    <w:p w14:paraId="4E8658B0" w14:textId="77777777" w:rsidR="00440966" w:rsidRDefault="00440966" w:rsidP="00440966">
      <w:pPr>
        <w:pStyle w:val="Nadpis1"/>
        <w:widowControl w:val="0"/>
      </w:pPr>
      <w:r w:rsidRPr="00BC3B36">
        <w:t>Řešení požadavků</w:t>
      </w:r>
    </w:p>
    <w:p w14:paraId="13054064" w14:textId="69D93496" w:rsidR="00440966" w:rsidRPr="00A91AC8" w:rsidRDefault="00440966" w:rsidP="00440966">
      <w:pPr>
        <w:pStyle w:val="Nadpis2"/>
      </w:pPr>
      <w:bookmarkStart w:id="12" w:name="_Ref508011021"/>
      <w:r w:rsidRPr="00BC3B36">
        <w:t xml:space="preserve">Poskytovatel má povinnost </w:t>
      </w:r>
      <w:r>
        <w:t xml:space="preserve">vyřešit požadavek </w:t>
      </w:r>
      <w:r w:rsidRPr="00BC3B36">
        <w:t xml:space="preserve">Klienta s </w:t>
      </w:r>
      <w:r w:rsidRPr="00A91AC8">
        <w:t>nejvyšší důležitostí</w:t>
      </w:r>
      <w:r w:rsidRPr="00BC3B36">
        <w:t xml:space="preserve"> </w:t>
      </w:r>
      <w:r w:rsidRPr="00F21782">
        <w:t xml:space="preserve">dle čl. </w:t>
      </w:r>
      <w:r w:rsidR="00A20346">
        <w:t xml:space="preserve">3.1 </w:t>
      </w:r>
      <w:r w:rsidRPr="00F21782">
        <w:t>této Smlouvy</w:t>
      </w:r>
      <w:r>
        <w:rPr>
          <w:color w:val="FF0000"/>
        </w:rPr>
        <w:t xml:space="preserve"> </w:t>
      </w:r>
      <w:r w:rsidRPr="00BC3B36">
        <w:t xml:space="preserve">ve lhůtě </w:t>
      </w:r>
      <w:r>
        <w:t xml:space="preserve">4 hodin </w:t>
      </w:r>
      <w:r w:rsidRPr="00BC3B36">
        <w:t xml:space="preserve">od doručení takového požadavku v souladu s podmínkami uvedenými v čl. </w:t>
      </w:r>
      <w:r>
        <w:fldChar w:fldCharType="begin"/>
      </w:r>
      <w:r>
        <w:instrText xml:space="preserve"> REF _Ref508012292 \r \h </w:instrText>
      </w:r>
      <w:r>
        <w:fldChar w:fldCharType="separate"/>
      </w:r>
      <w:r>
        <w:t>4</w:t>
      </w:r>
      <w:r>
        <w:fldChar w:fldCharType="end"/>
      </w:r>
      <w:r w:rsidRPr="00BC3B36">
        <w:t xml:space="preserve"> této Smlouvy.</w:t>
      </w:r>
      <w:bookmarkEnd w:id="12"/>
    </w:p>
    <w:p w14:paraId="4B83F7BF" w14:textId="345E99D9" w:rsidR="00440966" w:rsidRPr="00A91AC8" w:rsidRDefault="00440966" w:rsidP="00440966">
      <w:pPr>
        <w:pStyle w:val="Nadpis2"/>
      </w:pPr>
      <w:bookmarkStart w:id="13" w:name="_Ref508011072"/>
      <w:r w:rsidRPr="00A91AC8">
        <w:t xml:space="preserve">Poskytovatel má povinnost vyřešit požadavek Klienta s vysokou důležitostí </w:t>
      </w:r>
      <w:r w:rsidRPr="00F21782">
        <w:t xml:space="preserve">dle čl. </w:t>
      </w:r>
      <w:r w:rsidR="00A20346">
        <w:t xml:space="preserve">3.2 </w:t>
      </w:r>
      <w:r w:rsidRPr="00F21782">
        <w:t xml:space="preserve">této Smlouvy </w:t>
      </w:r>
      <w:r w:rsidRPr="00A91AC8">
        <w:t xml:space="preserve">ve lhůtě 8 hodin od doručení takového požadavku v souladu s podmínkami uvedenými v čl. </w:t>
      </w:r>
      <w:r w:rsidRPr="00A91AC8">
        <w:fldChar w:fldCharType="begin"/>
      </w:r>
      <w:r w:rsidRPr="00A91AC8">
        <w:instrText xml:space="preserve"> REF _Ref508012292 \r \h </w:instrText>
      </w:r>
      <w:r>
        <w:instrText xml:space="preserve"> \* MERGEFORMAT </w:instrText>
      </w:r>
      <w:r w:rsidRPr="00A91AC8">
        <w:fldChar w:fldCharType="separate"/>
      </w:r>
      <w:r w:rsidRPr="00A91AC8">
        <w:t>4</w:t>
      </w:r>
      <w:r w:rsidRPr="00A91AC8">
        <w:fldChar w:fldCharType="end"/>
      </w:r>
      <w:r w:rsidRPr="00A91AC8">
        <w:t xml:space="preserve"> této Smlouvy.</w:t>
      </w:r>
      <w:bookmarkEnd w:id="13"/>
    </w:p>
    <w:p w14:paraId="20C435CD" w14:textId="117AB232" w:rsidR="00440966" w:rsidRPr="00A91AC8" w:rsidRDefault="00440966" w:rsidP="00440966">
      <w:pPr>
        <w:pStyle w:val="Nadpis2"/>
      </w:pPr>
      <w:bookmarkStart w:id="14" w:name="_Ref508011095"/>
      <w:r w:rsidRPr="00A91AC8">
        <w:t xml:space="preserve">Poskytovatel má povinnost vyřešit požadavek Klienta se střední </w:t>
      </w:r>
      <w:r w:rsidRPr="00F21782">
        <w:t xml:space="preserve">důležitostí dle čl. </w:t>
      </w:r>
      <w:r w:rsidR="00A20346">
        <w:t xml:space="preserve">3.3 </w:t>
      </w:r>
      <w:r w:rsidRPr="00F21782">
        <w:t>této Smlouvy</w:t>
      </w:r>
      <w:r>
        <w:rPr>
          <w:color w:val="FF0000"/>
        </w:rPr>
        <w:t xml:space="preserve"> </w:t>
      </w:r>
      <w:r w:rsidRPr="00A91AC8">
        <w:t xml:space="preserve">ve lhůtě 72 hodin od doručení takového požadavku v souladu s podmínkami uvedenými v čl. </w:t>
      </w:r>
      <w:r w:rsidRPr="00A91AC8">
        <w:fldChar w:fldCharType="begin"/>
      </w:r>
      <w:r w:rsidRPr="00A91AC8">
        <w:instrText xml:space="preserve"> REF _Ref508012292 \r \h </w:instrText>
      </w:r>
      <w:r>
        <w:instrText xml:space="preserve"> \* MERGEFORMAT </w:instrText>
      </w:r>
      <w:r w:rsidRPr="00A91AC8">
        <w:fldChar w:fldCharType="separate"/>
      </w:r>
      <w:r w:rsidRPr="00A91AC8">
        <w:t>4</w:t>
      </w:r>
      <w:r w:rsidRPr="00A91AC8">
        <w:fldChar w:fldCharType="end"/>
      </w:r>
      <w:r w:rsidRPr="00A91AC8">
        <w:t xml:space="preserve"> této Smlouvy.</w:t>
      </w:r>
      <w:bookmarkEnd w:id="14"/>
    </w:p>
    <w:p w14:paraId="2250C407" w14:textId="1DFBF117" w:rsidR="00440966" w:rsidRDefault="00440966" w:rsidP="00440966">
      <w:pPr>
        <w:pStyle w:val="Nadpis2"/>
      </w:pPr>
      <w:r w:rsidRPr="00A91AC8">
        <w:t>Poskytovatel má povinnost zahájit řešení požadavku Klienta s nízkou důležitostí</w:t>
      </w:r>
      <w:r w:rsidRPr="00BC3B36">
        <w:t xml:space="preserve"> </w:t>
      </w:r>
      <w:r w:rsidRPr="00DB7182">
        <w:t xml:space="preserve">dle čl. </w:t>
      </w:r>
      <w:r w:rsidR="00A20346">
        <w:t xml:space="preserve">3.4 </w:t>
      </w:r>
      <w:r w:rsidRPr="00DB7182">
        <w:t>této Smlouvy</w:t>
      </w:r>
      <w:r>
        <w:rPr>
          <w:color w:val="FF0000"/>
        </w:rPr>
        <w:t xml:space="preserve"> </w:t>
      </w:r>
      <w:r w:rsidRPr="00BC3B36">
        <w:t xml:space="preserve">ve lhůtě </w:t>
      </w:r>
      <w:r>
        <w:t xml:space="preserve">5 pracovních dní </w:t>
      </w:r>
      <w:r w:rsidRPr="00BC3B36">
        <w:t xml:space="preserve">od doručení takového požadavku v souladu s podmínkami uvedenými v čl. </w:t>
      </w:r>
      <w:r>
        <w:fldChar w:fldCharType="begin"/>
      </w:r>
      <w:r>
        <w:instrText xml:space="preserve"> REF _Ref508012292 \r \h </w:instrText>
      </w:r>
      <w:r>
        <w:fldChar w:fldCharType="separate"/>
      </w:r>
      <w:r>
        <w:t>4</w:t>
      </w:r>
      <w:r>
        <w:fldChar w:fldCharType="end"/>
      </w:r>
      <w:r w:rsidRPr="00BC3B36">
        <w:t xml:space="preserve"> této Smlouvy. </w:t>
      </w:r>
    </w:p>
    <w:p w14:paraId="09FF235C" w14:textId="034D1603" w:rsidR="00B344C2" w:rsidRDefault="00B344C2" w:rsidP="00B344C2">
      <w:pPr>
        <w:pStyle w:val="Nadpis2"/>
      </w:pPr>
      <w:r>
        <w:t xml:space="preserve">Poskytovatel má povinnost plnit ustanovení v čl. </w:t>
      </w:r>
      <w:r>
        <w:fldChar w:fldCharType="begin"/>
      </w:r>
      <w:r>
        <w:instrText xml:space="preserve"> REF _Ref508012524 \r \h </w:instrText>
      </w:r>
      <w:r>
        <w:fldChar w:fldCharType="separate"/>
      </w:r>
      <w:r>
        <w:t>1.2.3</w:t>
      </w:r>
      <w:r>
        <w:fldChar w:fldCharType="end"/>
      </w:r>
      <w:r>
        <w:t xml:space="preserve"> </w:t>
      </w:r>
      <w:r w:rsidR="00440966">
        <w:t xml:space="preserve">této Smlouvy </w:t>
      </w:r>
      <w:r>
        <w:t xml:space="preserve">do </w:t>
      </w:r>
      <w:r w:rsidRPr="00B344C2">
        <w:t xml:space="preserve">nejpozději do 30 kalendářních dnů ode dne publikace příslušné změny ve Sbírce zákonů a nahlášení </w:t>
      </w:r>
      <w:r>
        <w:t>požadavku na změnu Klientem.</w:t>
      </w:r>
      <w:r w:rsidR="00A00216">
        <w:t xml:space="preserve"> Toto ustanovení je platné jen v případě, že z legislativních požadavků nevyplývá vývoj nového modul</w:t>
      </w:r>
      <w:r w:rsidR="00CF06D8">
        <w:t>u</w:t>
      </w:r>
      <w:r w:rsidR="00A00216">
        <w:t xml:space="preserve"> či nové Aplikace</w:t>
      </w:r>
      <w:r w:rsidR="00C17DAD">
        <w:t xml:space="preserve"> </w:t>
      </w:r>
      <w:r w:rsidR="00C17DAD" w:rsidRPr="00CC700C">
        <w:t>nebo funkce</w:t>
      </w:r>
      <w:r w:rsidR="00A00216">
        <w:t>.</w:t>
      </w:r>
    </w:p>
    <w:p w14:paraId="450F3835" w14:textId="7F4D4DDD" w:rsidR="00F32148" w:rsidRDefault="00F32148" w:rsidP="00B344C2">
      <w:pPr>
        <w:pStyle w:val="Nadpis2"/>
      </w:pPr>
      <w:bookmarkStart w:id="15" w:name="_Hlk514665452"/>
      <w:r>
        <w:t xml:space="preserve">Do doby vyřešení se počítá pouze doba, kdy je skutečně řešen </w:t>
      </w:r>
      <w:r w:rsidR="001F169D">
        <w:t>problém Aplikace. Do doby vyřešení se nezahrnuje doba</w:t>
      </w:r>
      <w:r w:rsidR="000607EF">
        <w:t>,</w:t>
      </w:r>
      <w:r w:rsidR="001F169D">
        <w:t xml:space="preserve"> kter</w:t>
      </w:r>
      <w:r w:rsidR="00815CDB">
        <w:t>á je řešením problému podle</w:t>
      </w:r>
      <w:r w:rsidR="001F169D">
        <w:t xml:space="preserve"> bodu </w:t>
      </w:r>
      <w:r w:rsidR="001F169D">
        <w:fldChar w:fldCharType="begin"/>
      </w:r>
      <w:r w:rsidR="001F169D">
        <w:instrText xml:space="preserve"> REF _Ref514236308 \r \h </w:instrText>
      </w:r>
      <w:r w:rsidR="001F169D">
        <w:fldChar w:fldCharType="separate"/>
      </w:r>
      <w:r w:rsidR="001F169D">
        <w:t>7.2</w:t>
      </w:r>
      <w:r w:rsidR="001F169D">
        <w:fldChar w:fldCharType="end"/>
      </w:r>
      <w:r w:rsidR="001F169D">
        <w:t>.</w:t>
      </w:r>
    </w:p>
    <w:p w14:paraId="1BFC2EA8" w14:textId="77777777" w:rsidR="00BC3B36" w:rsidRDefault="00A73B1A" w:rsidP="00BC3B36">
      <w:pPr>
        <w:pStyle w:val="Nadpis1"/>
      </w:pPr>
      <w:bookmarkStart w:id="16" w:name="_Ref508014669"/>
      <w:bookmarkEnd w:id="15"/>
      <w:r w:rsidRPr="00BC3B36">
        <w:lastRenderedPageBreak/>
        <w:t>Rozsah Technické podpory</w:t>
      </w:r>
      <w:bookmarkEnd w:id="16"/>
    </w:p>
    <w:p w14:paraId="34969948" w14:textId="15DCCD0D" w:rsidR="00047770" w:rsidRDefault="00A73B1A" w:rsidP="00BC3B36">
      <w:pPr>
        <w:pStyle w:val="Nadpis2"/>
      </w:pPr>
      <w:r w:rsidRPr="00BC3B36">
        <w:t xml:space="preserve">Poskytovatel se zavazuje poskytovat Klientovi Technickou podporu </w:t>
      </w:r>
      <w:r w:rsidR="00047770">
        <w:t xml:space="preserve">celkově </w:t>
      </w:r>
      <w:r w:rsidRPr="00BC3B36">
        <w:t xml:space="preserve">v rozsahu nejvýše </w:t>
      </w:r>
      <w:r w:rsidR="006A01B4" w:rsidRPr="00CC700C">
        <w:t>1</w:t>
      </w:r>
      <w:r w:rsidR="00BC3B36" w:rsidRPr="00CC700C">
        <w:t xml:space="preserve"> </w:t>
      </w:r>
      <w:r w:rsidRPr="00CC700C">
        <w:t>hodin</w:t>
      </w:r>
      <w:r w:rsidR="006A01B4" w:rsidRPr="00CC700C">
        <w:t>u</w:t>
      </w:r>
      <w:r w:rsidRPr="00CC700C">
        <w:t xml:space="preserve"> </w:t>
      </w:r>
      <w:r w:rsidR="00BC3B36" w:rsidRPr="00CC700C">
        <w:t>měsíčně</w:t>
      </w:r>
      <w:r w:rsidRPr="00BC3B36">
        <w:t>.</w:t>
      </w:r>
      <w:r w:rsidR="00047770">
        <w:t xml:space="preserve"> Jednotlivé požadavky nesmí přesáhnout dobu trvání 15 minut.</w:t>
      </w:r>
    </w:p>
    <w:p w14:paraId="1083261E" w14:textId="77777777" w:rsidR="00BC3B36" w:rsidRDefault="00C624EE" w:rsidP="00C624EE">
      <w:pPr>
        <w:pStyle w:val="Nadpis2"/>
      </w:pPr>
      <w:bookmarkStart w:id="17" w:name="_Ref514236308"/>
      <w:r>
        <w:t xml:space="preserve">Technická podpora nezahrnuje řešení problémů </w:t>
      </w:r>
      <w:r w:rsidRPr="00C624EE">
        <w:t xml:space="preserve">v důsledku nesprávného používání programu, jakékoliv manipulace s programem nebo </w:t>
      </w:r>
      <w:r>
        <w:t xml:space="preserve">odstraňování chyb </w:t>
      </w:r>
      <w:r w:rsidRPr="00C624EE">
        <w:t xml:space="preserve">vyplývající z poruchy </w:t>
      </w:r>
      <w:r>
        <w:t>technických či síťových prostředků, důsledky zavirování techniky ani důsledky nefunkčnosti aplikací způsobené působením třetích stran či vyšší moci, poku</w:t>
      </w:r>
      <w:r w:rsidR="00FC7B98">
        <w:t>d</w:t>
      </w:r>
      <w:r>
        <w:t xml:space="preserve"> by </w:t>
      </w:r>
      <w:r w:rsidR="00B325C8">
        <w:t>čas nutný k tomuto řešení přesáhl dobu definovanou pro jednotlivé požadavky.</w:t>
      </w:r>
      <w:bookmarkEnd w:id="17"/>
    </w:p>
    <w:p w14:paraId="125A00E7" w14:textId="77777777" w:rsidR="00B325C8" w:rsidRDefault="00B325C8" w:rsidP="00C624EE">
      <w:pPr>
        <w:pStyle w:val="Nadpis2"/>
      </w:pPr>
      <w:r>
        <w:t>Technická podpora není určena pro školení obsluhy z důvodu neznalosti ovládání Aplikace, či jednotlivých modulů a procesů, poku</w:t>
      </w:r>
      <w:r w:rsidR="00FC7B98">
        <w:t>d</w:t>
      </w:r>
      <w:r>
        <w:t xml:space="preserve"> by čas nutný k tomuto řešení přesáhl dobu definovanou pro jednotlivé požadavky.</w:t>
      </w:r>
    </w:p>
    <w:p w14:paraId="21E153A5" w14:textId="727F1A44" w:rsidR="00BC3B36" w:rsidRDefault="00A73B1A" w:rsidP="00CC3C1F">
      <w:pPr>
        <w:pStyle w:val="Nadpis2"/>
      </w:pPr>
      <w:r w:rsidRPr="00BC3B36">
        <w:t>Požadavky, jejichž řešení by znamenalo překročení výše sjednaného rozsahu, má Poskytovatel právo odmítnout</w:t>
      </w:r>
      <w:r w:rsidR="00436D79">
        <w:t xml:space="preserve">, či za ně žádat </w:t>
      </w:r>
      <w:r w:rsidR="00BB0C08">
        <w:t xml:space="preserve">přiměřenou </w:t>
      </w:r>
      <w:r w:rsidR="007D5AF4">
        <w:t>Ú</w:t>
      </w:r>
      <w:r w:rsidR="00BB0C08">
        <w:t xml:space="preserve">platu dle </w:t>
      </w:r>
      <w:r w:rsidR="007D5AF4">
        <w:t>platného</w:t>
      </w:r>
      <w:r w:rsidR="00BB0C08">
        <w:t xml:space="preserve"> sazebníku</w:t>
      </w:r>
      <w:r w:rsidR="007D5AF4">
        <w:t xml:space="preserve"> Poskytovatele</w:t>
      </w:r>
      <w:r w:rsidR="00CC3C1F">
        <w:t xml:space="preserve">, </w:t>
      </w:r>
      <w:r w:rsidR="00CC3C1F" w:rsidRPr="00CC3C1F">
        <w:t>dostupné</w:t>
      </w:r>
      <w:r w:rsidR="00CC3C1F">
        <w:t>ho</w:t>
      </w:r>
      <w:r w:rsidR="00CC3C1F" w:rsidRPr="00CC3C1F">
        <w:t xml:space="preserve"> na internetových stránkách www.teas.cz</w:t>
      </w:r>
      <w:bookmarkStart w:id="18" w:name="_Hlk514665490"/>
      <w:r w:rsidR="00333E8A">
        <w:t>/</w:t>
      </w:r>
      <w:proofErr w:type="spellStart"/>
      <w:r w:rsidR="00333E8A">
        <w:t>cenik</w:t>
      </w:r>
      <w:bookmarkEnd w:id="18"/>
      <w:proofErr w:type="spellEnd"/>
      <w:r w:rsidRPr="00BC3B36">
        <w:t>.</w:t>
      </w:r>
      <w:r w:rsidR="00BB0C08">
        <w:t xml:space="preserve"> Požadavek Úplaty za službu je Poskytovatel bezodkladně povinen oznámit </w:t>
      </w:r>
      <w:r w:rsidR="00BB0C08" w:rsidRPr="00BC3B36">
        <w:t>Klientovi</w:t>
      </w:r>
      <w:r w:rsidR="00BB0C08">
        <w:t xml:space="preserve"> a Klient musí s Úplatou vyjádřit souhlas formou Objednávky služby.</w:t>
      </w:r>
    </w:p>
    <w:p w14:paraId="5C529D7B" w14:textId="77777777" w:rsidR="007D5AF4" w:rsidRDefault="00A73B1A" w:rsidP="00BC3B36">
      <w:pPr>
        <w:pStyle w:val="Nadpis2"/>
      </w:pPr>
      <w:r w:rsidRPr="00BC3B36">
        <w:t>V případě odmítnutí řešení požadavku podle předchozího odstavce se řešení daného požadavku přesouvá do následujícího měsíce, pokud Klient nesdělí Poskytovateli, že o vyřešení požadavku v takovém případě nemá zájem.</w:t>
      </w:r>
    </w:p>
    <w:p w14:paraId="68706EE4" w14:textId="77777777" w:rsidR="00BC3B36" w:rsidRDefault="00A73B1A" w:rsidP="00BC3B36">
      <w:pPr>
        <w:pStyle w:val="Nadpis1"/>
      </w:pPr>
      <w:r w:rsidRPr="00BC3B36">
        <w:t>Odměna</w:t>
      </w:r>
    </w:p>
    <w:p w14:paraId="3C5B20A8" w14:textId="77777777" w:rsidR="00BC3B36" w:rsidRDefault="00A73B1A" w:rsidP="00BC3B36">
      <w:pPr>
        <w:pStyle w:val="Nadpis2"/>
      </w:pPr>
      <w:r w:rsidRPr="00BC3B36">
        <w:t xml:space="preserve">Klient se zavazuje zaplatit Poskytovateli za poskytování Technické podpory v rozsahu sjednaném v čl. </w:t>
      </w:r>
      <w:r w:rsidR="001F3D3E">
        <w:fldChar w:fldCharType="begin"/>
      </w:r>
      <w:r w:rsidR="001F3D3E">
        <w:instrText xml:space="preserve"> REF _Ref508014669 \r \h </w:instrText>
      </w:r>
      <w:r w:rsidR="001F3D3E">
        <w:fldChar w:fldCharType="separate"/>
      </w:r>
      <w:r w:rsidR="001F3D3E">
        <w:t>7</w:t>
      </w:r>
      <w:r w:rsidR="001F3D3E">
        <w:fldChar w:fldCharType="end"/>
      </w:r>
      <w:r w:rsidRPr="00BC3B36">
        <w:t xml:space="preserve"> této Smlouvy fixní odměnu ve výši</w:t>
      </w:r>
      <w:r w:rsidR="00BC3B36">
        <w:t xml:space="preserve">, jež je stanovena </w:t>
      </w:r>
      <w:r w:rsidR="00CC3C1F">
        <w:t>součtem cen konkrétní paušální služb</w:t>
      </w:r>
      <w:r w:rsidR="000967B3">
        <w:t>y</w:t>
      </w:r>
      <w:r w:rsidR="00CC3C1F">
        <w:t xml:space="preserve"> pro </w:t>
      </w:r>
      <w:r w:rsidR="000967B3">
        <w:t xml:space="preserve">každý </w:t>
      </w:r>
      <w:r w:rsidR="00BC3B36">
        <w:t>jednotliv</w:t>
      </w:r>
      <w:r w:rsidR="00CC3C1F">
        <w:t>ý modul</w:t>
      </w:r>
      <w:r w:rsidR="007B27CD">
        <w:t>,</w:t>
      </w:r>
      <w:r w:rsidR="00CC3C1F">
        <w:t xml:space="preserve"> </w:t>
      </w:r>
      <w:r w:rsidR="007D5AF4">
        <w:t>A</w:t>
      </w:r>
      <w:r w:rsidR="00BC3B36">
        <w:t>plikac</w:t>
      </w:r>
      <w:r w:rsidR="007B27CD">
        <w:t>i či Značkovou nástavbu</w:t>
      </w:r>
      <w:r w:rsidR="000967B3">
        <w:t xml:space="preserve"> v </w:t>
      </w:r>
      <w:r w:rsidR="000967B3" w:rsidRPr="000967B3">
        <w:rPr>
          <w:b/>
        </w:rPr>
        <w:t>Příloze č 1</w:t>
      </w:r>
      <w:r w:rsidR="00BC3B36">
        <w:t xml:space="preserve">, </w:t>
      </w:r>
      <w:r w:rsidRPr="00BC3B36">
        <w:t xml:space="preserve">za každý jeden kalendářní </w:t>
      </w:r>
      <w:r w:rsidR="00BC3B36">
        <w:t xml:space="preserve">měsíc </w:t>
      </w:r>
      <w:r w:rsidRPr="00BC3B36">
        <w:t>poskytování Technické podpory podle této Smlouvy (dále jako „</w:t>
      </w:r>
      <w:r w:rsidRPr="00654BD3">
        <w:rPr>
          <w:b/>
        </w:rPr>
        <w:t>Fixní odměna</w:t>
      </w:r>
      <w:r w:rsidRPr="00BC3B36">
        <w:t>“).</w:t>
      </w:r>
    </w:p>
    <w:p w14:paraId="0F00A23A" w14:textId="4FA6C79D" w:rsidR="00BC3B36" w:rsidRDefault="00A73B1A" w:rsidP="00BC3B36">
      <w:pPr>
        <w:pStyle w:val="Nadpis2"/>
      </w:pPr>
      <w:r w:rsidRPr="00BC3B36">
        <w:t xml:space="preserve">Poskytovatel má právo na odměnu v plné výši i pokud </w:t>
      </w:r>
      <w:r w:rsidR="00493731">
        <w:t>Klient</w:t>
      </w:r>
      <w:r w:rsidRPr="00BC3B36">
        <w:t xml:space="preserve"> nevyužije plný rozsah Technické podpory.</w:t>
      </w:r>
    </w:p>
    <w:p w14:paraId="265C52B4" w14:textId="77777777" w:rsidR="00BC3B36" w:rsidRDefault="00A73B1A" w:rsidP="00BC3B36">
      <w:pPr>
        <w:pStyle w:val="Nadpis2"/>
      </w:pPr>
      <w:r w:rsidRPr="00BC3B36">
        <w:t xml:space="preserve">Všechny částky uvedené v této Smlouvě jsou uvedeny </w:t>
      </w:r>
      <w:r w:rsidR="00BC3B36">
        <w:t xml:space="preserve">bez </w:t>
      </w:r>
      <w:r w:rsidRPr="00BC3B36">
        <w:t>DPH.</w:t>
      </w:r>
    </w:p>
    <w:p w14:paraId="3EDD8FBE" w14:textId="77777777" w:rsidR="00BC3B36" w:rsidRDefault="00A73B1A" w:rsidP="00BC3B36">
      <w:pPr>
        <w:pStyle w:val="Nadpis1"/>
      </w:pPr>
      <w:bookmarkStart w:id="19" w:name="_Ref508017524"/>
      <w:r w:rsidRPr="00BC3B36">
        <w:lastRenderedPageBreak/>
        <w:t>Platební podmínky</w:t>
      </w:r>
      <w:bookmarkEnd w:id="19"/>
    </w:p>
    <w:p w14:paraId="54E04962" w14:textId="77777777" w:rsidR="00BC3B36" w:rsidRDefault="00A73B1A" w:rsidP="00BC3B36">
      <w:pPr>
        <w:pStyle w:val="Nadpis2"/>
      </w:pPr>
      <w:r w:rsidRPr="00BC3B36">
        <w:t xml:space="preserve">Odměna je splatná </w:t>
      </w:r>
      <w:r w:rsidR="00BC3B36">
        <w:t xml:space="preserve">prvního </w:t>
      </w:r>
      <w:r w:rsidRPr="00BC3B36">
        <w:t>dne, za který je Odměna placena.</w:t>
      </w:r>
    </w:p>
    <w:p w14:paraId="3B6C1AE1" w14:textId="11C418C2" w:rsidR="00BC3B36" w:rsidRDefault="00A73B1A" w:rsidP="00440966">
      <w:pPr>
        <w:pStyle w:val="Nadpis2"/>
        <w:widowControl w:val="0"/>
        <w:numPr>
          <w:ilvl w:val="1"/>
          <w:numId w:val="4"/>
        </w:numPr>
      </w:pPr>
      <w:r w:rsidRPr="00BC3B36">
        <w:t xml:space="preserve">Fixní odměna bude vyúčtována </w:t>
      </w:r>
      <w:r w:rsidR="000967B3">
        <w:t>formou čtvrtletních zálohových plateb a</w:t>
      </w:r>
      <w:r w:rsidRPr="00BC3B36">
        <w:t xml:space="preserve"> bude splatná </w:t>
      </w:r>
      <w:r w:rsidR="00BC3B36">
        <w:t>zvlášť</w:t>
      </w:r>
      <w:r w:rsidR="00440966">
        <w:t>.</w:t>
      </w:r>
      <w:r w:rsidR="006C72BF">
        <w:t xml:space="preserve"> Poskytovatel vystaví pro platbu Fixní odměny </w:t>
      </w:r>
      <w:r w:rsidR="006C72BF" w:rsidRPr="00DA5539">
        <w:rPr>
          <w:b/>
        </w:rPr>
        <w:t>Výzvu k úhradě</w:t>
      </w:r>
      <w:r w:rsidR="006C72BF">
        <w:t>, obsahující částku a variabilní symbol, pod kterým má být platba Fixní odměny provedena. Tato Výzva</w:t>
      </w:r>
      <w:r w:rsidR="001F3D3E">
        <w:t xml:space="preserve"> k úhradě</w:t>
      </w:r>
      <w:r w:rsidR="006C72BF">
        <w:t xml:space="preserve"> není daňovým dokladem.</w:t>
      </w:r>
      <w:r w:rsidR="00543325">
        <w:t xml:space="preserve"> </w:t>
      </w:r>
      <w:bookmarkStart w:id="20" w:name="_Hlk514665585"/>
      <w:r w:rsidR="00543325">
        <w:t>Výzva k úhradě bude s dostatečným předstihem elektronicky doručena Klientovi</w:t>
      </w:r>
      <w:bookmarkEnd w:id="20"/>
      <w:r w:rsidR="00440966">
        <w:t xml:space="preserve">, </w:t>
      </w:r>
      <w:r w:rsidR="00440966" w:rsidRPr="00DB7182">
        <w:t>nejpozději 1. den čtvrtletí, za které má být odměna uhrazena.</w:t>
      </w:r>
    </w:p>
    <w:p w14:paraId="3D500141" w14:textId="77777777" w:rsidR="00BC3B36" w:rsidRDefault="00A73B1A" w:rsidP="00BC3B36">
      <w:pPr>
        <w:pStyle w:val="Nadpis2"/>
      </w:pPr>
      <w:r w:rsidRPr="00BC3B36">
        <w:t xml:space="preserve">Jakékoliv finanční plnění pro Poskytovatele je splatné </w:t>
      </w:r>
      <w:r w:rsidR="00BC3B36">
        <w:t xml:space="preserve">bankovním převodem </w:t>
      </w:r>
      <w:r w:rsidRPr="00BC3B36">
        <w:t>na bankovní účet Poskytovatele</w:t>
      </w:r>
      <w:r w:rsidR="00BC3B36">
        <w:t>.</w:t>
      </w:r>
    </w:p>
    <w:p w14:paraId="414CFA72" w14:textId="29A38FBB" w:rsidR="000967B3" w:rsidRDefault="000967B3" w:rsidP="000967B3">
      <w:pPr>
        <w:pStyle w:val="Nadpis2"/>
      </w:pPr>
      <w:r w:rsidRPr="000967B3">
        <w:t xml:space="preserve">K datu úhrady vystaví </w:t>
      </w:r>
      <w:r>
        <w:t>Poskytovatel</w:t>
      </w:r>
      <w:r w:rsidRPr="000967B3">
        <w:t xml:space="preserve"> </w:t>
      </w:r>
      <w:r w:rsidR="00980CAC" w:rsidRPr="00980CAC">
        <w:rPr>
          <w:b/>
        </w:rPr>
        <w:t>D</w:t>
      </w:r>
      <w:r w:rsidRPr="00980CAC">
        <w:rPr>
          <w:b/>
        </w:rPr>
        <w:t>aňový doklad</w:t>
      </w:r>
      <w:r w:rsidRPr="000967B3">
        <w:t xml:space="preserve">. Den přijetí platby a vystavení daňového dokladu bude považován za den vzniku zdanitelného plnění. Do doby úhrady </w:t>
      </w:r>
      <w:r>
        <w:t>Odměny</w:t>
      </w:r>
      <w:r w:rsidRPr="000967B3">
        <w:t xml:space="preserve"> v plné výši nebude </w:t>
      </w:r>
      <w:r>
        <w:t>Poskytovatel</w:t>
      </w:r>
      <w:r w:rsidRPr="000967B3">
        <w:t xml:space="preserve"> poskytovat plnění dle smlouvy. Na daňovém dokladu bude vyčíslen celkový základ daně, k němuž bude připočtena daň z přidané hodnoty podle platných předpisů</w:t>
      </w:r>
      <w:r>
        <w:t>.</w:t>
      </w:r>
    </w:p>
    <w:p w14:paraId="4130CD77" w14:textId="3ADED9ED" w:rsidR="000967B3" w:rsidRDefault="000967B3" w:rsidP="000967B3">
      <w:pPr>
        <w:pStyle w:val="Nadpis2"/>
      </w:pPr>
      <w:r w:rsidRPr="000967B3">
        <w:t xml:space="preserve">V případě, že tímto ustanovením smlouvy byla sjednána úhrada zálohy a tato nebyla uhrazena v plné výši, vystaví </w:t>
      </w:r>
      <w:r>
        <w:t>Poskytovatel</w:t>
      </w:r>
      <w:r w:rsidRPr="000967B3">
        <w:t xml:space="preserve"> k datu přijetí platby </w:t>
      </w:r>
      <w:r w:rsidR="00980CAC">
        <w:t>D</w:t>
      </w:r>
      <w:r w:rsidRPr="000967B3">
        <w:t>aňový doklad na přijatou platbu. Na daňovém dokladu uvede základ daně, procento daně, daň a celkovou částku přijaté úhrady. Daň bude vypočtena z tohoto základu daně tak, aby součet základu daně a daň tvořily výši přijaté platby.</w:t>
      </w:r>
    </w:p>
    <w:p w14:paraId="08473735" w14:textId="79D87FB8" w:rsidR="000967B3" w:rsidRDefault="000967B3" w:rsidP="000967B3">
      <w:pPr>
        <w:pStyle w:val="Nadpis2"/>
      </w:pPr>
      <w:r w:rsidRPr="000967B3">
        <w:t xml:space="preserve">V případě, kdy </w:t>
      </w:r>
      <w:r>
        <w:t>Klient</w:t>
      </w:r>
      <w:r w:rsidRPr="000967B3">
        <w:t xml:space="preserve"> v plné výši neuhradí </w:t>
      </w:r>
      <w:r w:rsidR="00BD7B1F">
        <w:t>Odměnu</w:t>
      </w:r>
      <w:r w:rsidRPr="000967B3">
        <w:t xml:space="preserve"> vůči </w:t>
      </w:r>
      <w:r>
        <w:t>Poskytovateli</w:t>
      </w:r>
      <w:r w:rsidRPr="000967B3">
        <w:t xml:space="preserve"> do doby jejich </w:t>
      </w:r>
      <w:r w:rsidR="00440966" w:rsidRPr="000967B3">
        <w:t>splatnosti</w:t>
      </w:r>
      <w:r w:rsidR="00440966">
        <w:t xml:space="preserve"> </w:t>
      </w:r>
      <w:r w:rsidR="00440966" w:rsidRPr="00F21782">
        <w:t xml:space="preserve">dle čl. </w:t>
      </w:r>
      <w:r w:rsidR="00A20346">
        <w:t xml:space="preserve">9.2 </w:t>
      </w:r>
      <w:r w:rsidR="00440966" w:rsidRPr="00F21782">
        <w:t>této Smlouvy</w:t>
      </w:r>
      <w:r w:rsidR="00440966" w:rsidRPr="000967B3">
        <w:t xml:space="preserve">, </w:t>
      </w:r>
      <w:r w:rsidRPr="000967B3">
        <w:t xml:space="preserve">zaniká </w:t>
      </w:r>
      <w:r>
        <w:t>Klientovi</w:t>
      </w:r>
      <w:r w:rsidRPr="000967B3">
        <w:t xml:space="preserve"> nárok na čerpání služeb dle podmínek této smlouvy až do doby jejich úplného uhrazení.</w:t>
      </w:r>
      <w:r w:rsidR="00BD7B1F">
        <w:t xml:space="preserve"> Poskytovatel není po dobu neuhrazení Odměny po době splatnosti žádným způsobem zodpovědný za škody, které vznikly z důvodu neplnění této smlouvy Poskytovatelem. </w:t>
      </w:r>
    </w:p>
    <w:p w14:paraId="2F1DB217" w14:textId="2A168A64" w:rsidR="00BC3B36" w:rsidRDefault="00A73B1A" w:rsidP="00BC3B36">
      <w:pPr>
        <w:pStyle w:val="Nadpis2"/>
      </w:pPr>
      <w:r w:rsidRPr="00BC3B36">
        <w:t xml:space="preserve">Poskytovatel má povinnost vystavit na Odměnu nebo jiné finanční plnění podle této Smlouvy řádný </w:t>
      </w:r>
      <w:r w:rsidR="006C72BF">
        <w:t>D</w:t>
      </w:r>
      <w:r w:rsidRPr="00BC3B36">
        <w:t>aňový doklad, je</w:t>
      </w:r>
      <w:r w:rsidR="00BC3B36">
        <w:t>hož</w:t>
      </w:r>
      <w:r w:rsidRPr="00BC3B36">
        <w:t xml:space="preserve"> údaje budou shodné s údaji uvedenými v této Smlouvě a takový </w:t>
      </w:r>
      <w:r w:rsidR="00980CAC">
        <w:t>D</w:t>
      </w:r>
      <w:r w:rsidRPr="00BC3B36">
        <w:t>aňový doklad doručit Klientovi.</w:t>
      </w:r>
    </w:p>
    <w:p w14:paraId="64AF117D" w14:textId="0C2C1797" w:rsidR="00543325" w:rsidRDefault="00A73B1A" w:rsidP="00440966">
      <w:pPr>
        <w:pStyle w:val="Nadpis2"/>
      </w:pPr>
      <w:r w:rsidRPr="00BC3B36">
        <w:t xml:space="preserve">Poskytovatel má právo doručit </w:t>
      </w:r>
      <w:r w:rsidR="006C72BF">
        <w:t>Výzvu k úhradě i D</w:t>
      </w:r>
      <w:r w:rsidRPr="00BC3B36">
        <w:t>aňový doklad v elektronické podobě prostřednictvím e-mailové zprávy.</w:t>
      </w:r>
      <w:r w:rsidR="00AC56FF">
        <w:t xml:space="preserve"> Klient </w:t>
      </w:r>
      <w:r w:rsidR="00B325C8">
        <w:t xml:space="preserve">se zavazuje </w:t>
      </w:r>
      <w:r w:rsidR="00AC56FF">
        <w:t>vykonat taková technická opatření</w:t>
      </w:r>
      <w:r w:rsidR="006C72BF">
        <w:t xml:space="preserve"> (nastavení </w:t>
      </w:r>
      <w:proofErr w:type="spellStart"/>
      <w:r w:rsidR="006C72BF">
        <w:t>WhiteList</w:t>
      </w:r>
      <w:proofErr w:type="spellEnd"/>
      <w:r w:rsidR="006C72BF">
        <w:t xml:space="preserve">, </w:t>
      </w:r>
      <w:proofErr w:type="spellStart"/>
      <w:r w:rsidR="006C72BF">
        <w:t>FireWall</w:t>
      </w:r>
      <w:proofErr w:type="spellEnd"/>
      <w:r w:rsidR="006C72BF">
        <w:t xml:space="preserve"> atd.)</w:t>
      </w:r>
      <w:r w:rsidR="00AC56FF">
        <w:t xml:space="preserve">, aby </w:t>
      </w:r>
      <w:r w:rsidR="006C72BF">
        <w:t xml:space="preserve">vždy </w:t>
      </w:r>
      <w:r w:rsidR="00AC56FF">
        <w:t>došlo k doručení elektronické pošty</w:t>
      </w:r>
      <w:r w:rsidR="006C72BF">
        <w:t xml:space="preserve"> Poskytovatele, a tato nebyla vyhodnocena jako spam.</w:t>
      </w:r>
      <w:r w:rsidR="00AC56FF">
        <w:t xml:space="preserve"> </w:t>
      </w:r>
      <w:r w:rsidR="006C72BF">
        <w:t xml:space="preserve">Pokud </w:t>
      </w:r>
      <w:r w:rsidR="00B325C8">
        <w:t xml:space="preserve">takováto opatření nebudou provedena, </w:t>
      </w:r>
      <w:r w:rsidR="00AC56FF">
        <w:t>považuje</w:t>
      </w:r>
      <w:r w:rsidR="00B325C8">
        <w:t xml:space="preserve"> se</w:t>
      </w:r>
      <w:r w:rsidR="00057CAE">
        <w:t xml:space="preserve"> </w:t>
      </w:r>
      <w:r w:rsidR="006C72BF">
        <w:t>Výzva k úhradě i D</w:t>
      </w:r>
      <w:r w:rsidR="00AC56FF">
        <w:t>aňový doklad za doručen</w:t>
      </w:r>
      <w:r w:rsidR="006C72BF">
        <w:t>é</w:t>
      </w:r>
      <w:r w:rsidR="00B325C8">
        <w:t xml:space="preserve"> jejich odesláním</w:t>
      </w:r>
      <w:r w:rsidR="00AC56FF">
        <w:t>.</w:t>
      </w:r>
    </w:p>
    <w:p w14:paraId="0FEC5CEA" w14:textId="77777777" w:rsidR="00BC3B36" w:rsidRDefault="00A73B1A" w:rsidP="00BC3B36">
      <w:pPr>
        <w:pStyle w:val="Nadpis1"/>
      </w:pPr>
      <w:r w:rsidRPr="00BC3B36">
        <w:lastRenderedPageBreak/>
        <w:t>Smluvní pokuta</w:t>
      </w:r>
    </w:p>
    <w:p w14:paraId="379610C5" w14:textId="7267AB88" w:rsidR="00BC3B36" w:rsidRDefault="00A73B1A" w:rsidP="00EA519B">
      <w:pPr>
        <w:pStyle w:val="Nadpis2"/>
      </w:pPr>
      <w:r w:rsidRPr="00BC3B36">
        <w:t xml:space="preserve">V případě, že se Poskytovatel dostane do prodlení s vyřešením požadavku Klienta s nejvyšší důležitostí podle odstavce </w:t>
      </w:r>
      <w:r w:rsidR="00055AD8">
        <w:fldChar w:fldCharType="begin"/>
      </w:r>
      <w:r w:rsidR="00055AD8">
        <w:instrText xml:space="preserve"> REF _Ref508011021 \r \h </w:instrText>
      </w:r>
      <w:r w:rsidR="00055AD8">
        <w:fldChar w:fldCharType="separate"/>
      </w:r>
      <w:r w:rsidR="00055AD8">
        <w:t>6.1</w:t>
      </w:r>
      <w:r w:rsidR="00055AD8">
        <w:fldChar w:fldCharType="end"/>
      </w:r>
      <w:r w:rsidRPr="00BC3B36">
        <w:t xml:space="preserve"> této Smlouvy, zavazuje se Klientovi zaplatit smluvní pokutu ve </w:t>
      </w:r>
      <w:r w:rsidRPr="004B2816">
        <w:t xml:space="preserve">výši </w:t>
      </w:r>
      <w:r w:rsidR="00EA519B" w:rsidRPr="004B2816">
        <w:t>5</w:t>
      </w:r>
      <w:r w:rsidR="001F169D">
        <w:t xml:space="preserve"> </w:t>
      </w:r>
      <w:r w:rsidR="00EA519B" w:rsidRPr="004B2816">
        <w:t xml:space="preserve">000 Kč </w:t>
      </w:r>
      <w:r w:rsidRPr="00BC3B36">
        <w:t>(Slovy:</w:t>
      </w:r>
      <w:r w:rsidR="00EA519B">
        <w:t xml:space="preserve"> </w:t>
      </w:r>
      <w:proofErr w:type="spellStart"/>
      <w:r w:rsidR="00EA519B">
        <w:t>P</w:t>
      </w:r>
      <w:r w:rsidR="004B2816">
        <w:t>ě</w:t>
      </w:r>
      <w:r w:rsidR="00EA519B">
        <w:t>ttisíc</w:t>
      </w:r>
      <w:proofErr w:type="spellEnd"/>
      <w:r w:rsidR="00EA519B">
        <w:t xml:space="preserve"> korun českých</w:t>
      </w:r>
      <w:r w:rsidRPr="00BC3B36">
        <w:t xml:space="preserve">) za </w:t>
      </w:r>
      <w:r w:rsidR="00EA519B">
        <w:t xml:space="preserve">každý započatý den </w:t>
      </w:r>
      <w:r w:rsidRPr="00BC3B36">
        <w:t>prodlení až do vyřešení daného požadavku Klienta.</w:t>
      </w:r>
    </w:p>
    <w:p w14:paraId="130E3135" w14:textId="690CEC57" w:rsidR="00BC3B36" w:rsidRDefault="00A73B1A" w:rsidP="00EA519B">
      <w:pPr>
        <w:pStyle w:val="Nadpis2"/>
      </w:pPr>
      <w:r w:rsidRPr="00BC3B36">
        <w:t xml:space="preserve">V případě, že se Poskytovatel dostane do prodlení s vyřešením požadavku Klienta s vysokou důležitostí podle odstavce </w:t>
      </w:r>
      <w:r w:rsidR="00055AD8">
        <w:fldChar w:fldCharType="begin"/>
      </w:r>
      <w:r w:rsidR="00055AD8">
        <w:instrText xml:space="preserve"> REF _Ref508011072 \r \h </w:instrText>
      </w:r>
      <w:r w:rsidR="00055AD8">
        <w:fldChar w:fldCharType="separate"/>
      </w:r>
      <w:r w:rsidR="00055AD8">
        <w:t>6.2</w:t>
      </w:r>
      <w:r w:rsidR="00055AD8">
        <w:fldChar w:fldCharType="end"/>
      </w:r>
      <w:r w:rsidRPr="00BC3B36">
        <w:t xml:space="preserve"> této Smlouvy, zavazuje se Klientovi zaplatit smluvní pokutu ve </w:t>
      </w:r>
      <w:r w:rsidRPr="004B2816">
        <w:t xml:space="preserve">výši </w:t>
      </w:r>
      <w:r w:rsidR="00EA519B" w:rsidRPr="004B2816">
        <w:t>2</w:t>
      </w:r>
      <w:r w:rsidR="004B2816">
        <w:t xml:space="preserve"> </w:t>
      </w:r>
      <w:r w:rsidR="00EA519B" w:rsidRPr="004B2816">
        <w:t xml:space="preserve">500 Kč </w:t>
      </w:r>
      <w:r w:rsidRPr="00BC3B36">
        <w:t xml:space="preserve">(Slovy: </w:t>
      </w:r>
      <w:proofErr w:type="spellStart"/>
      <w:r w:rsidR="004B2816">
        <w:t>Dvatisícepětset</w:t>
      </w:r>
      <w:proofErr w:type="spellEnd"/>
      <w:r w:rsidR="00EA519B">
        <w:t xml:space="preserve"> korun českých</w:t>
      </w:r>
      <w:r w:rsidRPr="00BC3B36">
        <w:t xml:space="preserve">) za </w:t>
      </w:r>
      <w:r w:rsidR="00EA519B">
        <w:t xml:space="preserve">započatý den </w:t>
      </w:r>
      <w:r w:rsidRPr="00BC3B36">
        <w:t>prodlení až do vyřešení daného požadavku Klienta.</w:t>
      </w:r>
    </w:p>
    <w:p w14:paraId="2282775A" w14:textId="14C2BDAB" w:rsidR="00BC3B36" w:rsidRDefault="00A73B1A" w:rsidP="00EA519B">
      <w:pPr>
        <w:pStyle w:val="Nadpis2"/>
      </w:pPr>
      <w:r w:rsidRPr="00BC3B36">
        <w:t xml:space="preserve">V případě, že se Poskytovatel dostane do prodlení s vyřešením požadavku Klienta se střední důležitostí podle odstavce </w:t>
      </w:r>
      <w:r w:rsidR="00055AD8">
        <w:fldChar w:fldCharType="begin"/>
      </w:r>
      <w:r w:rsidR="00055AD8">
        <w:instrText xml:space="preserve"> REF _Ref508011095 \r \h </w:instrText>
      </w:r>
      <w:r w:rsidR="00055AD8">
        <w:fldChar w:fldCharType="separate"/>
      </w:r>
      <w:r w:rsidR="00055AD8">
        <w:t>6.3</w:t>
      </w:r>
      <w:r w:rsidR="00055AD8">
        <w:fldChar w:fldCharType="end"/>
      </w:r>
      <w:r w:rsidR="00055AD8">
        <w:t xml:space="preserve"> </w:t>
      </w:r>
      <w:r w:rsidRPr="00BC3B36">
        <w:t xml:space="preserve">této Smlouvy, zavazuje se Klientovi zaplatit smluvní pokutu </w:t>
      </w:r>
      <w:r w:rsidRPr="004B2816">
        <w:t xml:space="preserve">ve výši </w:t>
      </w:r>
      <w:r w:rsidR="00EA519B" w:rsidRPr="004B2816">
        <w:t xml:space="preserve">1 000 Kč </w:t>
      </w:r>
      <w:r w:rsidRPr="00BC3B36">
        <w:t xml:space="preserve">(Slovy: </w:t>
      </w:r>
      <w:proofErr w:type="spellStart"/>
      <w:r w:rsidR="004B2816">
        <w:t>Jeden</w:t>
      </w:r>
      <w:r w:rsidR="00EA519B">
        <w:t>tisíc</w:t>
      </w:r>
      <w:proofErr w:type="spellEnd"/>
      <w:r w:rsidR="00EA519B">
        <w:t xml:space="preserve"> korun českých</w:t>
      </w:r>
      <w:r w:rsidRPr="00BC3B36">
        <w:t>) za prodlení až do vyřešení daného požadavku Klienta.</w:t>
      </w:r>
    </w:p>
    <w:p w14:paraId="0C5CED80" w14:textId="77777777" w:rsidR="00BC3B36" w:rsidRDefault="00A73B1A" w:rsidP="00EA519B">
      <w:pPr>
        <w:pStyle w:val="Nadpis1"/>
      </w:pPr>
      <w:r w:rsidRPr="00BC3B36">
        <w:t>Odpovědnost za škodu</w:t>
      </w:r>
    </w:p>
    <w:p w14:paraId="64100B76" w14:textId="1872BA93" w:rsidR="00BC3B36" w:rsidRDefault="00A73B1A" w:rsidP="00EA519B">
      <w:pPr>
        <w:pStyle w:val="Nadpis2"/>
      </w:pPr>
      <w:bookmarkStart w:id="21" w:name="_Hlk514665714"/>
      <w:r w:rsidRPr="00BC3B36">
        <w:t xml:space="preserve">Smluvní strany tímto ujednávají limitaci náhrady škody neúmyslně způsobené Poskytovatelem Klientovi porušením jakékoliv povinnosti Poskytovatele uvedené v této Smlouvě do </w:t>
      </w:r>
      <w:r w:rsidR="007D196F">
        <w:t xml:space="preserve">hodnoty </w:t>
      </w:r>
      <w:r w:rsidR="00BB098F">
        <w:t xml:space="preserve">poloviny </w:t>
      </w:r>
      <w:r w:rsidRPr="00BC3B36">
        <w:t xml:space="preserve">celkové </w:t>
      </w:r>
      <w:r w:rsidR="00A25943">
        <w:t>roční platby dle této Smlouvy</w:t>
      </w:r>
      <w:r w:rsidRPr="00BC3B36">
        <w:t>.</w:t>
      </w:r>
      <w:bookmarkEnd w:id="21"/>
    </w:p>
    <w:p w14:paraId="56949508" w14:textId="77777777" w:rsidR="00BC3B36" w:rsidRDefault="00A73B1A" w:rsidP="0048083D">
      <w:pPr>
        <w:pStyle w:val="Nadpis1"/>
      </w:pPr>
      <w:r w:rsidRPr="00BC3B36">
        <w:t>Trvání a ukončení Smlouvy</w:t>
      </w:r>
    </w:p>
    <w:p w14:paraId="1D264965" w14:textId="279598DB" w:rsidR="00BC3B36" w:rsidRDefault="00A73B1A" w:rsidP="0048083D">
      <w:pPr>
        <w:pStyle w:val="Nadpis2"/>
      </w:pPr>
      <w:r w:rsidRPr="00BC3B36">
        <w:t xml:space="preserve">Tato Smlouva je uzavřena na dobu </w:t>
      </w:r>
      <w:r w:rsidR="00F055A4">
        <w:t>neurčitou</w:t>
      </w:r>
      <w:r w:rsidRPr="00BC3B36">
        <w:t>.</w:t>
      </w:r>
    </w:p>
    <w:p w14:paraId="60DA7A56" w14:textId="26256A5F" w:rsidR="00BB098F" w:rsidRDefault="00A73B1A" w:rsidP="0048083D">
      <w:pPr>
        <w:pStyle w:val="Nadpis2"/>
      </w:pPr>
      <w:r w:rsidRPr="00BC3B36">
        <w:t xml:space="preserve">Kterákoliv Smluvní strana má právo tuto Smlouvu vypovědět písemnou výpovědí s výpovědní lhůtou </w:t>
      </w:r>
      <w:r w:rsidR="00A26154">
        <w:t>1 měsíc</w:t>
      </w:r>
      <w:r w:rsidRPr="00BC3B36">
        <w:t xml:space="preserve">, která počíná běžet </w:t>
      </w:r>
      <w:r w:rsidR="00440966" w:rsidRPr="00AC6B5A">
        <w:t>prvním dnem měsíce následujícího po</w:t>
      </w:r>
      <w:r w:rsidR="00440966">
        <w:rPr>
          <w:color w:val="FF0000"/>
        </w:rPr>
        <w:t xml:space="preserve"> </w:t>
      </w:r>
      <w:r w:rsidR="00440966">
        <w:t>měsíci</w:t>
      </w:r>
      <w:r w:rsidR="00440966" w:rsidRPr="00BC3B36">
        <w:t>,</w:t>
      </w:r>
      <w:r w:rsidRPr="00BC3B36">
        <w:t xml:space="preserve"> ve kterém je výpověď doručena druhé Smluvní straně.</w:t>
      </w:r>
      <w:r w:rsidR="00E26F40">
        <w:t xml:space="preserve"> Již zaplacená Odměna se v tomto případě nevrací. Pokud Odměna nebyla včas uhrazena, je povinen ji Klient uhradit v plné výši.</w:t>
      </w:r>
    </w:p>
    <w:p w14:paraId="38941C7F" w14:textId="77777777" w:rsidR="00BC3B36" w:rsidRDefault="00A73B1A" w:rsidP="0048083D">
      <w:pPr>
        <w:pStyle w:val="Nadpis1"/>
      </w:pPr>
      <w:r w:rsidRPr="00BC3B36">
        <w:t>Povinnost mlčenlivosti</w:t>
      </w:r>
    </w:p>
    <w:p w14:paraId="2515F327" w14:textId="77777777" w:rsidR="00BC3B36" w:rsidRDefault="00A73B1A" w:rsidP="0048083D">
      <w:pPr>
        <w:pStyle w:val="Nadpis2"/>
      </w:pPr>
      <w:bookmarkStart w:id="22" w:name="_Ref508011350"/>
      <w:r w:rsidRPr="00BC3B36">
        <w:t>Poskytovatel se zavazuje, že nezpřístupní ani nepoužije žádnou informaci obchodní a/nebo výrobní povahy, se kterou se seznámí v souvislosti s plněním této Smlouvy, zejména nezpřístupní ani nepoužije:</w:t>
      </w:r>
      <w:bookmarkEnd w:id="22"/>
    </w:p>
    <w:p w14:paraId="561DEFCA" w14:textId="77777777" w:rsidR="00BC3B36" w:rsidRDefault="00A73B1A" w:rsidP="0048083D">
      <w:pPr>
        <w:pStyle w:val="Nadpis3"/>
      </w:pPr>
      <w:r w:rsidRPr="00BC3B36">
        <w:t>žádnou takovou informaci obsaženou v této Smlouvě,</w:t>
      </w:r>
    </w:p>
    <w:p w14:paraId="5585034E" w14:textId="77777777" w:rsidR="00BC3B36" w:rsidRDefault="00A73B1A" w:rsidP="0048083D">
      <w:pPr>
        <w:pStyle w:val="Nadpis3"/>
      </w:pPr>
      <w:r w:rsidRPr="00BC3B36">
        <w:lastRenderedPageBreak/>
        <w:t>databázi zákazníků Klienta ani kontakty na ně,</w:t>
      </w:r>
      <w:r w:rsidR="00055AD8">
        <w:t xml:space="preserve"> obzvláště osobní údaje zákazníků Klienta</w:t>
      </w:r>
    </w:p>
    <w:p w14:paraId="6ADCA8E4" w14:textId="77777777" w:rsidR="00BC3B36" w:rsidRDefault="00A73B1A" w:rsidP="0048083D">
      <w:pPr>
        <w:pStyle w:val="Nadpis3"/>
      </w:pPr>
      <w:r w:rsidRPr="00BC3B36">
        <w:t>cenovou politiku Klienta,</w:t>
      </w:r>
    </w:p>
    <w:p w14:paraId="2E481FB3" w14:textId="77777777" w:rsidR="00BC3B36" w:rsidRDefault="00A73B1A" w:rsidP="0048083D">
      <w:pPr>
        <w:pStyle w:val="Nadpis3"/>
      </w:pPr>
      <w:r w:rsidRPr="00BC3B36">
        <w:t>marketingovou strategii Klienta,</w:t>
      </w:r>
    </w:p>
    <w:p w14:paraId="1FF4ED05" w14:textId="77777777" w:rsidR="00BC3B36" w:rsidRDefault="00A73B1A" w:rsidP="0048083D">
      <w:pPr>
        <w:pStyle w:val="Nadpis3"/>
      </w:pPr>
      <w:r w:rsidRPr="00BC3B36">
        <w:t>informace o uzavřených smlouvách a dodavatelích Klienta,</w:t>
      </w:r>
    </w:p>
    <w:p w14:paraId="1235AE3D" w14:textId="77777777" w:rsidR="00BC3B36" w:rsidRDefault="00A73B1A" w:rsidP="0048083D">
      <w:pPr>
        <w:pStyle w:val="Nadpis3"/>
      </w:pPr>
      <w:r w:rsidRPr="00BC3B36">
        <w:t>způsob fungování podniku Klienta,</w:t>
      </w:r>
    </w:p>
    <w:p w14:paraId="306A1056" w14:textId="77777777" w:rsidR="00BC3B36" w:rsidRDefault="00A73B1A" w:rsidP="00BC3B36">
      <w:pPr>
        <w:pStyle w:val="Nadpis3"/>
      </w:pPr>
      <w:r w:rsidRPr="00BC3B36">
        <w:t>strategická rozhodnutí a podnikatelské záměry Klienta</w:t>
      </w:r>
      <w:r w:rsidR="0048083D">
        <w:t xml:space="preserve"> </w:t>
      </w:r>
      <w:r w:rsidRPr="00BC3B36">
        <w:t>(dále jen „</w:t>
      </w:r>
      <w:r w:rsidRPr="00654BD3">
        <w:rPr>
          <w:b/>
        </w:rPr>
        <w:t>Důvěrná informace</w:t>
      </w:r>
      <w:r w:rsidRPr="00BC3B36">
        <w:t>“).</w:t>
      </w:r>
    </w:p>
    <w:p w14:paraId="7001733A" w14:textId="77777777" w:rsidR="00BC3B36" w:rsidRDefault="00A73B1A" w:rsidP="0048083D">
      <w:pPr>
        <w:pStyle w:val="Nadpis2"/>
      </w:pPr>
      <w:r w:rsidRPr="00BC3B36">
        <w:t xml:space="preserve">Povinnost mlčenlivosti podle odstavce </w:t>
      </w:r>
      <w:r w:rsidR="00055AD8">
        <w:fldChar w:fldCharType="begin"/>
      </w:r>
      <w:r w:rsidR="00055AD8">
        <w:instrText xml:space="preserve"> REF _Ref508011350 \r \h </w:instrText>
      </w:r>
      <w:r w:rsidR="00055AD8">
        <w:fldChar w:fldCharType="separate"/>
      </w:r>
      <w:r w:rsidR="00055AD8">
        <w:t>13.1</w:t>
      </w:r>
      <w:r w:rsidR="00055AD8">
        <w:fldChar w:fldCharType="end"/>
      </w:r>
      <w:r w:rsidRPr="00BC3B36">
        <w:t xml:space="preserve"> této Smlouvy platí s výjimkou případů, kdy:</w:t>
      </w:r>
    </w:p>
    <w:p w14:paraId="02AE7CEC" w14:textId="77777777" w:rsidR="00BC3B36" w:rsidRDefault="00A73B1A" w:rsidP="0048083D">
      <w:pPr>
        <w:pStyle w:val="Nadpis3"/>
      </w:pPr>
      <w:r w:rsidRPr="00BC3B36">
        <w:t>Klient udělil předchozí písemný souhlas s takovým zpřístupněním nebo použitím Důvěrné informace,</w:t>
      </w:r>
    </w:p>
    <w:p w14:paraId="7AFB1F28" w14:textId="77777777" w:rsidR="00BC3B36" w:rsidRDefault="00A73B1A" w:rsidP="0048083D">
      <w:pPr>
        <w:pStyle w:val="Nadpis3"/>
      </w:pPr>
      <w:r w:rsidRPr="00BC3B36">
        <w:t>právní předpis nebo veřejnoprávní orgán stanoví povinnost zpřístupnit nebo použít Důvěrnou informaci,</w:t>
      </w:r>
    </w:p>
    <w:p w14:paraId="0EE72EEF" w14:textId="77777777" w:rsidR="00BC3B36" w:rsidRDefault="00A73B1A" w:rsidP="0048083D">
      <w:pPr>
        <w:pStyle w:val="Nadpis3"/>
      </w:pPr>
      <w:r w:rsidRPr="00BC3B36">
        <w:t>takové zpřístupnění nebo použití Důvěrné informace je nezbytné pro realizaci této Smlouvy,</w:t>
      </w:r>
    </w:p>
    <w:p w14:paraId="56003282" w14:textId="77777777" w:rsidR="00BC3B36" w:rsidRDefault="00A73B1A" w:rsidP="0048083D">
      <w:pPr>
        <w:pStyle w:val="Nadpis3"/>
      </w:pPr>
      <w:r w:rsidRPr="00BC3B36">
        <w:t>je to podle jakékoliv smlouvy nebo dohody uzavřené mezi Smluvními stranami</w:t>
      </w:r>
      <w:r w:rsidR="00E26F40">
        <w:t xml:space="preserve"> nebo Klientem a</w:t>
      </w:r>
      <w:r w:rsidRPr="00BC3B36">
        <w:t xml:space="preserve"> </w:t>
      </w:r>
      <w:r w:rsidR="00E26F40">
        <w:t xml:space="preserve">jeho Dodavatelem </w:t>
      </w:r>
      <w:r w:rsidRPr="00BC3B36">
        <w:t>dovoleno.</w:t>
      </w:r>
    </w:p>
    <w:p w14:paraId="609E7B18" w14:textId="77777777" w:rsidR="00BC3B36" w:rsidRDefault="00A73B1A" w:rsidP="0048083D">
      <w:pPr>
        <w:pStyle w:val="Nadpis2"/>
      </w:pPr>
      <w:r w:rsidRPr="00BC3B36">
        <w:t>Mezi Důvěrné informace nepatří žádné informace, které jsou v době jejich zpřístupnění nebo použití běžně dostupné veřejnosti.</w:t>
      </w:r>
    </w:p>
    <w:p w14:paraId="3AE527B4" w14:textId="77777777" w:rsidR="00BC3B36" w:rsidRDefault="00A73B1A" w:rsidP="0048083D">
      <w:pPr>
        <w:pStyle w:val="Nadpis2"/>
      </w:pPr>
      <w:r w:rsidRPr="00BC3B36">
        <w:t>Klient tímto dává Poskytovateli souhlas k tomu, aby jej Poskytovatel uváděl jako svého zákazníka.</w:t>
      </w:r>
    </w:p>
    <w:p w14:paraId="0430F205" w14:textId="77777777" w:rsidR="00BC3B36" w:rsidRDefault="00A73B1A" w:rsidP="0048083D">
      <w:pPr>
        <w:pStyle w:val="Nadpis2"/>
      </w:pPr>
      <w:r w:rsidRPr="00BC3B36">
        <w:t>Poskytovatel bere na vědomí, že Důvěrné informace tvoří obchodní tajemství Klienta.</w:t>
      </w:r>
    </w:p>
    <w:p w14:paraId="64C1642F" w14:textId="77777777" w:rsidR="00BC3B36" w:rsidRDefault="00A73B1A" w:rsidP="0048083D">
      <w:pPr>
        <w:pStyle w:val="Nadpis1"/>
      </w:pPr>
      <w:r w:rsidRPr="00BC3B36">
        <w:t>Vyšší moc</w:t>
      </w:r>
    </w:p>
    <w:p w14:paraId="6CEE3D96" w14:textId="77777777" w:rsidR="00440966" w:rsidRPr="00440966" w:rsidRDefault="00440966" w:rsidP="00440966">
      <w:pPr>
        <w:pStyle w:val="Nadpis2"/>
      </w:pPr>
      <w:r w:rsidRPr="00440966">
        <w:t xml:space="preserve">Smluvní strany se zprošťují veškeré odpovědnosti za porušení smluvní povinnosti dle </w:t>
      </w:r>
      <w:proofErr w:type="spellStart"/>
      <w:r w:rsidRPr="00440966">
        <w:t>ust</w:t>
      </w:r>
      <w:proofErr w:type="spellEnd"/>
      <w:r w:rsidRPr="00440966">
        <w:t xml:space="preserve">. § 2913 odst. 2) OZ. </w:t>
      </w:r>
    </w:p>
    <w:p w14:paraId="66CA39B3" w14:textId="34412CCF" w:rsidR="00BC3B36" w:rsidRDefault="00A73B1A" w:rsidP="0048083D">
      <w:pPr>
        <w:pStyle w:val="Nadpis2"/>
        <w:widowControl w:val="0"/>
        <w:numPr>
          <w:ilvl w:val="1"/>
          <w:numId w:val="4"/>
        </w:numPr>
      </w:pPr>
      <w:r w:rsidRPr="00BC3B36"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</w:t>
      </w:r>
      <w:r w:rsidR="00440966">
        <w:t xml:space="preserve">. </w:t>
      </w:r>
      <w:r w:rsidR="00440966" w:rsidRPr="006F06A9">
        <w:t xml:space="preserve">Za vyšší moc jsou pro účely této Smlouvy považovány i události technického a technologického charakteru, které jsou mimo </w:t>
      </w:r>
      <w:r w:rsidR="00440966" w:rsidRPr="006F06A9">
        <w:lastRenderedPageBreak/>
        <w:t>jakoukoliv kontrolu Smluvních stran.</w:t>
      </w:r>
    </w:p>
    <w:p w14:paraId="771478B7" w14:textId="50E5D795" w:rsidR="00BC3B36" w:rsidRDefault="0023343B" w:rsidP="0023343B">
      <w:pPr>
        <w:pStyle w:val="Nadpis2"/>
      </w:pPr>
      <w:r>
        <w:t xml:space="preserve">Po dobu trvání mimořádné, nepředvídatelné a nepřekonatelné překážky (vyšší moci) </w:t>
      </w:r>
      <w:r w:rsidR="00A73B1A" w:rsidRPr="00BC3B36">
        <w:t>plnění závazků podle této Smlouvy pozastavuje do doby odstranění následků vyšší moci.</w:t>
      </w:r>
    </w:p>
    <w:p w14:paraId="67680BE0" w14:textId="77777777" w:rsidR="00BC3B36" w:rsidRDefault="00A73B1A" w:rsidP="0048083D">
      <w:pPr>
        <w:pStyle w:val="Nadpis1"/>
      </w:pPr>
      <w:r w:rsidRPr="00BC3B36">
        <w:t>Rozhodné právo</w:t>
      </w:r>
    </w:p>
    <w:p w14:paraId="1D9C72E8" w14:textId="77777777" w:rsidR="00BC3B36" w:rsidRDefault="00A73B1A" w:rsidP="0048083D">
      <w:pPr>
        <w:pStyle w:val="Nadpis2"/>
      </w:pPr>
      <w:r w:rsidRPr="00BC3B36">
        <w:t>Tato Smlouva se řídí právním řádem České republiky, zejména zák. č. 89/2012 Sb., občanský zákoník, ve znění pozdějších předpisů.</w:t>
      </w:r>
    </w:p>
    <w:p w14:paraId="15F102A7" w14:textId="77777777" w:rsidR="00BC3B36" w:rsidRDefault="00A73B1A" w:rsidP="0048083D">
      <w:pPr>
        <w:pStyle w:val="Nadpis1"/>
      </w:pPr>
      <w:r w:rsidRPr="00BC3B36">
        <w:t>Závěrečná ustanovení</w:t>
      </w:r>
    </w:p>
    <w:p w14:paraId="59FF8860" w14:textId="77777777" w:rsidR="00BC3B36" w:rsidRDefault="00A73B1A" w:rsidP="0048083D">
      <w:pPr>
        <w:pStyle w:val="Nadpis2"/>
      </w:pPr>
      <w:r w:rsidRPr="00BC3B36">
        <w:t>V této Smlouvě, pokud z kontextu jasně nevyplývá jinak, zahrnuje význam slova v jednotném čísle rovněž význam daného slova v množném čísle a naopak, význam slova vyjadřujícího určitý rod zahrnuje rovněž ostatní rody. Nadpisy jsou uváděny pouze pro přehlednost a nemají vliv na výklad této Smlouvy.</w:t>
      </w:r>
      <w:r w:rsidR="00E26F40">
        <w:t xml:space="preserve"> Zkratka či pojem má význam obvykle mu přikládaný v oblasti informačních a komunikačních technologií</w:t>
      </w:r>
      <w:r w:rsidR="001B10D0">
        <w:t>.</w:t>
      </w:r>
    </w:p>
    <w:p w14:paraId="3B1F9E32" w14:textId="77777777" w:rsidR="00BC3B36" w:rsidRDefault="00A73B1A" w:rsidP="0048083D">
      <w:pPr>
        <w:pStyle w:val="Nadpis2"/>
      </w:pPr>
      <w:r w:rsidRPr="00BC3B36"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14:paraId="4704BD67" w14:textId="77777777" w:rsidR="00BC3B36" w:rsidRDefault="00A73B1A" w:rsidP="0048083D">
      <w:pPr>
        <w:pStyle w:val="Nadpis2"/>
      </w:pPr>
      <w:r w:rsidRPr="00BC3B36">
        <w:t>Tato Smlouva představuje úplné ujednání mezi Smluvními stranami ve vztahu k předmětu této Smlouvy a nahrazuje veškerá předchozí ujednání ohledně předmětu této Smlouvy.</w:t>
      </w:r>
    </w:p>
    <w:p w14:paraId="1BE2FF12" w14:textId="77777777" w:rsidR="00BC3B36" w:rsidRDefault="00A73B1A" w:rsidP="0048083D">
      <w:pPr>
        <w:pStyle w:val="Nadpis2"/>
      </w:pPr>
      <w:r w:rsidRPr="00BC3B36">
        <w:t>Tato Smlouva může být změněna písemnými dodatky podepsanými všemi Smluvními stranami.</w:t>
      </w:r>
    </w:p>
    <w:p w14:paraId="6E602988" w14:textId="77777777" w:rsidR="00E26F40" w:rsidRDefault="00E26F40" w:rsidP="00E26F40">
      <w:pPr>
        <w:pStyle w:val="Nadpis2"/>
      </w:pPr>
      <w:bookmarkStart w:id="23" w:name="_Hlk508026414"/>
      <w:r w:rsidRPr="00E26F40">
        <w:t xml:space="preserve">V případě sporu se stává místem konání soudní pře místo příslušné sídlu </w:t>
      </w:r>
      <w:r>
        <w:t>Poskytovatele.</w:t>
      </w:r>
    </w:p>
    <w:p w14:paraId="7A2637FF" w14:textId="77777777" w:rsidR="00E26F40" w:rsidRDefault="00E26F40" w:rsidP="00E26F40">
      <w:pPr>
        <w:pStyle w:val="Nadpis2"/>
      </w:pPr>
      <w:r w:rsidRPr="00E26F40">
        <w:t>Vzájemné nároky jsou smluvní strany povinny vypořádat nejpozději do 30 dnů od skončení platnosti smlouvy</w:t>
      </w:r>
    </w:p>
    <w:bookmarkEnd w:id="23"/>
    <w:p w14:paraId="273F1990" w14:textId="77777777" w:rsidR="00BC3B36" w:rsidRDefault="00A73B1A" w:rsidP="0048083D">
      <w:pPr>
        <w:pStyle w:val="Nadpis2"/>
      </w:pPr>
      <w:r w:rsidRPr="00BC3B36">
        <w:t>Tato Smlouva je vyhotovena ve 2 stejnopisech. Každá Smluvní strana obdrží 1 stejnopis této Smlouvy.</w:t>
      </w:r>
    </w:p>
    <w:p w14:paraId="3AC480C1" w14:textId="77777777" w:rsidR="00BC3B36" w:rsidRDefault="00A73B1A" w:rsidP="0048083D">
      <w:pPr>
        <w:pStyle w:val="Nadpis2"/>
      </w:pPr>
      <w:r w:rsidRPr="00BC3B36">
        <w:t xml:space="preserve">Každá ze Smluvních stran nese své vlastní náklady vzniklé v důsledku uzavírání této Smlouvy. </w:t>
      </w:r>
    </w:p>
    <w:p w14:paraId="1F8C44FB" w14:textId="77777777" w:rsidR="00BC3B36" w:rsidRDefault="00A73B1A" w:rsidP="0048083D">
      <w:pPr>
        <w:pStyle w:val="Nadpis2"/>
      </w:pPr>
      <w:r w:rsidRPr="00BC3B36">
        <w:lastRenderedPageBreak/>
        <w:t>Tato Smlouva nabývá platnosti a účinnosti v okamžiku jejího podpisu všemi Smluvními stranami.</w:t>
      </w:r>
    </w:p>
    <w:p w14:paraId="633F14FE" w14:textId="41CAD99B" w:rsidR="00BC3B36" w:rsidRDefault="00A73B1A" w:rsidP="00BD61A1">
      <w:pPr>
        <w:pStyle w:val="Nadpis2"/>
      </w:pPr>
      <w:bookmarkStart w:id="24" w:name="_Hlk508026359"/>
      <w:r w:rsidRPr="00BC3B36">
        <w:t xml:space="preserve">Smluvní strany si tuto Smlouvu přečetly, souhlasí s jejím </w:t>
      </w:r>
      <w:r w:rsidR="0023343B" w:rsidRPr="006F06A9">
        <w:t>obsahem a prohlašují</w:t>
      </w:r>
      <w:r w:rsidR="00BD61A1">
        <w:t>,</w:t>
      </w:r>
      <w:r w:rsidR="00BD61A1" w:rsidRPr="00BD61A1">
        <w:t xml:space="preserve"> že jsou k jejímu podpisu oprávněni</w:t>
      </w:r>
      <w:r w:rsidR="00BD61A1">
        <w:t>,</w:t>
      </w:r>
      <w:r w:rsidR="00BD61A1" w:rsidRPr="00BD61A1">
        <w:t xml:space="preserve"> že tato byla sepsána na základě pravdivých údajů</w:t>
      </w:r>
      <w:r w:rsidRPr="00BC3B36">
        <w:t xml:space="preserve">, že je ujednána </w:t>
      </w:r>
      <w:r w:rsidR="00BD61A1">
        <w:t xml:space="preserve">na základě </w:t>
      </w:r>
      <w:r w:rsidR="00BD61A1" w:rsidRPr="00BD61A1">
        <w:t>jejich pravé a svobodné vůle a nebyla ujednána v tísni ani za jinak jednostranně nevýhodných podmíne</w:t>
      </w:r>
      <w:r w:rsidR="001B10D0">
        <w:t>k</w:t>
      </w:r>
      <w:bookmarkEnd w:id="24"/>
      <w:r w:rsidRPr="00BC3B36">
        <w:t>.</w:t>
      </w:r>
      <w:r w:rsidR="0023343B">
        <w:tab/>
      </w:r>
    </w:p>
    <w:p w14:paraId="06153CE1" w14:textId="77777777" w:rsidR="008E2B2B" w:rsidRDefault="008E2B2B" w:rsidP="008E2B2B"/>
    <w:p w14:paraId="77CD26BA" w14:textId="77777777" w:rsidR="008E2B2B" w:rsidRPr="00DB487B" w:rsidRDefault="008E2B2B" w:rsidP="008E2B2B">
      <w:pPr>
        <w:spacing w:after="600"/>
      </w:pPr>
      <w:r w:rsidRPr="00DB487B">
        <w:t xml:space="preserve">NA DŮKAZ ČEHOŽ SMLUVNÍ STRANY PŘIPOJUJÍ SVÉ PODPISY </w:t>
      </w:r>
    </w:p>
    <w:tbl>
      <w:tblPr>
        <w:tblStyle w:val="Svtlmkatabulky"/>
        <w:tblW w:w="5000" w:type="pct"/>
        <w:tblLook w:val="0780" w:firstRow="0" w:lastRow="0" w:firstColumn="1" w:lastColumn="1" w:noHBand="1" w:noVBand="1"/>
      </w:tblPr>
      <w:tblGrid>
        <w:gridCol w:w="3955"/>
        <w:gridCol w:w="1139"/>
        <w:gridCol w:w="3831"/>
      </w:tblGrid>
      <w:tr w:rsidR="008E2B2B" w14:paraId="54C94234" w14:textId="77777777" w:rsidTr="00855032">
        <w:trPr>
          <w:trHeight w:hRule="exact" w:val="624"/>
        </w:trPr>
        <w:tc>
          <w:tcPr>
            <w:tcW w:w="2216" w:type="pct"/>
          </w:tcPr>
          <w:p w14:paraId="1453A71B" w14:textId="77777777" w:rsidR="008E2B2B" w:rsidRPr="00DB487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E02676">
              <w:rPr>
                <w:rFonts w:ascii="Georgia" w:hAnsi="Georgia"/>
                <w:b/>
                <w:sz w:val="22"/>
                <w:szCs w:val="22"/>
              </w:rPr>
              <w:t>Posky</w:t>
            </w:r>
            <w:r w:rsidRPr="007955F5">
              <w:rPr>
                <w:rFonts w:ascii="Georgia" w:hAnsi="Georgia"/>
                <w:b/>
                <w:sz w:val="22"/>
                <w:szCs w:val="22"/>
              </w:rPr>
              <w:t>tov</w:t>
            </w:r>
            <w:r w:rsidR="00E02676">
              <w:rPr>
                <w:rFonts w:ascii="Georgia" w:hAnsi="Georgia"/>
                <w:b/>
                <w:sz w:val="22"/>
                <w:szCs w:val="22"/>
              </w:rPr>
              <w:t>a</w:t>
            </w:r>
            <w:r w:rsidRPr="007955F5">
              <w:rPr>
                <w:rFonts w:ascii="Georgia" w:hAnsi="Georgia"/>
                <w:b/>
                <w:sz w:val="22"/>
                <w:szCs w:val="22"/>
              </w:rPr>
              <w:t>tele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638" w:type="pct"/>
          </w:tcPr>
          <w:p w14:paraId="683E8242" w14:textId="77777777" w:rsidR="008E2B2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46" w:type="pct"/>
          </w:tcPr>
          <w:p w14:paraId="41181ACF" w14:textId="77777777" w:rsidR="008E2B2B" w:rsidRPr="00DB487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E02676">
              <w:rPr>
                <w:rFonts w:ascii="Georgia" w:hAnsi="Georgia"/>
                <w:b/>
                <w:sz w:val="22"/>
                <w:szCs w:val="22"/>
              </w:rPr>
              <w:t>Klienta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</w:tc>
      </w:tr>
      <w:tr w:rsidR="008E2B2B" w14:paraId="4E23EACD" w14:textId="77777777" w:rsidTr="00855032">
        <w:trPr>
          <w:trHeight w:hRule="exact" w:val="454"/>
        </w:trPr>
        <w:tc>
          <w:tcPr>
            <w:tcW w:w="2216" w:type="pct"/>
          </w:tcPr>
          <w:p w14:paraId="47FD97E9" w14:textId="31741089" w:rsidR="008E2B2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  <w:r w:rsidRPr="00DB487B">
              <w:rPr>
                <w:rFonts w:ascii="Georgia" w:hAnsi="Georgia"/>
                <w:sz w:val="22"/>
                <w:szCs w:val="22"/>
              </w:rPr>
              <w:t>V</w:t>
            </w:r>
            <w:r>
              <w:rPr>
                <w:rFonts w:ascii="Georgia" w:hAnsi="Georgia"/>
                <w:sz w:val="22"/>
                <w:szCs w:val="22"/>
              </w:rPr>
              <w:t>e Zlíně</w:t>
            </w:r>
            <w:r w:rsidRPr="00DB487B">
              <w:rPr>
                <w:rFonts w:ascii="Georgia" w:hAnsi="Georgia"/>
                <w:sz w:val="22"/>
                <w:szCs w:val="22"/>
              </w:rPr>
              <w:t xml:space="preserve">, dne </w:t>
            </w:r>
            <w:r>
              <w:rPr>
                <w:rFonts w:ascii="Georgia" w:hAnsi="Georgia"/>
                <w:sz w:val="22"/>
                <w:szCs w:val="22"/>
              </w:rPr>
              <w:t xml:space="preserve">   </w:t>
            </w:r>
            <w:proofErr w:type="gramStart"/>
            <w:r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DB487B">
              <w:rPr>
                <w:rFonts w:ascii="Georgia" w:hAnsi="Georgia"/>
                <w:sz w:val="22"/>
                <w:szCs w:val="22"/>
              </w:rPr>
              <w:t>.</w:t>
            </w:r>
            <w:proofErr w:type="gramEnd"/>
            <w:r>
              <w:rPr>
                <w:rFonts w:ascii="Georgia" w:hAnsi="Georgia"/>
                <w:sz w:val="22"/>
                <w:szCs w:val="22"/>
              </w:rPr>
              <w:t xml:space="preserve">     </w:t>
            </w:r>
            <w:r w:rsidRPr="00DB487B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638" w:type="pct"/>
          </w:tcPr>
          <w:p w14:paraId="66B9A95F" w14:textId="77777777" w:rsidR="008E2B2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46" w:type="pct"/>
          </w:tcPr>
          <w:p w14:paraId="7BA398A5" w14:textId="77777777" w:rsidR="008E2B2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  <w:r w:rsidRPr="00DB487B">
              <w:rPr>
                <w:rFonts w:ascii="Georgia" w:hAnsi="Georgia"/>
                <w:sz w:val="22"/>
                <w:szCs w:val="22"/>
              </w:rPr>
              <w:t xml:space="preserve">V </w:t>
            </w:r>
            <w:r>
              <w:rPr>
                <w:rFonts w:ascii="Georgia" w:hAnsi="Georgia"/>
                <w:sz w:val="22"/>
                <w:szCs w:val="22"/>
              </w:rPr>
              <w:t xml:space="preserve">                          </w:t>
            </w:r>
            <w:proofErr w:type="gramStart"/>
            <w:r>
              <w:rPr>
                <w:rFonts w:ascii="Georgia" w:hAnsi="Georgia"/>
                <w:sz w:val="22"/>
                <w:szCs w:val="22"/>
              </w:rPr>
              <w:t xml:space="preserve">… </w:t>
            </w:r>
            <w:r w:rsidRPr="00DB487B">
              <w:rPr>
                <w:rFonts w:ascii="Georgia" w:hAnsi="Georgia"/>
                <w:sz w:val="22"/>
                <w:szCs w:val="22"/>
              </w:rPr>
              <w:t>,</w:t>
            </w:r>
            <w:proofErr w:type="gramEnd"/>
            <w:r w:rsidRPr="00DB487B">
              <w:rPr>
                <w:rFonts w:ascii="Georgia" w:hAnsi="Georgia"/>
                <w:sz w:val="22"/>
                <w:szCs w:val="22"/>
              </w:rPr>
              <w:t xml:space="preserve"> dne </w:t>
            </w:r>
            <w:r>
              <w:rPr>
                <w:rFonts w:ascii="Georgia" w:hAnsi="Georgia"/>
                <w:sz w:val="22"/>
                <w:szCs w:val="22"/>
              </w:rPr>
              <w:t xml:space="preserve">    </w:t>
            </w:r>
            <w:r w:rsidRPr="00DB487B">
              <w:rPr>
                <w:rFonts w:ascii="Georgia" w:hAnsi="Georgia"/>
                <w:sz w:val="22"/>
                <w:szCs w:val="22"/>
              </w:rPr>
              <w:t>.</w:t>
            </w:r>
            <w:r>
              <w:rPr>
                <w:rFonts w:ascii="Georgia" w:hAnsi="Georgia"/>
                <w:sz w:val="22"/>
                <w:szCs w:val="22"/>
              </w:rPr>
              <w:t xml:space="preserve">     .</w:t>
            </w:r>
          </w:p>
        </w:tc>
      </w:tr>
      <w:tr w:rsidR="008E2B2B" w14:paraId="2AF3BFF3" w14:textId="77777777" w:rsidTr="00855032">
        <w:trPr>
          <w:trHeight w:hRule="exact" w:val="454"/>
        </w:trPr>
        <w:tc>
          <w:tcPr>
            <w:tcW w:w="2216" w:type="pct"/>
            <w:tcBorders>
              <w:bottom w:val="single" w:sz="4" w:space="0" w:color="BFBFBF" w:themeColor="background1" w:themeShade="BF"/>
            </w:tcBorders>
          </w:tcPr>
          <w:p w14:paraId="52F393DC" w14:textId="5995A199" w:rsidR="008E2B2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Jméno a Příjmení:</w:t>
            </w:r>
            <w:r w:rsidR="000843CD">
              <w:rPr>
                <w:rFonts w:ascii="Georgia" w:hAnsi="Georgia"/>
                <w:sz w:val="22"/>
                <w:szCs w:val="22"/>
              </w:rPr>
              <w:t xml:space="preserve"> Ing. Pavel Javora</w:t>
            </w:r>
          </w:p>
        </w:tc>
        <w:tc>
          <w:tcPr>
            <w:tcW w:w="638" w:type="pct"/>
          </w:tcPr>
          <w:p w14:paraId="657C5382" w14:textId="77777777" w:rsidR="008E2B2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46" w:type="pct"/>
            <w:tcBorders>
              <w:bottom w:val="single" w:sz="4" w:space="0" w:color="BFBFBF" w:themeColor="background1" w:themeShade="BF"/>
            </w:tcBorders>
          </w:tcPr>
          <w:p w14:paraId="6D9C9457" w14:textId="3CB05402" w:rsidR="008E2B2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Jméno a </w:t>
            </w:r>
            <w:r w:rsidR="000843CD">
              <w:rPr>
                <w:rFonts w:ascii="Georgia" w:hAnsi="Georgia"/>
                <w:sz w:val="22"/>
                <w:szCs w:val="22"/>
              </w:rPr>
              <w:t>P</w:t>
            </w:r>
            <w:r>
              <w:rPr>
                <w:rFonts w:ascii="Georgia" w:hAnsi="Georgia"/>
                <w:sz w:val="22"/>
                <w:szCs w:val="22"/>
              </w:rPr>
              <w:t>říjmení</w:t>
            </w:r>
            <w:r w:rsidR="000843CD">
              <w:rPr>
                <w:rFonts w:ascii="Georgia" w:hAnsi="Georgia"/>
                <w:sz w:val="22"/>
                <w:szCs w:val="22"/>
              </w:rPr>
              <w:t>:</w:t>
            </w:r>
            <w:r w:rsidR="0060543E">
              <w:rPr>
                <w:rFonts w:ascii="Georgia" w:hAnsi="Georgia"/>
                <w:sz w:val="22"/>
                <w:szCs w:val="22"/>
              </w:rPr>
              <w:t xml:space="preserve"> Ing. Jiří </w:t>
            </w:r>
            <w:proofErr w:type="spellStart"/>
            <w:r w:rsidR="0060543E">
              <w:rPr>
                <w:rFonts w:ascii="Georgia" w:hAnsi="Georgia"/>
                <w:sz w:val="22"/>
                <w:szCs w:val="22"/>
              </w:rPr>
              <w:t>Dio</w:t>
            </w:r>
            <w:proofErr w:type="spellEnd"/>
          </w:p>
        </w:tc>
      </w:tr>
      <w:tr w:rsidR="008E2B2B" w14:paraId="0EEA9AEA" w14:textId="77777777" w:rsidTr="00855032">
        <w:tc>
          <w:tcPr>
            <w:tcW w:w="2216" w:type="pct"/>
            <w:tcBorders>
              <w:bottom w:val="single" w:sz="4" w:space="0" w:color="auto"/>
            </w:tcBorders>
          </w:tcPr>
          <w:p w14:paraId="641787F2" w14:textId="77777777" w:rsidR="008E2B2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  <w:tc>
          <w:tcPr>
            <w:tcW w:w="638" w:type="pct"/>
          </w:tcPr>
          <w:p w14:paraId="75C7315E" w14:textId="77777777" w:rsidR="008E2B2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14:paraId="75BDD6E9" w14:textId="77777777" w:rsidR="008E2B2B" w:rsidRDefault="008E2B2B" w:rsidP="00855032">
            <w:pPr>
              <w:pStyle w:val="Prosttext"/>
              <w:tabs>
                <w:tab w:val="left" w:pos="5103"/>
              </w:tabs>
              <w:spacing w:after="100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945B6A2" w14:textId="539399A2" w:rsidR="008E2B2B" w:rsidRDefault="008E2B2B" w:rsidP="008E2B2B">
      <w:pPr>
        <w:pStyle w:val="Nadpis2"/>
        <w:numPr>
          <w:ilvl w:val="0"/>
          <w:numId w:val="0"/>
        </w:numPr>
      </w:pPr>
    </w:p>
    <w:p w14:paraId="6079AB93" w14:textId="36B80A6F" w:rsidR="0060543E" w:rsidRDefault="0060543E" w:rsidP="008E2B2B">
      <w:pPr>
        <w:pStyle w:val="Nadpis2"/>
        <w:numPr>
          <w:ilvl w:val="0"/>
          <w:numId w:val="0"/>
        </w:numPr>
      </w:pPr>
    </w:p>
    <w:p w14:paraId="4D750A9B" w14:textId="1E24C4B0" w:rsidR="0060543E" w:rsidRDefault="0060543E" w:rsidP="008E2B2B">
      <w:pPr>
        <w:pStyle w:val="Nadpis2"/>
        <w:numPr>
          <w:ilvl w:val="0"/>
          <w:numId w:val="0"/>
        </w:numPr>
      </w:pPr>
    </w:p>
    <w:p w14:paraId="039A4864" w14:textId="50D7DD7F" w:rsidR="0060543E" w:rsidRDefault="0060543E" w:rsidP="008E2B2B">
      <w:pPr>
        <w:pStyle w:val="Nadpis2"/>
        <w:numPr>
          <w:ilvl w:val="0"/>
          <w:numId w:val="0"/>
        </w:numPr>
      </w:pPr>
    </w:p>
    <w:p w14:paraId="045941AF" w14:textId="6F39834E" w:rsidR="0060543E" w:rsidRDefault="0060543E" w:rsidP="008E2B2B">
      <w:pPr>
        <w:pStyle w:val="Nadpis2"/>
        <w:numPr>
          <w:ilvl w:val="0"/>
          <w:numId w:val="0"/>
        </w:numPr>
      </w:pPr>
    </w:p>
    <w:p w14:paraId="0C6F320A" w14:textId="20DF4FEC" w:rsidR="0060543E" w:rsidRDefault="0060543E" w:rsidP="008E2B2B">
      <w:pPr>
        <w:pStyle w:val="Nadpis2"/>
        <w:numPr>
          <w:ilvl w:val="0"/>
          <w:numId w:val="0"/>
        </w:numPr>
      </w:pPr>
    </w:p>
    <w:p w14:paraId="3209E39B" w14:textId="284EF95D" w:rsidR="0060543E" w:rsidRDefault="0060543E" w:rsidP="008E2B2B">
      <w:pPr>
        <w:pStyle w:val="Nadpis2"/>
        <w:numPr>
          <w:ilvl w:val="0"/>
          <w:numId w:val="0"/>
        </w:numPr>
      </w:pPr>
      <w:r>
        <w:t>Příloha č. 1</w:t>
      </w:r>
    </w:p>
    <w:p w14:paraId="78C11BDB" w14:textId="23568DCE" w:rsidR="0060543E" w:rsidRDefault="0060543E" w:rsidP="008E2B2B">
      <w:pPr>
        <w:pStyle w:val="Nadpis2"/>
        <w:numPr>
          <w:ilvl w:val="0"/>
          <w:numId w:val="0"/>
        </w:numPr>
      </w:pP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920"/>
        <w:gridCol w:w="1120"/>
        <w:gridCol w:w="1500"/>
        <w:gridCol w:w="1720"/>
      </w:tblGrid>
      <w:tr w:rsidR="00D92C3A" w:rsidRPr="00D92C3A" w14:paraId="6298DB62" w14:textId="77777777" w:rsidTr="00D92C3A">
        <w:trPr>
          <w:trHeight w:val="600"/>
        </w:trPr>
        <w:tc>
          <w:tcPr>
            <w:tcW w:w="30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72C4"/>
            <w:vAlign w:val="center"/>
            <w:hideMark/>
          </w:tcPr>
          <w:p w14:paraId="62DBE74C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Název aplikace</w:t>
            </w:r>
          </w:p>
        </w:tc>
        <w:tc>
          <w:tcPr>
            <w:tcW w:w="9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72C4"/>
            <w:vAlign w:val="center"/>
            <w:hideMark/>
          </w:tcPr>
          <w:p w14:paraId="29453770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Počet stanic</w:t>
            </w:r>
          </w:p>
        </w:tc>
        <w:tc>
          <w:tcPr>
            <w:tcW w:w="11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72C4"/>
            <w:vAlign w:val="center"/>
            <w:hideMark/>
          </w:tcPr>
          <w:p w14:paraId="5F6C7B95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Cena programu</w:t>
            </w:r>
          </w:p>
        </w:tc>
        <w:tc>
          <w:tcPr>
            <w:tcW w:w="15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72C4"/>
            <w:vAlign w:val="center"/>
            <w:hideMark/>
          </w:tcPr>
          <w:p w14:paraId="5FCDF04C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Cena celkem</w:t>
            </w:r>
          </w:p>
        </w:tc>
        <w:tc>
          <w:tcPr>
            <w:tcW w:w="17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4472C4"/>
            <w:vAlign w:val="center"/>
            <w:hideMark/>
          </w:tcPr>
          <w:p w14:paraId="7A888665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Měsíční poplatek</w:t>
            </w:r>
          </w:p>
        </w:tc>
      </w:tr>
      <w:tr w:rsidR="00D92C3A" w:rsidRPr="00D92C3A" w14:paraId="1131D724" w14:textId="77777777" w:rsidTr="00D92C3A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bottom"/>
            <w:hideMark/>
          </w:tcPr>
          <w:p w14:paraId="1D2520D6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Autoservis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4696A3D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4B1D7E5A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45851484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color w:val="000000"/>
                <w:lang w:eastAsia="cs-CZ"/>
              </w:rPr>
              <w:t>12 000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1D70F348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D92C3A" w:rsidRPr="00D92C3A" w14:paraId="4AA24237" w14:textId="77777777" w:rsidTr="00D92C3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40174C95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Emise CIS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8E1B510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65EC04D8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2A82D119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779C84DE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color w:val="000000"/>
                <w:lang w:eastAsia="cs-CZ"/>
              </w:rPr>
              <w:t>600</w:t>
            </w:r>
          </w:p>
        </w:tc>
      </w:tr>
      <w:tr w:rsidR="00D92C3A" w:rsidRPr="00D92C3A" w14:paraId="1E3F88D8" w14:textId="77777777" w:rsidTr="00D92C3A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4DD324B3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833D65F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37B3D134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086D97CD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bottom"/>
            <w:hideMark/>
          </w:tcPr>
          <w:p w14:paraId="6F655A21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92C3A" w:rsidRPr="00D92C3A" w14:paraId="431D6E78" w14:textId="77777777" w:rsidTr="00D92C3A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8CD5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69FF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3254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A06D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3C40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2C3A" w:rsidRPr="00D92C3A" w14:paraId="737ADB17" w14:textId="77777777" w:rsidTr="00D92C3A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B7F3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D4A0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AE74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780D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5161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2C3A" w:rsidRPr="00D92C3A" w14:paraId="79D0C86B" w14:textId="77777777" w:rsidTr="00D92C3A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4B33EDED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Celkem měsíční poplatek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223B7E95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5F73D9AB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7A725028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0E7A02F9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1 100</w:t>
            </w:r>
          </w:p>
        </w:tc>
      </w:tr>
      <w:tr w:rsidR="00D92C3A" w:rsidRPr="00D92C3A" w14:paraId="294D88F3" w14:textId="77777777" w:rsidTr="00D92C3A">
        <w:trPr>
          <w:trHeight w:val="31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59A5B964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Celkem čtvrtletní poplatek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45C6095E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59624565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2A0D2343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4472C4"/>
            <w:noWrap/>
            <w:vAlign w:val="bottom"/>
            <w:hideMark/>
          </w:tcPr>
          <w:p w14:paraId="550E8693" w14:textId="77777777" w:rsidR="00D92C3A" w:rsidRPr="00D92C3A" w:rsidRDefault="00D92C3A" w:rsidP="00D92C3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D92C3A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  <w:t>3 300</w:t>
            </w:r>
          </w:p>
        </w:tc>
      </w:tr>
    </w:tbl>
    <w:p w14:paraId="4A8AEB61" w14:textId="77777777" w:rsidR="0060543E" w:rsidRDefault="0060543E" w:rsidP="008E2B2B">
      <w:pPr>
        <w:pStyle w:val="Nadpis2"/>
        <w:numPr>
          <w:ilvl w:val="0"/>
          <w:numId w:val="0"/>
        </w:numPr>
      </w:pPr>
    </w:p>
    <w:sectPr w:rsidR="0060543E" w:rsidSect="00791884">
      <w:footerReference w:type="default" r:id="rId12"/>
      <w:pgSz w:w="11906" w:h="16838"/>
      <w:pgMar w:top="1440" w:right="1440" w:bottom="1440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4892D" w14:textId="77777777" w:rsidR="00044C16" w:rsidRDefault="00044C16" w:rsidP="007E0675">
      <w:pPr>
        <w:spacing w:line="240" w:lineRule="auto"/>
      </w:pPr>
      <w:r>
        <w:separator/>
      </w:r>
    </w:p>
  </w:endnote>
  <w:endnote w:type="continuationSeparator" w:id="0">
    <w:p w14:paraId="2ADD9F91" w14:textId="77777777" w:rsidR="00044C16" w:rsidRDefault="00044C16" w:rsidP="007E06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279313"/>
      <w:docPartObj>
        <w:docPartGallery w:val="Page Numbers (Bottom of Page)"/>
        <w:docPartUnique/>
      </w:docPartObj>
    </w:sdtPr>
    <w:sdtEndPr/>
    <w:sdtContent>
      <w:p w14:paraId="600AAC87" w14:textId="7E90485D" w:rsidR="007E0675" w:rsidRDefault="007E06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EB529F" w14:textId="77777777" w:rsidR="007E0675" w:rsidRDefault="007E06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89F12" w14:textId="77777777" w:rsidR="00044C16" w:rsidRDefault="00044C16" w:rsidP="007E0675">
      <w:pPr>
        <w:spacing w:line="240" w:lineRule="auto"/>
      </w:pPr>
      <w:r>
        <w:separator/>
      </w:r>
    </w:p>
  </w:footnote>
  <w:footnote w:type="continuationSeparator" w:id="0">
    <w:p w14:paraId="05667CC9" w14:textId="77777777" w:rsidR="00044C16" w:rsidRDefault="00044C16" w:rsidP="007E06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15E9A"/>
    <w:multiLevelType w:val="multilevel"/>
    <w:tmpl w:val="5712C66A"/>
    <w:styleLink w:val="Styl1"/>
    <w:lvl w:ilvl="0">
      <w:start w:val="1"/>
      <w:numFmt w:val="decimal"/>
      <w:pStyle w:val="Nadpis1"/>
      <w:isLgl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" w15:restartNumberingAfterBreak="0">
    <w:nsid w:val="360758B9"/>
    <w:multiLevelType w:val="multilevel"/>
    <w:tmpl w:val="5712C66A"/>
    <w:numStyleLink w:val="Styl1"/>
  </w:abstractNum>
  <w:abstractNum w:abstractNumId="2" w15:restartNumberingAfterBreak="0">
    <w:nsid w:val="42E10512"/>
    <w:multiLevelType w:val="hybridMultilevel"/>
    <w:tmpl w:val="5B4E4F2A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58462D9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1"/>
    <w:lvlOverride w:ilvl="0">
      <w:lvl w:ilvl="0">
        <w:start w:val="1"/>
        <w:numFmt w:val="decimal"/>
        <w:pStyle w:val="Nadpis1"/>
        <w:isLgl/>
        <w:lvlText w:val="%1"/>
        <w:lvlJc w:val="left"/>
        <w:pPr>
          <w:ind w:left="680" w:hanging="680"/>
        </w:pPr>
        <w:rPr>
          <w:rFonts w:hint="default"/>
        </w:rPr>
      </w:lvl>
    </w:lvlOverride>
  </w:num>
  <w:num w:numId="4">
    <w:abstractNumId w:val="1"/>
    <w:lvlOverride w:ilvl="0">
      <w:lvl w:ilvl="0">
        <w:start w:val="1"/>
        <w:numFmt w:val="decimal"/>
        <w:pStyle w:val="Nadpis1"/>
        <w:isLgl/>
        <w:lvlText w:val="%1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isLgl/>
        <w:lvlText w:val="%1.%2"/>
        <w:lvlJc w:val="left"/>
        <w:pPr>
          <w:ind w:left="680" w:hanging="68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53"/>
    <w:rsid w:val="00044C16"/>
    <w:rsid w:val="00047770"/>
    <w:rsid w:val="00055AD8"/>
    <w:rsid w:val="00057CAE"/>
    <w:rsid w:val="000607EF"/>
    <w:rsid w:val="00081FD0"/>
    <w:rsid w:val="000843CD"/>
    <w:rsid w:val="000967B3"/>
    <w:rsid w:val="00170AB0"/>
    <w:rsid w:val="001B10D0"/>
    <w:rsid w:val="001C253F"/>
    <w:rsid w:val="001D1316"/>
    <w:rsid w:val="001F0C06"/>
    <w:rsid w:val="001F169D"/>
    <w:rsid w:val="001F3D3E"/>
    <w:rsid w:val="0023343B"/>
    <w:rsid w:val="00237F79"/>
    <w:rsid w:val="00244959"/>
    <w:rsid w:val="00295413"/>
    <w:rsid w:val="00333E8A"/>
    <w:rsid w:val="00334012"/>
    <w:rsid w:val="003D77CF"/>
    <w:rsid w:val="00436D79"/>
    <w:rsid w:val="00440966"/>
    <w:rsid w:val="004431D3"/>
    <w:rsid w:val="0048083D"/>
    <w:rsid w:val="00484C8A"/>
    <w:rsid w:val="00491AE2"/>
    <w:rsid w:val="00493731"/>
    <w:rsid w:val="004B2816"/>
    <w:rsid w:val="00511B53"/>
    <w:rsid w:val="00543325"/>
    <w:rsid w:val="00561450"/>
    <w:rsid w:val="005A7FC3"/>
    <w:rsid w:val="005F6244"/>
    <w:rsid w:val="0060543E"/>
    <w:rsid w:val="00654BD3"/>
    <w:rsid w:val="00674407"/>
    <w:rsid w:val="006769BA"/>
    <w:rsid w:val="00696582"/>
    <w:rsid w:val="006A01B4"/>
    <w:rsid w:val="006C5C21"/>
    <w:rsid w:val="006C72BF"/>
    <w:rsid w:val="00736297"/>
    <w:rsid w:val="00791884"/>
    <w:rsid w:val="007A5FEF"/>
    <w:rsid w:val="007B27CD"/>
    <w:rsid w:val="007D196F"/>
    <w:rsid w:val="007D5AF4"/>
    <w:rsid w:val="007E0675"/>
    <w:rsid w:val="00815CDB"/>
    <w:rsid w:val="00891837"/>
    <w:rsid w:val="008E2B2B"/>
    <w:rsid w:val="00980CAC"/>
    <w:rsid w:val="00A00216"/>
    <w:rsid w:val="00A20346"/>
    <w:rsid w:val="00A25943"/>
    <w:rsid w:val="00A26154"/>
    <w:rsid w:val="00A3162D"/>
    <w:rsid w:val="00A73B1A"/>
    <w:rsid w:val="00AA19D9"/>
    <w:rsid w:val="00AB63D5"/>
    <w:rsid w:val="00AC56FF"/>
    <w:rsid w:val="00B325C8"/>
    <w:rsid w:val="00B344C2"/>
    <w:rsid w:val="00BB098F"/>
    <w:rsid w:val="00BB0C08"/>
    <w:rsid w:val="00BC3B36"/>
    <w:rsid w:val="00BD61A1"/>
    <w:rsid w:val="00BD7B1F"/>
    <w:rsid w:val="00C17DAD"/>
    <w:rsid w:val="00C624EE"/>
    <w:rsid w:val="00C721CF"/>
    <w:rsid w:val="00C75E64"/>
    <w:rsid w:val="00C86215"/>
    <w:rsid w:val="00CB63A1"/>
    <w:rsid w:val="00CC3C1F"/>
    <w:rsid w:val="00CC700C"/>
    <w:rsid w:val="00CF06D8"/>
    <w:rsid w:val="00D2376B"/>
    <w:rsid w:val="00D92C3A"/>
    <w:rsid w:val="00DA0B98"/>
    <w:rsid w:val="00DA2152"/>
    <w:rsid w:val="00DA3B23"/>
    <w:rsid w:val="00DA5539"/>
    <w:rsid w:val="00DD6236"/>
    <w:rsid w:val="00DF57B3"/>
    <w:rsid w:val="00E02676"/>
    <w:rsid w:val="00E26F40"/>
    <w:rsid w:val="00EA519B"/>
    <w:rsid w:val="00EF2A14"/>
    <w:rsid w:val="00F055A4"/>
    <w:rsid w:val="00F23EF4"/>
    <w:rsid w:val="00F32148"/>
    <w:rsid w:val="00FA6FA4"/>
    <w:rsid w:val="00FC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3403"/>
  <w15:docId w15:val="{7CCCC762-C4EB-4245-BF07-5D455A1E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3B36"/>
    <w:pPr>
      <w:spacing w:after="0" w:line="360" w:lineRule="auto"/>
    </w:pPr>
    <w:rPr>
      <w:rFonts w:ascii="Georgia" w:hAnsi="Georgia" w:cs="Courier New"/>
    </w:rPr>
  </w:style>
  <w:style w:type="paragraph" w:styleId="Nadpis10">
    <w:name w:val="heading 1"/>
    <w:basedOn w:val="Normln"/>
    <w:next w:val="Normln"/>
    <w:link w:val="Nadpis1Char"/>
    <w:uiPriority w:val="9"/>
    <w:rsid w:val="003D77C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rsid w:val="003D77C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0">
    <w:name w:val="heading 3"/>
    <w:basedOn w:val="Normln"/>
    <w:next w:val="Normln"/>
    <w:link w:val="Nadpis3Char"/>
    <w:uiPriority w:val="9"/>
    <w:semiHidden/>
    <w:unhideWhenUsed/>
    <w:qFormat/>
    <w:rsid w:val="003D77C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7C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7C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7C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7C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7C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7C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3D77CF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3D77CF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0"/>
    <w:uiPriority w:val="9"/>
    <w:semiHidden/>
    <w:rsid w:val="003D77CF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7CF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7CF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7CF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7CF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7CF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7CF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D77CF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3D77C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3D77CF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3D77C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3D77CF"/>
    <w:rPr>
      <w:caps/>
      <w:spacing w:val="20"/>
      <w:sz w:val="18"/>
      <w:szCs w:val="18"/>
    </w:rPr>
  </w:style>
  <w:style w:type="character" w:styleId="Siln">
    <w:name w:val="Strong"/>
    <w:uiPriority w:val="22"/>
    <w:rsid w:val="003D77CF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rsid w:val="003D77CF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rsid w:val="003D77CF"/>
    <w:pPr>
      <w:spacing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77CF"/>
  </w:style>
  <w:style w:type="paragraph" w:styleId="Odstavecseseznamem">
    <w:name w:val="List Paragraph"/>
    <w:basedOn w:val="Normln"/>
    <w:uiPriority w:val="34"/>
    <w:rsid w:val="003D77CF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3D77CF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77C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3D77C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7CF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rsid w:val="003D77CF"/>
    <w:rPr>
      <w:i/>
      <w:iCs/>
    </w:rPr>
  </w:style>
  <w:style w:type="character" w:styleId="Zdraznnintenzivn">
    <w:name w:val="Intense Emphasis"/>
    <w:uiPriority w:val="21"/>
    <w:rsid w:val="003D77CF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rsid w:val="003D77C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rsid w:val="003D77C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rsid w:val="003D77CF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0"/>
    <w:next w:val="Normln"/>
    <w:uiPriority w:val="39"/>
    <w:semiHidden/>
    <w:unhideWhenUsed/>
    <w:qFormat/>
    <w:rsid w:val="003D77CF"/>
    <w:pPr>
      <w:outlineLvl w:val="9"/>
    </w:pPr>
    <w:rPr>
      <w:lang w:bidi="en-US"/>
    </w:rPr>
  </w:style>
  <w:style w:type="paragraph" w:styleId="Prosttext">
    <w:name w:val="Plain Text"/>
    <w:basedOn w:val="Normln"/>
    <w:link w:val="ProsttextChar"/>
    <w:uiPriority w:val="99"/>
    <w:unhideWhenUsed/>
    <w:rsid w:val="000815D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815DB"/>
    <w:rPr>
      <w:rFonts w:ascii="Consolas" w:hAnsi="Consolas"/>
      <w:sz w:val="21"/>
      <w:szCs w:val="21"/>
    </w:rPr>
  </w:style>
  <w:style w:type="paragraph" w:customStyle="1" w:styleId="Hlavnnadpis">
    <w:name w:val="Hlavní nadpis"/>
    <w:basedOn w:val="Normln"/>
    <w:link w:val="HlavnnadpisChar"/>
    <w:qFormat/>
    <w:rsid w:val="00BC3B36"/>
    <w:pPr>
      <w:spacing w:before="600" w:after="600"/>
      <w:jc w:val="center"/>
    </w:pPr>
    <w:rPr>
      <w:b/>
      <w:sz w:val="28"/>
      <w:szCs w:val="32"/>
    </w:rPr>
  </w:style>
  <w:style w:type="paragraph" w:customStyle="1" w:styleId="Nadpis1">
    <w:name w:val="Nadpis1"/>
    <w:basedOn w:val="Normln"/>
    <w:link w:val="Nadpis1Char0"/>
    <w:qFormat/>
    <w:rsid w:val="00AA19D9"/>
    <w:pPr>
      <w:numPr>
        <w:numId w:val="3"/>
      </w:numPr>
      <w:spacing w:before="480" w:after="240"/>
    </w:pPr>
    <w:rPr>
      <w:b/>
      <w:sz w:val="24"/>
      <w:szCs w:val="28"/>
    </w:rPr>
  </w:style>
  <w:style w:type="character" w:customStyle="1" w:styleId="HlavnnadpisChar">
    <w:name w:val="Hlavní nadpis Char"/>
    <w:basedOn w:val="Standardnpsmoodstavce"/>
    <w:link w:val="Hlavnnadpis"/>
    <w:rsid w:val="00BC3B36"/>
    <w:rPr>
      <w:rFonts w:ascii="Georgia" w:hAnsi="Georgia" w:cs="Courier New"/>
      <w:b/>
      <w:sz w:val="28"/>
      <w:szCs w:val="32"/>
    </w:rPr>
  </w:style>
  <w:style w:type="paragraph" w:customStyle="1" w:styleId="Nadpis2">
    <w:name w:val="Nadpis2"/>
    <w:basedOn w:val="Normln"/>
    <w:link w:val="Nadpis2Char0"/>
    <w:qFormat/>
    <w:rsid w:val="00BC3B36"/>
    <w:pPr>
      <w:numPr>
        <w:ilvl w:val="1"/>
        <w:numId w:val="3"/>
      </w:numPr>
      <w:spacing w:before="120" w:after="120"/>
    </w:pPr>
  </w:style>
  <w:style w:type="character" w:customStyle="1" w:styleId="Nadpis1Char0">
    <w:name w:val="Nadpis1 Char"/>
    <w:basedOn w:val="Standardnpsmoodstavce"/>
    <w:link w:val="Nadpis1"/>
    <w:rsid w:val="00AA19D9"/>
    <w:rPr>
      <w:rFonts w:ascii="Georgia" w:hAnsi="Georgia" w:cs="Courier New"/>
      <w:b/>
      <w:sz w:val="24"/>
      <w:szCs w:val="28"/>
    </w:rPr>
  </w:style>
  <w:style w:type="paragraph" w:customStyle="1" w:styleId="Nadpis3">
    <w:name w:val="Nadpis3"/>
    <w:basedOn w:val="Normln"/>
    <w:link w:val="Nadpis3Char0"/>
    <w:qFormat/>
    <w:rsid w:val="00BC3B36"/>
    <w:pPr>
      <w:numPr>
        <w:ilvl w:val="2"/>
        <w:numId w:val="3"/>
      </w:numPr>
    </w:pPr>
  </w:style>
  <w:style w:type="character" w:customStyle="1" w:styleId="Nadpis2Char0">
    <w:name w:val="Nadpis2 Char"/>
    <w:basedOn w:val="Standardnpsmoodstavce"/>
    <w:link w:val="Nadpis2"/>
    <w:rsid w:val="00BC3B36"/>
    <w:rPr>
      <w:rFonts w:ascii="Georgia" w:hAnsi="Georgia" w:cs="Courier New"/>
    </w:rPr>
  </w:style>
  <w:style w:type="numbering" w:customStyle="1" w:styleId="Styl1">
    <w:name w:val="Styl1"/>
    <w:uiPriority w:val="99"/>
    <w:rsid w:val="00BC3B36"/>
    <w:pPr>
      <w:numPr>
        <w:numId w:val="2"/>
      </w:numPr>
    </w:pPr>
  </w:style>
  <w:style w:type="character" w:customStyle="1" w:styleId="Nadpis3Char0">
    <w:name w:val="Nadpis3 Char"/>
    <w:basedOn w:val="Standardnpsmoodstavce"/>
    <w:link w:val="Nadpis3"/>
    <w:rsid w:val="00BC3B36"/>
    <w:rPr>
      <w:rFonts w:ascii="Georgia" w:hAnsi="Georgia" w:cs="Courier New"/>
    </w:rPr>
  </w:style>
  <w:style w:type="table" w:styleId="Svtlmkatabulky">
    <w:name w:val="Grid Table Light"/>
    <w:basedOn w:val="Normlntabulka"/>
    <w:uiPriority w:val="40"/>
    <w:rsid w:val="008E2B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BD7B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7B1F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7E06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675"/>
    <w:rPr>
      <w:rFonts w:ascii="Georgia" w:hAnsi="Georgia" w:cs="Courier New"/>
    </w:rPr>
  </w:style>
  <w:style w:type="paragraph" w:styleId="Zpat">
    <w:name w:val="footer"/>
    <w:basedOn w:val="Normln"/>
    <w:link w:val="ZpatChar"/>
    <w:uiPriority w:val="99"/>
    <w:unhideWhenUsed/>
    <w:rsid w:val="007E06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675"/>
    <w:rPr>
      <w:rFonts w:ascii="Georgia" w:hAnsi="Georgia" w:cs="Courier New"/>
    </w:rPr>
  </w:style>
  <w:style w:type="character" w:styleId="Odkaznakoment">
    <w:name w:val="annotation reference"/>
    <w:uiPriority w:val="99"/>
    <w:semiHidden/>
    <w:unhideWhenUsed/>
    <w:rsid w:val="004409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966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966"/>
    <w:rPr>
      <w:rFonts w:ascii="Georgia" w:eastAsia="Calibri" w:hAnsi="Georgia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desk@teas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6FBC199E0B0646A028F28CC12326F7" ma:contentTypeVersion="7" ma:contentTypeDescription="Vytvoří nový dokument" ma:contentTypeScope="" ma:versionID="94d27b24e8ccff7011402212b5e60e15">
  <xsd:schema xmlns:xsd="http://www.w3.org/2001/XMLSchema" xmlns:xs="http://www.w3.org/2001/XMLSchema" xmlns:p="http://schemas.microsoft.com/office/2006/metadata/properties" xmlns:ns2="b1ba9284-fc98-4df3-abe5-2a8051ae60c7" xmlns:ns3="ba30d741-6787-4c0a-8975-1daaef40bafb" targetNamespace="http://schemas.microsoft.com/office/2006/metadata/properties" ma:root="true" ma:fieldsID="9490f45c8c0eb64c90939886b7c0edbd" ns2:_="" ns3:_="">
    <xsd:import namespace="b1ba9284-fc98-4df3-abe5-2a8051ae60c7"/>
    <xsd:import namespace="ba30d741-6787-4c0a-8975-1daaef40ba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a9284-fc98-4df3-abe5-2a8051ae60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0d741-6787-4c0a-8975-1daaef40b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D642-3175-4B95-8F2E-E3C8C31A3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a9284-fc98-4df3-abe5-2a8051ae60c7"/>
    <ds:schemaRef ds:uri="ba30d741-6787-4c0a-8975-1daaef40b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7E668-1620-4F87-A811-60B005882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FC717-F952-4199-80AD-13E9C1251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8B80DB-60CD-45DD-9DD7-424D0674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2686</Words>
  <Characters>15849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Lapčík</dc:creator>
  <cp:lastModifiedBy>Jana Seltenhoferová</cp:lastModifiedBy>
  <cp:revision>3</cp:revision>
  <dcterms:created xsi:type="dcterms:W3CDTF">2019-10-24T03:44:00Z</dcterms:created>
  <dcterms:modified xsi:type="dcterms:W3CDTF">2019-10-24T03:46:00Z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0x010100EF6FBC199E0B0646A028F28CC12326F7</vt:lpwstr>
  </property>
</Properties>
</file>