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686" w:rsidRPr="004B0450" w:rsidRDefault="00714686" w:rsidP="00714686">
      <w:pPr>
        <w:tabs>
          <w:tab w:val="left" w:pos="5040"/>
        </w:tabs>
        <w:jc w:val="center"/>
        <w:rPr>
          <w:rFonts w:ascii="Century Gothic" w:hAnsi="Century Gothic"/>
          <w:b/>
          <w:color w:val="000080"/>
          <w:sz w:val="16"/>
          <w:szCs w:val="18"/>
        </w:rPr>
      </w:pPr>
    </w:p>
    <w:p w:rsidR="00714686" w:rsidRDefault="00714686" w:rsidP="00714686">
      <w:pPr>
        <w:tabs>
          <w:tab w:val="left" w:pos="5040"/>
        </w:tabs>
        <w:jc w:val="center"/>
        <w:outlineLvl w:val="0"/>
        <w:rPr>
          <w:rFonts w:ascii="Century Gothic" w:hAnsi="Century Gothic"/>
          <w:b/>
          <w:sz w:val="20"/>
          <w:szCs w:val="22"/>
        </w:rPr>
      </w:pPr>
      <w:r w:rsidRPr="004B0450">
        <w:rPr>
          <w:rFonts w:ascii="Century Gothic" w:hAnsi="Century Gothic"/>
          <w:b/>
          <w:sz w:val="20"/>
          <w:szCs w:val="22"/>
        </w:rPr>
        <w:t>RÁMCOVÁ SMLOUVA</w:t>
      </w:r>
      <w:r>
        <w:rPr>
          <w:rFonts w:ascii="Century Gothic" w:hAnsi="Century Gothic"/>
          <w:b/>
          <w:sz w:val="20"/>
          <w:szCs w:val="22"/>
        </w:rPr>
        <w:t xml:space="preserve"> NA POSKYTOVÁNÍ PŘEKLADATELSKÝCH, </w:t>
      </w:r>
    </w:p>
    <w:p w:rsidR="00714686" w:rsidRPr="004B0450" w:rsidRDefault="00714686" w:rsidP="00714686">
      <w:pPr>
        <w:tabs>
          <w:tab w:val="left" w:pos="5040"/>
        </w:tabs>
        <w:jc w:val="center"/>
        <w:outlineLvl w:val="0"/>
        <w:rPr>
          <w:rFonts w:ascii="Century Gothic" w:hAnsi="Century Gothic"/>
          <w:b/>
          <w:sz w:val="20"/>
          <w:szCs w:val="22"/>
        </w:rPr>
      </w:pPr>
      <w:r>
        <w:rPr>
          <w:rFonts w:ascii="Century Gothic" w:hAnsi="Century Gothic"/>
          <w:b/>
          <w:sz w:val="20"/>
          <w:szCs w:val="22"/>
        </w:rPr>
        <w:t>TLUMOČNICKÝCH A KONFERENČNÍCH SLUŽEB</w:t>
      </w:r>
    </w:p>
    <w:p w:rsidR="00714686" w:rsidRDefault="00714686" w:rsidP="00714686">
      <w:pPr>
        <w:tabs>
          <w:tab w:val="left" w:pos="5040"/>
        </w:tabs>
        <w:jc w:val="center"/>
        <w:rPr>
          <w:rFonts w:ascii="Century Gothic" w:hAnsi="Century Gothic"/>
          <w:b/>
          <w:sz w:val="16"/>
          <w:szCs w:val="18"/>
        </w:rPr>
      </w:pPr>
    </w:p>
    <w:p w:rsidR="00714686" w:rsidRPr="00834D49" w:rsidRDefault="00714686" w:rsidP="00714686">
      <w:pPr>
        <w:tabs>
          <w:tab w:val="left" w:pos="5040"/>
        </w:tabs>
        <w:jc w:val="center"/>
        <w:rPr>
          <w:rFonts w:ascii="Century Gothic" w:hAnsi="Century Gothic"/>
          <w:sz w:val="16"/>
          <w:szCs w:val="18"/>
        </w:rPr>
      </w:pPr>
      <w:r w:rsidRPr="00834D49">
        <w:rPr>
          <w:rFonts w:ascii="Century Gothic" w:hAnsi="Century Gothic"/>
          <w:sz w:val="16"/>
          <w:szCs w:val="18"/>
        </w:rPr>
        <w:t>Uzavřená níže uvedeného dne, měsíce a roku mezi smluvními stranami</w:t>
      </w:r>
    </w:p>
    <w:p w:rsidR="00714686" w:rsidRPr="004B0450" w:rsidRDefault="00714686" w:rsidP="00714686">
      <w:pPr>
        <w:tabs>
          <w:tab w:val="left" w:pos="5040"/>
        </w:tabs>
        <w:jc w:val="center"/>
        <w:rPr>
          <w:rFonts w:ascii="Century Gothic" w:hAnsi="Century Gothic"/>
          <w:b/>
          <w:sz w:val="16"/>
          <w:szCs w:val="18"/>
        </w:rPr>
      </w:pPr>
    </w:p>
    <w:p w:rsidR="00714686" w:rsidRPr="00834D49" w:rsidRDefault="00714686" w:rsidP="00714686">
      <w:pPr>
        <w:tabs>
          <w:tab w:val="left" w:pos="5040"/>
        </w:tabs>
        <w:jc w:val="center"/>
        <w:rPr>
          <w:rFonts w:ascii="Century Gothic" w:hAnsi="Century Gothic"/>
          <w:b/>
          <w:sz w:val="20"/>
          <w:szCs w:val="20"/>
        </w:rPr>
      </w:pPr>
      <w:r w:rsidRPr="00834D49">
        <w:rPr>
          <w:rFonts w:ascii="Century Gothic" w:hAnsi="Century Gothic"/>
          <w:b/>
          <w:sz w:val="20"/>
          <w:szCs w:val="20"/>
        </w:rPr>
        <w:t>I.</w:t>
      </w:r>
    </w:p>
    <w:p w:rsidR="00714686" w:rsidRPr="00834D49" w:rsidRDefault="00714686" w:rsidP="00714686">
      <w:pPr>
        <w:tabs>
          <w:tab w:val="left" w:pos="5040"/>
        </w:tabs>
        <w:rPr>
          <w:rFonts w:ascii="Century Gothic" w:hAnsi="Century Gothic"/>
          <w:sz w:val="16"/>
          <w:szCs w:val="16"/>
        </w:rPr>
      </w:pPr>
    </w:p>
    <w:p w:rsidR="00714686" w:rsidRPr="00834D49" w:rsidRDefault="00714686" w:rsidP="00714686">
      <w:pPr>
        <w:tabs>
          <w:tab w:val="left" w:pos="5040"/>
        </w:tabs>
        <w:outlineLvl w:val="0"/>
        <w:rPr>
          <w:rFonts w:ascii="Century Gothic" w:hAnsi="Century Gothic"/>
          <w:sz w:val="18"/>
          <w:szCs w:val="16"/>
        </w:rPr>
      </w:pPr>
      <w:r w:rsidRPr="00834D49">
        <w:rPr>
          <w:rFonts w:ascii="Century Gothic" w:hAnsi="Century Gothic"/>
          <w:b/>
          <w:sz w:val="18"/>
          <w:szCs w:val="16"/>
        </w:rPr>
        <w:t>Moudrý překlad, s. r. o.</w:t>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Václavské náměstí 1/846</w:t>
      </w:r>
    </w:p>
    <w:p w:rsidR="00714686" w:rsidRPr="00834D49" w:rsidRDefault="00714686" w:rsidP="00714686">
      <w:pPr>
        <w:tabs>
          <w:tab w:val="left" w:pos="5040"/>
        </w:tabs>
        <w:rPr>
          <w:rFonts w:ascii="Century Gothic" w:hAnsi="Century Gothic"/>
          <w:sz w:val="18"/>
          <w:szCs w:val="16"/>
        </w:rPr>
      </w:pPr>
      <w:proofErr w:type="gramStart"/>
      <w:r w:rsidRPr="00834D49">
        <w:rPr>
          <w:rFonts w:ascii="Century Gothic" w:hAnsi="Century Gothic"/>
          <w:sz w:val="18"/>
          <w:szCs w:val="16"/>
        </w:rPr>
        <w:t>110 00  Praha</w:t>
      </w:r>
      <w:proofErr w:type="gramEnd"/>
      <w:r w:rsidRPr="00834D49">
        <w:rPr>
          <w:rFonts w:ascii="Century Gothic" w:hAnsi="Century Gothic"/>
          <w:sz w:val="18"/>
          <w:szCs w:val="16"/>
        </w:rPr>
        <w:t xml:space="preserve"> 1</w:t>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IČO: 27156052</w:t>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DIČ: CZ27156052</w:t>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Zapsán v obchodním rejstříku, vedeném Městským soudem v Praze, spisová značka: C 101503, dne 10. 8. 2004</w:t>
      </w:r>
      <w:r w:rsidRPr="00834D49">
        <w:rPr>
          <w:rFonts w:ascii="Century Gothic" w:hAnsi="Century Gothic"/>
          <w:sz w:val="18"/>
          <w:szCs w:val="16"/>
        </w:rPr>
        <w:tab/>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Bankovní spojení: ČSOB, a.s.</w:t>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č. účtu: 254186976/0300</w:t>
      </w:r>
      <w:r w:rsidRPr="00834D49">
        <w:rPr>
          <w:rFonts w:ascii="Century Gothic" w:hAnsi="Century Gothic"/>
          <w:sz w:val="18"/>
          <w:szCs w:val="16"/>
        </w:rPr>
        <w:tab/>
      </w: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Zastoupený: Michalem Moudrým, jednatelem,</w:t>
      </w:r>
    </w:p>
    <w:p w:rsidR="00714686" w:rsidRPr="00834D49" w:rsidRDefault="00714686" w:rsidP="00714686">
      <w:pPr>
        <w:tabs>
          <w:tab w:val="left" w:pos="5040"/>
        </w:tabs>
        <w:rPr>
          <w:rFonts w:ascii="Century Gothic" w:hAnsi="Century Gothic"/>
          <w:sz w:val="18"/>
          <w:szCs w:val="16"/>
        </w:rPr>
      </w:pPr>
    </w:p>
    <w:p w:rsidR="00714686" w:rsidRPr="00834D49" w:rsidRDefault="00714686" w:rsidP="00714686">
      <w:pPr>
        <w:tabs>
          <w:tab w:val="left" w:pos="5040"/>
        </w:tabs>
        <w:rPr>
          <w:rFonts w:ascii="Century Gothic" w:hAnsi="Century Gothic"/>
          <w:sz w:val="18"/>
          <w:szCs w:val="16"/>
        </w:rPr>
      </w:pPr>
      <w:r w:rsidRPr="00834D49">
        <w:rPr>
          <w:rFonts w:ascii="Century Gothic" w:hAnsi="Century Gothic"/>
          <w:sz w:val="18"/>
          <w:szCs w:val="16"/>
        </w:rPr>
        <w:t xml:space="preserve">(dále jen </w:t>
      </w:r>
      <w:r>
        <w:rPr>
          <w:rFonts w:ascii="Century Gothic" w:hAnsi="Century Gothic"/>
          <w:sz w:val="18"/>
          <w:szCs w:val="16"/>
        </w:rPr>
        <w:t>„d</w:t>
      </w:r>
      <w:r w:rsidRPr="00834D49">
        <w:rPr>
          <w:rFonts w:ascii="Century Gothic" w:hAnsi="Century Gothic"/>
          <w:sz w:val="18"/>
          <w:szCs w:val="16"/>
        </w:rPr>
        <w:t>odavatel</w:t>
      </w:r>
      <w:r>
        <w:rPr>
          <w:rFonts w:ascii="Century Gothic" w:hAnsi="Century Gothic"/>
          <w:sz w:val="18"/>
          <w:szCs w:val="16"/>
        </w:rPr>
        <w:t>“</w:t>
      </w:r>
      <w:r w:rsidRPr="00834D49">
        <w:rPr>
          <w:rFonts w:ascii="Century Gothic" w:hAnsi="Century Gothic"/>
          <w:sz w:val="18"/>
          <w:szCs w:val="16"/>
        </w:rPr>
        <w:t>)</w:t>
      </w:r>
    </w:p>
    <w:p w:rsidR="00714686" w:rsidRDefault="00714686" w:rsidP="00714686">
      <w:pPr>
        <w:tabs>
          <w:tab w:val="left" w:pos="2340"/>
        </w:tabs>
        <w:rPr>
          <w:rFonts w:ascii="Century Gothic" w:hAnsi="Century Gothic"/>
          <w:b/>
          <w:sz w:val="18"/>
          <w:szCs w:val="16"/>
        </w:rPr>
      </w:pPr>
    </w:p>
    <w:p w:rsidR="00714686" w:rsidRPr="00834D49" w:rsidRDefault="00714686" w:rsidP="00714686">
      <w:pPr>
        <w:tabs>
          <w:tab w:val="left" w:pos="2340"/>
        </w:tabs>
        <w:rPr>
          <w:rFonts w:ascii="Century Gothic" w:hAnsi="Century Gothic"/>
          <w:sz w:val="18"/>
          <w:szCs w:val="16"/>
        </w:rPr>
      </w:pPr>
      <w:r w:rsidRPr="00834D49">
        <w:rPr>
          <w:rFonts w:ascii="Century Gothic" w:hAnsi="Century Gothic"/>
          <w:sz w:val="18"/>
          <w:szCs w:val="16"/>
        </w:rPr>
        <w:t>a</w:t>
      </w:r>
    </w:p>
    <w:p w:rsidR="00714686" w:rsidRPr="00834D49" w:rsidRDefault="00714686" w:rsidP="00714686">
      <w:pPr>
        <w:tabs>
          <w:tab w:val="left" w:pos="2340"/>
        </w:tabs>
        <w:rPr>
          <w:rFonts w:ascii="Century Gothic" w:hAnsi="Century Gothic"/>
          <w:b/>
          <w:sz w:val="18"/>
          <w:szCs w:val="16"/>
        </w:rPr>
      </w:pPr>
    </w:p>
    <w:p w:rsidR="00714686" w:rsidRPr="00834D49" w:rsidRDefault="00714686" w:rsidP="00714686">
      <w:pPr>
        <w:tabs>
          <w:tab w:val="left" w:pos="2340"/>
          <w:tab w:val="left" w:pos="5040"/>
        </w:tabs>
        <w:rPr>
          <w:rFonts w:ascii="Century Gothic" w:hAnsi="Century Gothic"/>
          <w:b/>
          <w:sz w:val="18"/>
          <w:szCs w:val="16"/>
        </w:rPr>
      </w:pPr>
      <w:r w:rsidRPr="00834D49">
        <w:rPr>
          <w:rFonts w:ascii="Century Gothic" w:hAnsi="Century Gothic" w:cs="Arial"/>
          <w:b/>
          <w:sz w:val="18"/>
          <w:szCs w:val="16"/>
        </w:rPr>
        <w:t>Státní zemědělský intervenční fond</w:t>
      </w:r>
    </w:p>
    <w:p w:rsidR="00714686" w:rsidRPr="00834D49" w:rsidRDefault="00714686" w:rsidP="00714686">
      <w:pPr>
        <w:tabs>
          <w:tab w:val="left" w:pos="2340"/>
          <w:tab w:val="left" w:pos="5040"/>
        </w:tabs>
        <w:rPr>
          <w:rFonts w:ascii="Century Gothic" w:hAnsi="Century Gothic" w:cs="Arial"/>
          <w:sz w:val="18"/>
          <w:szCs w:val="16"/>
          <w:shd w:val="clear" w:color="auto" w:fill="FFFFFF"/>
        </w:rPr>
      </w:pPr>
      <w:r w:rsidRPr="00834D49">
        <w:rPr>
          <w:rFonts w:ascii="Century Gothic" w:hAnsi="Century Gothic" w:cs="Arial"/>
          <w:sz w:val="18"/>
          <w:szCs w:val="16"/>
          <w:shd w:val="clear" w:color="auto" w:fill="FFFFFF"/>
        </w:rPr>
        <w:t>Ve Smečkách 33</w:t>
      </w:r>
    </w:p>
    <w:p w:rsidR="00714686" w:rsidRPr="00834D49" w:rsidRDefault="00714686" w:rsidP="00714686">
      <w:pPr>
        <w:tabs>
          <w:tab w:val="left" w:pos="5040"/>
        </w:tabs>
        <w:rPr>
          <w:rFonts w:ascii="Century Gothic" w:hAnsi="Century Gothic"/>
          <w:sz w:val="18"/>
          <w:szCs w:val="16"/>
        </w:rPr>
      </w:pPr>
      <w:proofErr w:type="gramStart"/>
      <w:r w:rsidRPr="00834D49">
        <w:rPr>
          <w:rFonts w:ascii="Century Gothic" w:hAnsi="Century Gothic"/>
          <w:sz w:val="18"/>
          <w:szCs w:val="16"/>
        </w:rPr>
        <w:t>110 00  Praha</w:t>
      </w:r>
      <w:proofErr w:type="gramEnd"/>
      <w:r w:rsidRPr="00834D49">
        <w:rPr>
          <w:rFonts w:ascii="Century Gothic" w:hAnsi="Century Gothic"/>
          <w:sz w:val="18"/>
          <w:szCs w:val="16"/>
        </w:rPr>
        <w:t xml:space="preserve"> 1</w:t>
      </w:r>
    </w:p>
    <w:p w:rsidR="00714686" w:rsidRPr="00834D49" w:rsidRDefault="00714686" w:rsidP="00714686">
      <w:pPr>
        <w:tabs>
          <w:tab w:val="left" w:pos="5040"/>
        </w:tabs>
        <w:rPr>
          <w:rFonts w:ascii="Century Gothic" w:hAnsi="Century Gothic" w:cs="Arial"/>
          <w:sz w:val="18"/>
          <w:szCs w:val="16"/>
        </w:rPr>
      </w:pPr>
      <w:r w:rsidRPr="00834D49">
        <w:rPr>
          <w:rFonts w:ascii="Century Gothic" w:hAnsi="Century Gothic" w:cs="Arial"/>
          <w:sz w:val="18"/>
          <w:szCs w:val="16"/>
        </w:rPr>
        <w:t>IČO: 48133981</w:t>
      </w:r>
      <w:r w:rsidRPr="00834D49">
        <w:rPr>
          <w:rFonts w:ascii="Century Gothic" w:hAnsi="Century Gothic" w:cs="Arial"/>
          <w:sz w:val="18"/>
          <w:szCs w:val="16"/>
        </w:rPr>
        <w:tab/>
      </w:r>
    </w:p>
    <w:p w:rsidR="00714686" w:rsidRPr="00834D49" w:rsidRDefault="00714686" w:rsidP="00714686">
      <w:pPr>
        <w:tabs>
          <w:tab w:val="left" w:pos="5040"/>
        </w:tabs>
        <w:jc w:val="both"/>
        <w:rPr>
          <w:rFonts w:ascii="Century Gothic" w:hAnsi="Century Gothic" w:cs="Arial"/>
          <w:sz w:val="18"/>
          <w:szCs w:val="16"/>
        </w:rPr>
      </w:pPr>
      <w:r w:rsidRPr="00834D49">
        <w:rPr>
          <w:rFonts w:ascii="Century Gothic" w:hAnsi="Century Gothic" w:cs="Arial"/>
          <w:sz w:val="18"/>
          <w:szCs w:val="16"/>
        </w:rPr>
        <w:t>DIČ:CZ48133981</w:t>
      </w:r>
    </w:p>
    <w:p w:rsidR="00714686" w:rsidRPr="00834D49" w:rsidRDefault="00714686" w:rsidP="00714686">
      <w:pPr>
        <w:tabs>
          <w:tab w:val="left" w:pos="5040"/>
        </w:tabs>
        <w:jc w:val="both"/>
        <w:rPr>
          <w:rFonts w:ascii="Century Gothic" w:hAnsi="Century Gothic" w:cs="Arial"/>
          <w:sz w:val="18"/>
          <w:szCs w:val="16"/>
        </w:rPr>
      </w:pPr>
      <w:r w:rsidRPr="00834D49">
        <w:rPr>
          <w:rFonts w:ascii="Century Gothic" w:hAnsi="Century Gothic" w:cs="Arial"/>
          <w:sz w:val="18"/>
          <w:szCs w:val="16"/>
        </w:rPr>
        <w:t>Bankovní spojení: Česká národní banka, Praha</w:t>
      </w:r>
    </w:p>
    <w:p w:rsidR="00714686" w:rsidRPr="00834D49" w:rsidRDefault="00714686" w:rsidP="00714686">
      <w:pPr>
        <w:tabs>
          <w:tab w:val="left" w:pos="5040"/>
        </w:tabs>
        <w:jc w:val="both"/>
        <w:rPr>
          <w:rFonts w:ascii="Century Gothic" w:hAnsi="Century Gothic" w:cs="Arial"/>
          <w:sz w:val="18"/>
          <w:szCs w:val="16"/>
        </w:rPr>
      </w:pPr>
      <w:r w:rsidRPr="00834D49">
        <w:rPr>
          <w:rFonts w:ascii="Century Gothic" w:hAnsi="Century Gothic" w:cs="Arial"/>
          <w:sz w:val="18"/>
          <w:szCs w:val="16"/>
        </w:rPr>
        <w:t xml:space="preserve">č. účtu: </w:t>
      </w:r>
      <w:r w:rsidRPr="00834D49">
        <w:rPr>
          <w:rFonts w:ascii="Century Gothic" w:hAnsi="Century Gothic"/>
          <w:bCs/>
          <w:color w:val="333333"/>
          <w:sz w:val="18"/>
          <w:szCs w:val="16"/>
        </w:rPr>
        <w:t>000-3926001/0710</w:t>
      </w:r>
    </w:p>
    <w:p w:rsidR="00714686" w:rsidRPr="00834D49" w:rsidRDefault="00714686" w:rsidP="00714686">
      <w:pPr>
        <w:rPr>
          <w:rFonts w:ascii="Century Gothic" w:hAnsi="Century Gothic"/>
          <w:color w:val="000080"/>
          <w:sz w:val="18"/>
          <w:szCs w:val="16"/>
        </w:rPr>
      </w:pPr>
      <w:r>
        <w:rPr>
          <w:rStyle w:val="Odkaznakoment"/>
        </w:rPr>
        <w:commentReference w:id="0"/>
      </w:r>
      <w:r>
        <w:rPr>
          <w:rFonts w:ascii="Century Gothic" w:hAnsi="Century Gothic"/>
          <w:color w:val="000080"/>
          <w:sz w:val="18"/>
          <w:szCs w:val="16"/>
        </w:rPr>
        <w:t>Mgr. Janem Havlíčkem, ředitelem Sekce správních činností</w:t>
      </w:r>
    </w:p>
    <w:p w:rsidR="00714686" w:rsidRPr="00834D49" w:rsidRDefault="00714686" w:rsidP="00714686">
      <w:pPr>
        <w:tabs>
          <w:tab w:val="left" w:pos="2340"/>
        </w:tabs>
        <w:rPr>
          <w:rFonts w:ascii="Century Gothic" w:hAnsi="Century Gothic"/>
          <w:sz w:val="18"/>
          <w:szCs w:val="16"/>
        </w:rPr>
      </w:pPr>
      <w:r w:rsidRPr="00834D49">
        <w:rPr>
          <w:rFonts w:ascii="Century Gothic" w:hAnsi="Century Gothic"/>
          <w:sz w:val="18"/>
          <w:szCs w:val="16"/>
        </w:rPr>
        <w:t xml:space="preserve">(dále jen </w:t>
      </w:r>
      <w:r>
        <w:rPr>
          <w:rFonts w:ascii="Century Gothic" w:hAnsi="Century Gothic"/>
          <w:sz w:val="18"/>
          <w:szCs w:val="16"/>
        </w:rPr>
        <w:t>„o</w:t>
      </w:r>
      <w:r w:rsidRPr="00834D49">
        <w:rPr>
          <w:rFonts w:ascii="Century Gothic" w:hAnsi="Century Gothic"/>
          <w:sz w:val="18"/>
          <w:szCs w:val="16"/>
        </w:rPr>
        <w:t>bjednatel</w:t>
      </w:r>
      <w:r>
        <w:rPr>
          <w:rFonts w:ascii="Century Gothic" w:hAnsi="Century Gothic"/>
          <w:sz w:val="18"/>
          <w:szCs w:val="16"/>
        </w:rPr>
        <w:t>“</w:t>
      </w:r>
      <w:r w:rsidRPr="00834D49">
        <w:rPr>
          <w:rFonts w:ascii="Century Gothic" w:hAnsi="Century Gothic"/>
          <w:sz w:val="18"/>
          <w:szCs w:val="16"/>
        </w:rPr>
        <w:t>)</w:t>
      </w:r>
    </w:p>
    <w:p w:rsidR="00714686" w:rsidRDefault="00714686" w:rsidP="00714686">
      <w:pPr>
        <w:pStyle w:val="RLProhlensmluvnchstran"/>
        <w:spacing w:after="0" w:line="240" w:lineRule="auto"/>
        <w:rPr>
          <w:rFonts w:ascii="Century Gothic" w:hAnsi="Century Gothic" w:cs="Arial"/>
          <w:sz w:val="16"/>
          <w:szCs w:val="18"/>
        </w:rPr>
      </w:pPr>
    </w:p>
    <w:p w:rsidR="00714686" w:rsidRPr="004B0450" w:rsidRDefault="00714686" w:rsidP="00714686">
      <w:pPr>
        <w:pStyle w:val="RLProhlensmluvnchstran"/>
        <w:spacing w:after="0" w:line="240" w:lineRule="auto"/>
        <w:rPr>
          <w:rFonts w:ascii="Century Gothic" w:hAnsi="Century Gothic" w:cs="Arial"/>
          <w:sz w:val="16"/>
          <w:szCs w:val="18"/>
        </w:rPr>
      </w:pPr>
    </w:p>
    <w:p w:rsidR="00714686" w:rsidRPr="004B0450" w:rsidRDefault="00714686" w:rsidP="00714686">
      <w:pPr>
        <w:pStyle w:val="RLProhlensmluvnchstran"/>
        <w:spacing w:after="0" w:line="240" w:lineRule="auto"/>
        <w:rPr>
          <w:rFonts w:ascii="Century Gothic" w:hAnsi="Century Gothic" w:cs="Arial"/>
          <w:sz w:val="16"/>
          <w:szCs w:val="18"/>
        </w:rPr>
      </w:pPr>
      <w:r w:rsidRPr="004B0450">
        <w:rPr>
          <w:rFonts w:ascii="Century Gothic" w:hAnsi="Century Gothic" w:cs="Arial"/>
          <w:sz w:val="16"/>
          <w:szCs w:val="18"/>
        </w:rPr>
        <w:t>Smluvní strany, vědomy si svých závazků v této Rámcové smlouvě obsažených a s úmyslem být touto Rámcovou smlouvou vázány, dohodly se na následujícím znění Rámcové smlouvy:</w:t>
      </w:r>
    </w:p>
    <w:p w:rsidR="00714686" w:rsidRPr="004B0450" w:rsidRDefault="00714686" w:rsidP="00714686">
      <w:pPr>
        <w:autoSpaceDE w:val="0"/>
        <w:autoSpaceDN w:val="0"/>
        <w:adjustRightInd w:val="0"/>
        <w:rPr>
          <w:rFonts w:ascii="Century Gothic" w:hAnsi="Century Gothic" w:cs="CenturyGothic"/>
          <w:color w:val="33339B"/>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Předmět smlouvy</w:t>
      </w:r>
    </w:p>
    <w:p w:rsidR="00714686" w:rsidRPr="004B0450" w:rsidRDefault="00714686" w:rsidP="00714686">
      <w:pPr>
        <w:pStyle w:val="Odstavecseseznamem"/>
        <w:numPr>
          <w:ilvl w:val="0"/>
          <w:numId w:val="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 xml:space="preserve">Předmětem této smlouvy je závazek dodavatele provádět pro objednatele na základě dílčích objednávek dílo spočívající ve vyhotovení překladu, zajištění tlumočnických služeb, konferenčního servisu, provedení </w:t>
      </w:r>
      <w:commentRangeStart w:id="1"/>
      <w:r w:rsidRPr="004B0450">
        <w:rPr>
          <w:rFonts w:ascii="Century Gothic" w:hAnsi="Century Gothic" w:cs="Verdana"/>
          <w:color w:val="000000"/>
          <w:sz w:val="16"/>
          <w:szCs w:val="18"/>
        </w:rPr>
        <w:t>DTP</w:t>
      </w:r>
      <w:commentRangeEnd w:id="1"/>
      <w:r>
        <w:rPr>
          <w:rStyle w:val="Odkaznakoment"/>
        </w:rPr>
        <w:commentReference w:id="1"/>
      </w:r>
      <w:r w:rsidRPr="004B0450">
        <w:rPr>
          <w:rFonts w:ascii="Century Gothic" w:hAnsi="Century Gothic" w:cs="Verdana"/>
          <w:color w:val="000000"/>
          <w:sz w:val="16"/>
          <w:szCs w:val="18"/>
        </w:rPr>
        <w:t xml:space="preserve"> a tisku dle podmínek stanovených touto smlouvou (dále jen „</w:t>
      </w:r>
      <w:r w:rsidRPr="004B0450">
        <w:rPr>
          <w:rFonts w:ascii="Century Gothic" w:hAnsi="Century Gothic" w:cs="Verdana"/>
          <w:b/>
          <w:color w:val="000000"/>
          <w:sz w:val="16"/>
          <w:szCs w:val="18"/>
        </w:rPr>
        <w:t>překladatelské, tlumočnické a konferenční služby</w:t>
      </w:r>
      <w:r w:rsidRPr="004B0450">
        <w:rPr>
          <w:rFonts w:ascii="Century Gothic" w:hAnsi="Century Gothic" w:cs="Verdana"/>
          <w:color w:val="000000"/>
          <w:sz w:val="16"/>
          <w:szCs w:val="18"/>
        </w:rPr>
        <w:t>“) a předat tyto překladatelské a tlumočnické služby objednateli.</w:t>
      </w:r>
    </w:p>
    <w:p w:rsidR="00714686" w:rsidRPr="004B0450" w:rsidRDefault="00714686" w:rsidP="00714686">
      <w:pPr>
        <w:pStyle w:val="Odstavecseseznamem"/>
        <w:numPr>
          <w:ilvl w:val="0"/>
          <w:numId w:val="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Smluvní strany prohlašují, že předmět dle této smlouvy není plněním nemožným a že smlouvu uzavřely po pečlivém zvážení všech možných důsledků.</w:t>
      </w:r>
    </w:p>
    <w:p w:rsidR="00714686" w:rsidRPr="004B0450"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III.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Definice pojmů</w:t>
      </w:r>
    </w:p>
    <w:p w:rsidR="00714686" w:rsidRPr="004B0450" w:rsidRDefault="00714686" w:rsidP="00714686">
      <w:pPr>
        <w:pStyle w:val="Odstavecseseznamem"/>
        <w:numPr>
          <w:ilvl w:val="0"/>
          <w:numId w:val="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„Překlad“ znamená překlad textu z výchozího jazyka do cílového jazyka.</w:t>
      </w:r>
    </w:p>
    <w:p w:rsidR="00714686" w:rsidRPr="004B0450" w:rsidRDefault="00714686" w:rsidP="00714686">
      <w:pPr>
        <w:pStyle w:val="Odstavecseseznamem"/>
        <w:numPr>
          <w:ilvl w:val="0"/>
          <w:numId w:val="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„Tlumočení“ znamená tlumočení mluveného projevu z výchozího jazyka do cílového jazyka, a naopak.</w:t>
      </w:r>
    </w:p>
    <w:p w:rsidR="00714686" w:rsidRPr="004B0450" w:rsidRDefault="00714686" w:rsidP="00714686">
      <w:pPr>
        <w:pStyle w:val="Odstavecseseznamem"/>
        <w:numPr>
          <w:ilvl w:val="0"/>
          <w:numId w:val="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„Normostrana“ znamená jednu stranu textu o 1650 znacích včetně mezer v cílovém jazyce.</w:t>
      </w:r>
    </w:p>
    <w:p w:rsidR="00714686" w:rsidRPr="004B0450" w:rsidRDefault="00714686" w:rsidP="00714686">
      <w:pPr>
        <w:pStyle w:val="Odstavecseseznamem"/>
        <w:numPr>
          <w:ilvl w:val="0"/>
          <w:numId w:val="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„Hodina“ znamená 60 minut tlumočení, půlden 4 hod. tlumočení, den 8 hodin tlumočení.</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p>
    <w:p w:rsidR="00714686" w:rsidRPr="004B0450" w:rsidRDefault="00714686" w:rsidP="00714686">
      <w:pPr>
        <w:autoSpaceDE w:val="0"/>
        <w:autoSpaceDN w:val="0"/>
        <w:adjustRightInd w:val="0"/>
        <w:jc w:val="center"/>
        <w:rPr>
          <w:rFonts w:ascii="Century Gothic" w:hAnsi="Century Gothic" w:cs="Verdana"/>
          <w:color w:val="000000"/>
          <w:sz w:val="16"/>
          <w:szCs w:val="18"/>
        </w:rPr>
      </w:pPr>
      <w:r w:rsidRPr="004B0450">
        <w:rPr>
          <w:rFonts w:ascii="Century Gothic" w:hAnsi="Century Gothic" w:cs="Verdana"/>
          <w:b/>
          <w:color w:val="000000"/>
          <w:sz w:val="16"/>
          <w:szCs w:val="18"/>
        </w:rPr>
        <w:t>IV</w:t>
      </w:r>
      <w:r w:rsidRPr="004B0450">
        <w:rPr>
          <w:rFonts w:ascii="Century Gothic" w:hAnsi="Century Gothic" w:cs="Verdana"/>
          <w:color w:val="000000"/>
          <w:sz w:val="16"/>
          <w:szCs w:val="18"/>
        </w:rPr>
        <w:t>.</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Doba a místo plnění</w:t>
      </w:r>
    </w:p>
    <w:p w:rsidR="00714686" w:rsidRPr="004B0450" w:rsidRDefault="00714686" w:rsidP="00714686">
      <w:pPr>
        <w:pStyle w:val="Odstavecseseznamem"/>
        <w:numPr>
          <w:ilvl w:val="0"/>
          <w:numId w:val="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se zavazuje poskytovat objednateli překladatelské, tlumočnické služby a konferenční servis v souladu s touto smlouvou a dílčí objednávkou od data podpisu smlouvy oběma smluvními stranami na dobu neurčitou.</w:t>
      </w:r>
    </w:p>
    <w:p w:rsidR="00714686" w:rsidRPr="004B0450" w:rsidRDefault="00714686" w:rsidP="00714686">
      <w:pPr>
        <w:pStyle w:val="Odstavecseseznamem"/>
        <w:numPr>
          <w:ilvl w:val="0"/>
          <w:numId w:val="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Místem plnění jsou pracoviště objednatele na území České republiky.</w:t>
      </w:r>
    </w:p>
    <w:p w:rsidR="00714686" w:rsidRPr="004B0450" w:rsidRDefault="00714686" w:rsidP="00714686">
      <w:pPr>
        <w:autoSpaceDE w:val="0"/>
        <w:autoSpaceDN w:val="0"/>
        <w:adjustRightInd w:val="0"/>
        <w:jc w:val="both"/>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V.</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Cena předmětu smlouvy</w:t>
      </w:r>
    </w:p>
    <w:p w:rsidR="00714686" w:rsidRPr="004B0450" w:rsidRDefault="00714686" w:rsidP="00714686">
      <w:pPr>
        <w:pStyle w:val="Odstavecseseznamem"/>
        <w:numPr>
          <w:ilvl w:val="0"/>
          <w:numId w:val="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 xml:space="preserve">Ceny pro jednotlivé části překladatelských služeb, tlumočnických služeb a konferenčního servisu, které se uplatní pro cenovou kalkulaci konkrétní dílčí objednávky, jsou stanoveny v příloze č. </w:t>
      </w:r>
      <w:r>
        <w:rPr>
          <w:rFonts w:ascii="Century Gothic" w:hAnsi="Century Gothic" w:cs="Verdana"/>
          <w:color w:val="000000"/>
          <w:sz w:val="16"/>
          <w:szCs w:val="18"/>
        </w:rPr>
        <w:t>2</w:t>
      </w:r>
      <w:r w:rsidRPr="004B0450">
        <w:rPr>
          <w:rFonts w:ascii="Century Gothic" w:hAnsi="Century Gothic" w:cs="Verdana"/>
          <w:color w:val="000000"/>
          <w:sz w:val="16"/>
          <w:szCs w:val="18"/>
        </w:rPr>
        <w:t xml:space="preserve"> „Cena za služby“, která je nedílnou součástí této smlouvy.</w:t>
      </w:r>
    </w:p>
    <w:p w:rsidR="00714686" w:rsidRPr="004B0450" w:rsidRDefault="00714686" w:rsidP="00714686">
      <w:pPr>
        <w:pStyle w:val="Odstavecseseznamem"/>
        <w:numPr>
          <w:ilvl w:val="0"/>
          <w:numId w:val="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Cena pro jednotlivé části překladatelských služeb, tlumočnických služeb a konferenčního servisu může být měněna písemnou dohodou obou smluvních stran.</w:t>
      </w:r>
    </w:p>
    <w:p w:rsidR="00714686" w:rsidRPr="004B0450" w:rsidRDefault="00714686" w:rsidP="00714686">
      <w:pPr>
        <w:pStyle w:val="Odstavecseseznamem"/>
        <w:numPr>
          <w:ilvl w:val="0"/>
          <w:numId w:val="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Všechny uváděné ceny jsou stanoveny jako nejvýše přípustné, které nelze za žádných podmínek překročit.</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VI.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Platební a fakturační podmínky</w:t>
      </w:r>
    </w:p>
    <w:p w:rsidR="00714686" w:rsidRPr="004B0450" w:rsidRDefault="00714686" w:rsidP="00714686">
      <w:pPr>
        <w:pStyle w:val="Odstavecseseznamem"/>
        <w:numPr>
          <w:ilvl w:val="0"/>
          <w:numId w:val="1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Provedené překladatelské služby, tlumočnické služby a konferenční servis budou objednatelem hrazeny bezhotovostním platebním převodem na základě faktur vyhotovených dodavatelem.</w:t>
      </w:r>
    </w:p>
    <w:p w:rsidR="00714686" w:rsidRPr="004B0450" w:rsidRDefault="00714686" w:rsidP="00714686">
      <w:pPr>
        <w:pStyle w:val="Odstavecseseznamem"/>
        <w:numPr>
          <w:ilvl w:val="0"/>
          <w:numId w:val="1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Faktury budou mít náležitosti daňového dokladu dle § 28 zákona č. 235/2004 Sb., o dani z přidané hodnoty, ve znění pozdějších předpisů (dále jen „</w:t>
      </w:r>
      <w:r w:rsidRPr="004B0450">
        <w:rPr>
          <w:rFonts w:ascii="Century Gothic" w:hAnsi="Century Gothic" w:cs="Verdana"/>
          <w:b/>
          <w:color w:val="000000"/>
          <w:sz w:val="16"/>
          <w:szCs w:val="18"/>
        </w:rPr>
        <w:t>faktura</w:t>
      </w:r>
      <w:r w:rsidRPr="004B0450">
        <w:rPr>
          <w:rFonts w:ascii="Century Gothic" w:hAnsi="Century Gothic" w:cs="Verdana"/>
          <w:color w:val="000000"/>
          <w:sz w:val="16"/>
          <w:szCs w:val="18"/>
        </w:rPr>
        <w:t>“) a budou obsahovat údaje uvedené v § 435 zákona č. 89/2012 Sb., ve znění pozdějších předpisů (dále jen „</w:t>
      </w:r>
      <w:r w:rsidRPr="004B0450">
        <w:rPr>
          <w:rFonts w:ascii="Century Gothic" w:hAnsi="Century Gothic" w:cs="Verdana"/>
          <w:b/>
          <w:color w:val="000000"/>
          <w:sz w:val="16"/>
          <w:szCs w:val="18"/>
        </w:rPr>
        <w:t>občanský zákoník</w:t>
      </w:r>
      <w:r w:rsidRPr="004B0450">
        <w:rPr>
          <w:rFonts w:ascii="Century Gothic" w:hAnsi="Century Gothic" w:cs="Verdana"/>
          <w:color w:val="000000"/>
          <w:sz w:val="16"/>
          <w:szCs w:val="18"/>
        </w:rPr>
        <w:t>“).</w:t>
      </w:r>
    </w:p>
    <w:p w:rsidR="00714686" w:rsidRPr="004B0450" w:rsidRDefault="00714686" w:rsidP="00714686">
      <w:pPr>
        <w:pStyle w:val="Odstavecseseznamem"/>
        <w:numPr>
          <w:ilvl w:val="0"/>
          <w:numId w:val="1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 xml:space="preserve">Lhůta splatnosti faktury činí 21 kalendářních dnů ode dne jejího doručení objednateli na adresu: </w:t>
      </w:r>
      <w:r>
        <w:rPr>
          <w:rFonts w:ascii="Century Gothic" w:hAnsi="Century Gothic" w:cs="Verdana"/>
          <w:color w:val="000000"/>
          <w:sz w:val="16"/>
          <w:szCs w:val="18"/>
        </w:rPr>
        <w:t>Státní zemědělský intervenční fond, Ve Smečkách 33, Praha 1, 110 00</w:t>
      </w:r>
      <w:r w:rsidRPr="004B0450">
        <w:rPr>
          <w:rFonts w:ascii="Century Gothic" w:hAnsi="Century Gothic" w:cs="Verdana"/>
          <w:color w:val="000000"/>
          <w:sz w:val="16"/>
          <w:szCs w:val="18"/>
        </w:rPr>
        <w:t>. Faktura je považována za proplacenou okamžikem odepsání příslušné finanční částky z účtu objednatele ve prospěch účtu dodavatele.</w:t>
      </w:r>
    </w:p>
    <w:p w:rsidR="00714686" w:rsidRPr="004B0450" w:rsidRDefault="00714686" w:rsidP="00714686">
      <w:pPr>
        <w:autoSpaceDE w:val="0"/>
        <w:autoSpaceDN w:val="0"/>
        <w:adjustRightInd w:val="0"/>
        <w:jc w:val="both"/>
        <w:rPr>
          <w:rFonts w:ascii="Century Gothic" w:hAnsi="Century Gothic"/>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VII.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Objednávky překladatelských a tlumočnických služeb, lhůty</w:t>
      </w:r>
    </w:p>
    <w:p w:rsidR="00714686" w:rsidRPr="004B0450" w:rsidRDefault="00714686" w:rsidP="00714686">
      <w:pPr>
        <w:pStyle w:val="Odstavecseseznamem"/>
        <w:numPr>
          <w:ilvl w:val="0"/>
          <w:numId w:val="1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Objednatel pro objednávání překladatelských a tlumočnických služeb určuje kontaktní místa a pověřené osoby uvedené na seznamu, který objednatel předá dodavateli před datem platnosti a účinnosti této smlouvy a který bude pravidelně aktualizovat.</w:t>
      </w:r>
    </w:p>
    <w:p w:rsidR="00714686" w:rsidRPr="004B0450" w:rsidRDefault="00714686" w:rsidP="00714686">
      <w:pPr>
        <w:pStyle w:val="Odstavecseseznamem"/>
        <w:numPr>
          <w:ilvl w:val="0"/>
          <w:numId w:val="1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Tlumočnické a překladatelské služby budou realizovány na základě písemné nebo telefonické objednávky objednatele, přičemž telefonickou objednávku potvrdí objednatel faxem nebo emailem do 2 hodin od sdělení dodavateli. Těmito dílčími objednávkami bude určena zejména forma, termíny a místo plnění překladatelských a tlumočnických služeb.</w:t>
      </w:r>
    </w:p>
    <w:p w:rsidR="00714686" w:rsidRPr="004B0450" w:rsidRDefault="00714686" w:rsidP="00714686">
      <w:pPr>
        <w:pStyle w:val="Odstavecseseznamem"/>
        <w:numPr>
          <w:ilvl w:val="0"/>
          <w:numId w:val="1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 xml:space="preserve">Dodavatel se zavazuje potvrdit přijetí objednávky, nebo odmítnout objednávku, a to do 24 hodin ode dne písemného doručení takové objednávky včetně sobot, nedělí a svátků (za písemné doručení se pro účely objednávky považuje i doručení faxem, e-mailem). V případě, že tak dodavatel neučiní, tj. na objednávku nezareaguje, je objednávka považována za odmítnutou. Pokud dodavatel objednávku odmítne nebo není schopen zajistit realizaci objednávky v požadovaném termínu, má právo navrhnout termín náhradní. </w:t>
      </w:r>
    </w:p>
    <w:p w:rsidR="00714686" w:rsidRPr="004B0450" w:rsidRDefault="00714686" w:rsidP="00714686">
      <w:pPr>
        <w:autoSpaceDE w:val="0"/>
        <w:autoSpaceDN w:val="0"/>
        <w:adjustRightInd w:val="0"/>
        <w:jc w:val="both"/>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VIII.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Reklamace, záruka a odpovědnost za vady</w:t>
      </w:r>
    </w:p>
    <w:p w:rsidR="00714686" w:rsidRPr="004B0450" w:rsidRDefault="00714686" w:rsidP="00714686">
      <w:pPr>
        <w:pStyle w:val="Odstavecseseznamem"/>
        <w:numPr>
          <w:ilvl w:val="0"/>
          <w:numId w:val="1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Dodané překladatelské a tlumočnické služby mají vady v případech, kdy nejsou dodány v souladu s touto smlouvou a dílčí objednávkou a kdy nejsou vyhotoveny v odpovídající kvalitě. V ostatních případech se má za to, že překladatelské a</w:t>
      </w:r>
      <w:r>
        <w:rPr>
          <w:rFonts w:ascii="Century Gothic" w:hAnsi="Century Gothic" w:cs="Verdana"/>
          <w:color w:val="000000"/>
          <w:sz w:val="16"/>
          <w:szCs w:val="18"/>
        </w:rPr>
        <w:t> </w:t>
      </w:r>
      <w:r w:rsidRPr="004B0450">
        <w:rPr>
          <w:rFonts w:ascii="Century Gothic" w:hAnsi="Century Gothic" w:cs="Verdana"/>
          <w:color w:val="000000"/>
          <w:sz w:val="16"/>
          <w:szCs w:val="18"/>
        </w:rPr>
        <w:t>tlumočnické služby byly řádně dodány.</w:t>
      </w:r>
    </w:p>
    <w:p w:rsidR="00714686" w:rsidRPr="004B0450" w:rsidRDefault="00714686" w:rsidP="00714686">
      <w:pPr>
        <w:pStyle w:val="Odstavecseseznamem"/>
        <w:numPr>
          <w:ilvl w:val="0"/>
          <w:numId w:val="1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Veškeré vady oznámí objednatel dodavateli bez zbytečného odkladu poté, kdy vadu zjistil, a to formou písemného oznámení (faxem nebo e-mailem) obsahujícím co nejpodrobnější specifikaci zjištěné vady. Reklamace vždy musí být uplatněna nejpozději ve lhůtě 21 kalendářních dnů od převzetí překladatelských a tlumočnických služeb.</w:t>
      </w:r>
    </w:p>
    <w:p w:rsidR="00714686" w:rsidRPr="004B0450" w:rsidRDefault="00714686" w:rsidP="00714686">
      <w:pPr>
        <w:pStyle w:val="Odstavecseseznamem"/>
        <w:numPr>
          <w:ilvl w:val="0"/>
          <w:numId w:val="14"/>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 případě zjištění hrubých jazykových nedostatků tlumočníka (či překladatele), nebude dodavatel tohoto tlumočníka (či překladatele) využívat na další dílčí objednávky objednatele a přijme potřebná nápravná opatření.</w:t>
      </w:r>
    </w:p>
    <w:p w:rsidR="00714686" w:rsidRPr="004B0450" w:rsidRDefault="00714686" w:rsidP="00714686">
      <w:pPr>
        <w:autoSpaceDE w:val="0"/>
        <w:autoSpaceDN w:val="0"/>
        <w:adjustRightInd w:val="0"/>
        <w:jc w:val="both"/>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IX.</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Práva a povinnosti objednatele</w:t>
      </w:r>
    </w:p>
    <w:p w:rsidR="00714686" w:rsidRPr="004B0450" w:rsidRDefault="00714686" w:rsidP="00714686">
      <w:pPr>
        <w:pStyle w:val="Odstavecseseznamem"/>
        <w:numPr>
          <w:ilvl w:val="0"/>
          <w:numId w:val="1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Objednatel se podpisem této smlouvy zavazuje provedené překladatelské a tlumočnické služby od dodavatele převzít a zaplatit dodavateli cenu stanovenou v souladu s článkem V. této smlouvy.</w:t>
      </w:r>
    </w:p>
    <w:p w:rsidR="00714686" w:rsidRPr="004B0450" w:rsidRDefault="00714686" w:rsidP="00714686">
      <w:pPr>
        <w:pStyle w:val="Odstavecseseznamem"/>
        <w:numPr>
          <w:ilvl w:val="0"/>
          <w:numId w:val="1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Objednatel se zavazuje poskytnout dodavateli včas a řádně podklady pro každou z objednaných překladatelských a</w:t>
      </w:r>
      <w:r>
        <w:rPr>
          <w:rFonts w:ascii="Century Gothic" w:hAnsi="Century Gothic" w:cs="Verdana"/>
          <w:color w:val="000000"/>
          <w:sz w:val="16"/>
          <w:szCs w:val="18"/>
        </w:rPr>
        <w:t> </w:t>
      </w:r>
      <w:r w:rsidRPr="004B0450">
        <w:rPr>
          <w:rFonts w:ascii="Century Gothic" w:hAnsi="Century Gothic" w:cs="Verdana"/>
          <w:color w:val="000000"/>
          <w:sz w:val="16"/>
          <w:szCs w:val="18"/>
        </w:rPr>
        <w:t>tlumočnických služeb, jež jsou předmětem smlouvy.</w:t>
      </w:r>
    </w:p>
    <w:p w:rsidR="00714686" w:rsidRPr="004B0450" w:rsidRDefault="00714686" w:rsidP="00714686">
      <w:pPr>
        <w:pStyle w:val="Odstavecseseznamem"/>
        <w:numPr>
          <w:ilvl w:val="0"/>
          <w:numId w:val="1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Objednatel se zavazuje k tomu, že bez výslovného souhlasu dodavatele nebude kontaktovat překladatele či tlumočníka dodavatele a nebude s ním projednávat záležitosti týkající se obchodních podmínek objednaných překladatelských a</w:t>
      </w:r>
      <w:r>
        <w:rPr>
          <w:rFonts w:ascii="Century Gothic" w:hAnsi="Century Gothic" w:cs="Verdana"/>
          <w:color w:val="000000"/>
          <w:sz w:val="16"/>
          <w:szCs w:val="18"/>
        </w:rPr>
        <w:t> </w:t>
      </w:r>
      <w:r w:rsidRPr="004B0450">
        <w:rPr>
          <w:rFonts w:ascii="Century Gothic" w:hAnsi="Century Gothic" w:cs="Verdana"/>
          <w:color w:val="000000"/>
          <w:sz w:val="16"/>
          <w:szCs w:val="18"/>
        </w:rPr>
        <w:t>tlumočnických služeb.</w:t>
      </w:r>
    </w:p>
    <w:p w:rsidR="00714686" w:rsidRPr="004B0450" w:rsidRDefault="00714686" w:rsidP="00714686">
      <w:pPr>
        <w:pStyle w:val="Odstavecseseznamem"/>
        <w:numPr>
          <w:ilvl w:val="0"/>
          <w:numId w:val="16"/>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Objednatel bude informovat dodavatele o případném novém ujednání s tlumočníkem či překladatelem.</w:t>
      </w:r>
    </w:p>
    <w:p w:rsidR="00714686" w:rsidRPr="004B0450" w:rsidRDefault="00714686" w:rsidP="00714686">
      <w:pPr>
        <w:autoSpaceDE w:val="0"/>
        <w:autoSpaceDN w:val="0"/>
        <w:adjustRightInd w:val="0"/>
        <w:jc w:val="both"/>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X.</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Práva a povinnosti dodavatele</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provede překladatelské a tlumočnické služby v souladu s ustanovením § 2590 občanského zákoníku s potřebnou péčí v ujednaném čase a obstará vše, co je k provedení překladatelských a tlumočnických služeb potřeba. Pokud z této smlouvy nebo z dílčí objednávky nevyplývá účel, ke kterému je konkrétní překladatelská a tlumočnická služba požadována, bude tento účel objednatelem na žádost dodavatele dodatečně specifikován tak, aby dodavatel zajistil věcnou správnost překladatelských a tlumočnických služeb.</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se potvrzením dílčí objednávky zavazuje poskytnout tlumočnické a překladatelské služby v souladu s touto smlouvou a dílčí objednávkou, a to v určeném jazyce, ve sjednané době a předat je dohodnutým způsobem.</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je povinen upozornit objednatele bez zbytečného odkladu na nevhodnou povahu podkladů pro překladatelské a tlumočnické služby (dále jen „</w:t>
      </w:r>
      <w:r w:rsidRPr="004B0450">
        <w:rPr>
          <w:rFonts w:ascii="Century Gothic" w:hAnsi="Century Gothic" w:cs="Verdana"/>
          <w:b/>
          <w:color w:val="000000"/>
          <w:sz w:val="16"/>
          <w:szCs w:val="18"/>
        </w:rPr>
        <w:t>podklady</w:t>
      </w:r>
      <w:r w:rsidRPr="004B0450">
        <w:rPr>
          <w:rFonts w:ascii="Century Gothic" w:hAnsi="Century Gothic" w:cs="Verdana"/>
          <w:color w:val="000000"/>
          <w:sz w:val="16"/>
          <w:szCs w:val="18"/>
        </w:rPr>
        <w:t>“) převzatých od objednatele k provedení překladatelských a tlumočnických služeb a nevhodnost jeho pokynů, které brání provedení překladatelských a tlumočnických služeb.</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Jestliže nevhodné podklady či pokyny překážejí v řádném provedení překladatelských a tlumočnických služeb, je dodavatel oprávněn provádění překladatelských a tlumočnických služeb v nezbytném rozsahu přerušit či zcela zastavit do doby výměny podkladů, do doby zrušení nevhodných pokynů nebo do doby písemného sdělení, že objednatel na jejich dodržení trvá, podle toho, co nastane dříve.</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neodpovídá za vady způsobené dodržením pokynů daných mu objednatelem, jestliže dodavatel na nevhodnost těchto pokynů písemně upozornil a objednatel na jejich dodržení trval.</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je povinen neprodleně informovat objednatele o všech okolnostech majících vliv na řádné a včasné provedení překladatelských a tlumočnických služeb.</w:t>
      </w:r>
    </w:p>
    <w:p w:rsidR="00714686" w:rsidRPr="004B0450" w:rsidRDefault="00714686" w:rsidP="00714686">
      <w:pPr>
        <w:pStyle w:val="Odstavecseseznamem"/>
        <w:numPr>
          <w:ilvl w:val="0"/>
          <w:numId w:val="1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neodpovídá objednateli za škodu, která objednateli vznikne z nerealizování překladatelských a tlumočnických služeb, pokud se tak stane z důvodů nepředvídatelných a neodvratitelných událostí, kterým dodavatel nemohl ani při vynaložení řádné péče zabránit.</w:t>
      </w:r>
    </w:p>
    <w:p w:rsidR="00714686" w:rsidRPr="004B0450"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XI.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Smluvní pokuty a úrok z prodlení</w:t>
      </w:r>
    </w:p>
    <w:p w:rsidR="00714686" w:rsidRPr="004B0450" w:rsidRDefault="00714686" w:rsidP="00714686">
      <w:pPr>
        <w:pStyle w:val="Odstavecseseznamem"/>
        <w:numPr>
          <w:ilvl w:val="0"/>
          <w:numId w:val="2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 případě, že objednatel prokáže, že vyhotovené překladatelské a tlumočnické služby mají některou z vad uvedených v čl. IX. odst. 1, 2 této smlouvy, odstraní dodavatel vady bezplatně, nebo poskytne objednateli slevu na poskytnuté překladatelské a tlumočnické služby dle rozsahu vad až do výše 100 % ceny. Neurčí-li objednatel jinak, platí, že jako právo z vadného plnění zvolil odstranění vad.</w:t>
      </w:r>
    </w:p>
    <w:p w:rsidR="00714686" w:rsidRPr="004B0450" w:rsidRDefault="00714686" w:rsidP="00714686">
      <w:pPr>
        <w:pStyle w:val="Odstavecseseznamem"/>
        <w:numPr>
          <w:ilvl w:val="0"/>
          <w:numId w:val="2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Při nedodržení sjednané lhůty pro dodání překladatelských a tlumočnických služeb je objednatel oprávněn požadovat slevu ve výši 5 % z konečné ceny překladatelských a tlumočnických služeb za každý započatý den prodlení.</w:t>
      </w:r>
    </w:p>
    <w:p w:rsidR="00714686" w:rsidRPr="004B0450" w:rsidRDefault="00714686" w:rsidP="00714686">
      <w:pPr>
        <w:pStyle w:val="Odstavecseseznamem"/>
        <w:numPr>
          <w:ilvl w:val="0"/>
          <w:numId w:val="2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 případě, že bude smluvní strana v prodlení se splněním peněžité povinnosti vzniklé z této smlouvy nebo v souvislosti sní, zaplatí druhé smluvní straně úrok z prodlení v souladu s § 1970 a násl. občanského zákoníku za každý den prodlení.</w:t>
      </w:r>
    </w:p>
    <w:p w:rsidR="00714686" w:rsidRPr="004B0450" w:rsidRDefault="00714686" w:rsidP="00714686">
      <w:pPr>
        <w:pStyle w:val="Odstavecseseznamem"/>
        <w:numPr>
          <w:ilvl w:val="0"/>
          <w:numId w:val="2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Při prodlení s úhradou faktury, objednatel zaplatí dodavateli smluvní pokutu ve výši 0,05 % z dlužné částky za každý den prodlení.</w:t>
      </w:r>
    </w:p>
    <w:p w:rsidR="00714686" w:rsidRPr="004B0450" w:rsidRDefault="00714686" w:rsidP="00714686">
      <w:pPr>
        <w:pStyle w:val="Odstavecseseznamem"/>
        <w:numPr>
          <w:ilvl w:val="0"/>
          <w:numId w:val="2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Ujednání o smluvní pokutě a úroku z prodlení nemají vliv na povinnost smluvních stran hradit případně vzniklou škodu v plné výši vzniklé škody. Uhrazení smluvní pokuty nemá vliv na povinnost dodavatele řádně poskytnout objednané překladatelské a tlumočnické služby.</w:t>
      </w:r>
    </w:p>
    <w:p w:rsidR="00714686" w:rsidRPr="004B0450"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XII.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Účinnost, platnost a odstoupení od smlouvy</w:t>
      </w:r>
    </w:p>
    <w:p w:rsidR="00714686" w:rsidRPr="004B0450" w:rsidRDefault="00714686" w:rsidP="00714686">
      <w:pPr>
        <w:pStyle w:val="Odstavecseseznamem"/>
        <w:numPr>
          <w:ilvl w:val="0"/>
          <w:numId w:val="2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Tato smlouva nabývá platnosti a účinnosti dnem podpisu této smlouvy oprávněnými zástupci obou smluvních stran.</w:t>
      </w:r>
    </w:p>
    <w:p w:rsidR="00714686" w:rsidRPr="004B0450" w:rsidRDefault="00714686" w:rsidP="00714686">
      <w:pPr>
        <w:pStyle w:val="Odstavecseseznamem"/>
        <w:numPr>
          <w:ilvl w:val="0"/>
          <w:numId w:val="2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Tato smlouva může být ukončena:</w:t>
      </w:r>
    </w:p>
    <w:p w:rsidR="00714686" w:rsidRPr="004B0450" w:rsidRDefault="00714686" w:rsidP="00714686">
      <w:pPr>
        <w:pStyle w:val="Odstavecseseznamem"/>
        <w:numPr>
          <w:ilvl w:val="0"/>
          <w:numId w:val="24"/>
        </w:numPr>
        <w:autoSpaceDE w:val="0"/>
        <w:autoSpaceDN w:val="0"/>
        <w:adjustRightInd w:val="0"/>
        <w:jc w:val="both"/>
        <w:rPr>
          <w:rFonts w:ascii="Century Gothic" w:hAnsi="Century Gothic" w:cs="Verdana"/>
          <w:color w:val="000000"/>
          <w:sz w:val="16"/>
          <w:szCs w:val="18"/>
        </w:rPr>
      </w:pPr>
      <w:r w:rsidRPr="004B0450">
        <w:rPr>
          <w:rFonts w:ascii="Century Gothic" w:hAnsi="Century Gothic" w:cs="Verdana"/>
          <w:color w:val="000000"/>
          <w:sz w:val="16"/>
          <w:szCs w:val="18"/>
        </w:rPr>
        <w:t>písemnou dohodou obou smluvních stran;</w:t>
      </w:r>
    </w:p>
    <w:p w:rsidR="00714686" w:rsidRPr="004B0450" w:rsidRDefault="00714686" w:rsidP="00714686">
      <w:pPr>
        <w:pStyle w:val="Odstavecseseznamem"/>
        <w:numPr>
          <w:ilvl w:val="0"/>
          <w:numId w:val="24"/>
        </w:numPr>
        <w:autoSpaceDE w:val="0"/>
        <w:autoSpaceDN w:val="0"/>
        <w:adjustRightInd w:val="0"/>
        <w:jc w:val="both"/>
        <w:rPr>
          <w:rFonts w:ascii="Century Gothic" w:hAnsi="Century Gothic" w:cs="Verdana"/>
          <w:color w:val="000000"/>
          <w:sz w:val="16"/>
          <w:szCs w:val="18"/>
        </w:rPr>
      </w:pPr>
      <w:r w:rsidRPr="004B0450">
        <w:rPr>
          <w:rFonts w:ascii="Century Gothic" w:hAnsi="Century Gothic" w:cs="Verdana"/>
          <w:color w:val="000000"/>
          <w:sz w:val="16"/>
          <w:szCs w:val="18"/>
        </w:rPr>
        <w:t>okamžitým odstoupením od smlouvy v případech, kdy některá ze smluvních stran poruší některou povinnost uvedenou v této smlouvě, dílčí objednávce, případně obecně závazné právní předpisy. Odstoupit od smlouvy je oprávněna ta smluvní strana, která svou povinnost neporušila. Odstoupení od smlouvy musí být učiněno písemně a doručeno druhé smluvní straně.</w:t>
      </w:r>
    </w:p>
    <w:p w:rsidR="00714686" w:rsidRPr="004B0450" w:rsidRDefault="00714686" w:rsidP="00714686">
      <w:pPr>
        <w:pStyle w:val="Odstavecseseznamem"/>
        <w:numPr>
          <w:ilvl w:val="0"/>
          <w:numId w:val="22"/>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 případě ukončení smlouvy a/nebo dílčí objednávky má dodavatel právo na úhradu té části překladatelských a tlumočnických služeb, které do dne ukončení smlouvy a/nebo dílčí objednávky provedl.</w:t>
      </w:r>
    </w:p>
    <w:p w:rsidR="00714686" w:rsidRPr="004B0450"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XIII.</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Utajení a výlučnost</w:t>
      </w:r>
    </w:p>
    <w:p w:rsidR="00714686" w:rsidRPr="004B0450" w:rsidRDefault="00714686" w:rsidP="00714686">
      <w:pPr>
        <w:pStyle w:val="Odstavecseseznamem"/>
        <w:numPr>
          <w:ilvl w:val="1"/>
          <w:numId w:val="2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Veškeré informace obsažené v překládaných dokumentech a tlumočených ústních projevech jsou pokládány za přísně důvěrné.</w:t>
      </w:r>
    </w:p>
    <w:p w:rsidR="00714686" w:rsidRPr="004B0450" w:rsidRDefault="00714686" w:rsidP="00714686">
      <w:pPr>
        <w:pStyle w:val="Odstavecseseznamem"/>
        <w:numPr>
          <w:ilvl w:val="1"/>
          <w:numId w:val="2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je povinen veškeré informace a údaje, se kterými se seznámí v souvislosti se zajištěním překladatelských a tlumočnických služeb, zachovávat v tajnosti a tyto nezpřístupnit třetím osobám.</w:t>
      </w:r>
    </w:p>
    <w:p w:rsidR="00714686" w:rsidRPr="004B0450" w:rsidRDefault="00714686" w:rsidP="00714686">
      <w:pPr>
        <w:pStyle w:val="Odstavecseseznamem"/>
        <w:numPr>
          <w:ilvl w:val="1"/>
          <w:numId w:val="28"/>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není oprávněn jakkoliv využít informace, údaje a dokumentaci, která mu byla zpřístupněna v souvislosti s prováděním služeb, ve prospěch svůj nebo ve prospěch třetí osoby. Dodavatel je povinen dodržovat tyto povinnosti také po ukončení smluvního vztahu mezi objednatelem a dodavatelem až do doby, kdy bude těchto povinností zproštěn.</w:t>
      </w:r>
    </w:p>
    <w:p w:rsidR="00714686" w:rsidRPr="004B0450" w:rsidRDefault="00714686" w:rsidP="00714686">
      <w:pPr>
        <w:pStyle w:val="Odstavecseseznamem"/>
        <w:numPr>
          <w:ilvl w:val="1"/>
          <w:numId w:val="28"/>
        </w:numPr>
        <w:autoSpaceDE w:val="0"/>
        <w:autoSpaceDN w:val="0"/>
        <w:adjustRightInd w:val="0"/>
        <w:ind w:left="360"/>
        <w:jc w:val="both"/>
        <w:rPr>
          <w:rFonts w:ascii="Century Gothic" w:hAnsi="Century Gothic" w:cs="TimesNewRoman"/>
          <w:color w:val="000000"/>
          <w:sz w:val="16"/>
          <w:szCs w:val="18"/>
        </w:rPr>
      </w:pPr>
      <w:r w:rsidRPr="004B0450">
        <w:rPr>
          <w:rFonts w:ascii="Century Gothic" w:hAnsi="Century Gothic"/>
          <w:color w:val="000000"/>
          <w:sz w:val="16"/>
          <w:szCs w:val="18"/>
        </w:rPr>
        <w:t>Dodavatel je povinen u</w:t>
      </w:r>
      <w:r w:rsidRPr="004B0450">
        <w:rPr>
          <w:rFonts w:ascii="Century Gothic" w:hAnsi="Century Gothic" w:cs="TimesNewRoman"/>
          <w:color w:val="000000"/>
          <w:sz w:val="16"/>
          <w:szCs w:val="18"/>
        </w:rPr>
        <w:t>č</w:t>
      </w:r>
      <w:r w:rsidRPr="004B0450">
        <w:rPr>
          <w:rFonts w:ascii="Century Gothic" w:hAnsi="Century Gothic"/>
          <w:color w:val="000000"/>
          <w:sz w:val="16"/>
          <w:szCs w:val="18"/>
        </w:rPr>
        <w:t>init veškerá nezbytná opat</w:t>
      </w:r>
      <w:r w:rsidRPr="004B0450">
        <w:rPr>
          <w:rFonts w:ascii="Century Gothic" w:hAnsi="Century Gothic" w:cs="TimesNewRoman"/>
          <w:color w:val="000000"/>
          <w:sz w:val="16"/>
          <w:szCs w:val="18"/>
        </w:rPr>
        <w:t>ř</w:t>
      </w:r>
      <w:r w:rsidRPr="004B0450">
        <w:rPr>
          <w:rFonts w:ascii="Century Gothic" w:hAnsi="Century Gothic"/>
          <w:color w:val="000000"/>
          <w:sz w:val="16"/>
          <w:szCs w:val="18"/>
        </w:rPr>
        <w:t>ení k ochran</w:t>
      </w:r>
      <w:r w:rsidRPr="004B0450">
        <w:rPr>
          <w:rFonts w:ascii="Century Gothic" w:hAnsi="Century Gothic" w:cs="TimesNewRoman"/>
          <w:color w:val="000000"/>
          <w:sz w:val="16"/>
          <w:szCs w:val="18"/>
        </w:rPr>
        <w:t xml:space="preserve">ě </w:t>
      </w:r>
      <w:r w:rsidRPr="004B0450">
        <w:rPr>
          <w:rFonts w:ascii="Century Gothic" w:hAnsi="Century Gothic"/>
          <w:color w:val="000000"/>
          <w:sz w:val="16"/>
          <w:szCs w:val="18"/>
        </w:rPr>
        <w:t>informací a údaj</w:t>
      </w:r>
      <w:r w:rsidRPr="004B0450">
        <w:rPr>
          <w:rFonts w:ascii="Century Gothic" w:hAnsi="Century Gothic" w:cs="TimesNewRoman"/>
          <w:color w:val="000000"/>
          <w:sz w:val="16"/>
          <w:szCs w:val="18"/>
        </w:rPr>
        <w:t xml:space="preserve">ů </w:t>
      </w:r>
      <w:r w:rsidRPr="004B0450">
        <w:rPr>
          <w:rFonts w:ascii="Century Gothic" w:hAnsi="Century Gothic"/>
          <w:color w:val="000000"/>
          <w:sz w:val="16"/>
          <w:szCs w:val="18"/>
        </w:rPr>
        <w:t>zp</w:t>
      </w:r>
      <w:r w:rsidRPr="004B0450">
        <w:rPr>
          <w:rFonts w:ascii="Century Gothic" w:hAnsi="Century Gothic" w:cs="TimesNewRoman"/>
          <w:color w:val="000000"/>
          <w:sz w:val="16"/>
          <w:szCs w:val="18"/>
        </w:rPr>
        <w:t>ř</w:t>
      </w:r>
      <w:r w:rsidRPr="004B0450">
        <w:rPr>
          <w:rFonts w:ascii="Century Gothic" w:hAnsi="Century Gothic"/>
          <w:color w:val="000000"/>
          <w:sz w:val="16"/>
          <w:szCs w:val="18"/>
        </w:rPr>
        <w:t>ístupn</w:t>
      </w:r>
      <w:r w:rsidRPr="004B0450">
        <w:rPr>
          <w:rFonts w:ascii="Century Gothic" w:hAnsi="Century Gothic" w:cs="TimesNewRoman"/>
          <w:color w:val="000000"/>
          <w:sz w:val="16"/>
          <w:szCs w:val="18"/>
        </w:rPr>
        <w:t>ě</w:t>
      </w:r>
      <w:r w:rsidRPr="004B0450">
        <w:rPr>
          <w:rFonts w:ascii="Century Gothic" w:hAnsi="Century Gothic"/>
          <w:color w:val="000000"/>
          <w:sz w:val="16"/>
          <w:szCs w:val="18"/>
        </w:rPr>
        <w:t>ných objednatelem.</w:t>
      </w:r>
    </w:p>
    <w:p w:rsidR="00714686" w:rsidRPr="004B0450" w:rsidRDefault="00714686" w:rsidP="00714686">
      <w:pPr>
        <w:autoSpaceDE w:val="0"/>
        <w:autoSpaceDN w:val="0"/>
        <w:adjustRightInd w:val="0"/>
        <w:rPr>
          <w:rFonts w:ascii="Century Gothic" w:hAnsi="Century Gothic"/>
          <w:color w:val="000000"/>
          <w:sz w:val="16"/>
          <w:szCs w:val="18"/>
        </w:rPr>
      </w:pP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XIV.</w:t>
      </w:r>
    </w:p>
    <w:p w:rsidR="00714686" w:rsidRPr="004B0450" w:rsidRDefault="00714686" w:rsidP="00714686">
      <w:pPr>
        <w:autoSpaceDE w:val="0"/>
        <w:autoSpaceDN w:val="0"/>
        <w:adjustRightInd w:val="0"/>
        <w:jc w:val="center"/>
        <w:rPr>
          <w:rFonts w:ascii="Century Gothic" w:hAnsi="Century Gothic" w:cs="Verdana"/>
          <w:b/>
          <w:color w:val="000000"/>
          <w:sz w:val="16"/>
          <w:szCs w:val="18"/>
        </w:rPr>
      </w:pPr>
      <w:r w:rsidRPr="004B0450">
        <w:rPr>
          <w:rFonts w:ascii="Century Gothic" w:hAnsi="Century Gothic" w:cs="Verdana"/>
          <w:b/>
          <w:color w:val="000000"/>
          <w:sz w:val="16"/>
          <w:szCs w:val="18"/>
        </w:rPr>
        <w:t>Závěrečná ujednání</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V případě, že mezi smluvními stranami vznikne spor týkající se oprávněnosti a včasnosti uplatněných nároků objednatele z odpovědnosti za vady týkající se odborné stránky dodané služby, zavazují se smluvní strany řešit tento spor prvotně mimosoudní cestou, formou znaleckého posudku nezávislého arbitra, zvoleného dohodou smluvních stran ze seznamu soudních překladatelů a tlumočníků vedeného Městským soudem v Praze. Náklady spojené s vyhotovením znaleckého posudku nezávislého arbitra se zavazuje uhradit ta ze smluvních stran, která nebude mít v reklamačním řízení úspěch, případně každá ze smluvních stran podle míry úspěšnosti. Zálohu spojenou s vyhotovením znaleckého posudku nezávislého arbitra uhradí obě smluvní strany společně ve stejné výši s tím, že bude provedeno závěrečné vyúčtování. V případě, že se spor nepodaří vyřešit uvedeným způsobem, bude věc předložena k rozhodnutí příslušnému soudu.</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sz w:val="16"/>
          <w:szCs w:val="18"/>
        </w:rPr>
        <w:t xml:space="preserve">Tato smlouva se řídí českým právem. Záležitosti neupravené smlouvou se řídí občanským zákoníkem </w:t>
      </w:r>
      <w:r w:rsidRPr="004B0450">
        <w:rPr>
          <w:rFonts w:ascii="Century Gothic" w:hAnsi="Century Gothic" w:cs="Verdana"/>
          <w:color w:val="000000"/>
          <w:sz w:val="16"/>
          <w:szCs w:val="18"/>
        </w:rPr>
        <w:t>a dalšími obecně závaznými právními předpisy České republiky.</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olor w:val="000000"/>
          <w:sz w:val="16"/>
          <w:szCs w:val="18"/>
        </w:rPr>
      </w:pPr>
      <w:r w:rsidRPr="004B0450">
        <w:rPr>
          <w:rFonts w:ascii="Century Gothic" w:hAnsi="Century Gothic"/>
          <w:iCs/>
          <w:sz w:val="16"/>
          <w:szCs w:val="18"/>
        </w:rPr>
        <w:t>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w:t>
      </w:r>
      <w:r w:rsidRPr="004B0450">
        <w:rPr>
          <w:rFonts w:ascii="Century Gothic" w:hAnsi="Century Gothic"/>
          <w:sz w:val="16"/>
          <w:szCs w:val="18"/>
        </w:rPr>
        <w:t xml:space="preserve">, </w:t>
      </w:r>
      <w:r w:rsidRPr="004B0450">
        <w:rPr>
          <w:rFonts w:ascii="Century Gothic" w:hAnsi="Century Gothic"/>
          <w:iCs/>
          <w:sz w:val="16"/>
          <w:szCs w:val="18"/>
        </w:rPr>
        <w:t>které bude svým ekonomickým dopadem co nejbližší (v maximální možné míře přípustné platnými právními předpisy) ustanovení, které má být nahrazeno, a původnímu úmyslu smluvních stran, a to ve lhůtě 10 dnů od obdržení kteroukoli smluvní stranou příslušné výzvy druhé smluvní strany smlouvy.</w:t>
      </w:r>
    </w:p>
    <w:p w:rsidR="00714686" w:rsidRPr="004B0450" w:rsidRDefault="00714686" w:rsidP="00714686">
      <w:pPr>
        <w:pStyle w:val="Odstavecseseznamem"/>
        <w:numPr>
          <w:ilvl w:val="1"/>
          <w:numId w:val="30"/>
        </w:numPr>
        <w:suppressAutoHyphens/>
        <w:ind w:left="360"/>
        <w:jc w:val="both"/>
        <w:rPr>
          <w:rFonts w:ascii="Century Gothic" w:hAnsi="Century Gothic"/>
          <w:color w:val="000000"/>
          <w:sz w:val="16"/>
          <w:szCs w:val="18"/>
        </w:rPr>
      </w:pPr>
      <w:r w:rsidRPr="004B0450">
        <w:rPr>
          <w:rFonts w:ascii="Century Gothic" w:hAnsi="Century Gothic"/>
          <w:sz w:val="16"/>
          <w:szCs w:val="18"/>
        </w:rPr>
        <w:t>Obě smluvní strany na sebe přejímají nebezpečí změny okolností ve svůj neprospěch, žádná ze smluvních stran nemá právo dle ustanovení § 1765 občanského zákoníku.</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sz w:val="16"/>
          <w:szCs w:val="18"/>
        </w:rPr>
        <w:t>Tato smlouva může být změněna nebo doplněna pouze formou číslovaného písemného dodatku podepsaného oběma smluvními stranami. Má se za to, že změna smlouvy je z důvodu nedodržení formy neplatná. Tato smlouva v plném rozsahu ruší a nahrazuje vše, co uzavření této smlouvy předcházelo a týkalo se stejného předmětu (plnění) jako tato smlouva. Pro jakékoli vztahy smluvních stran ze smlouvy anebo v souvislosti s ní mají s vyloučením ustanovení § 566 odst. 2 občanský zákoník význam pouze ustanovení smluvní stranou řádně podepsané listiny. Jakékoli jiné písemnosti včetně e-mailové korespondence jsou bez právního významu.</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Smluvní strany prohlašují, že osoby podepisující tuto smlouvu jsou k tomuto jednání oprávněny.</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Dodavatel nemůže bez souhlasu objednatele postoupit svá práva a povinnosti plynoucí ze smlouvy třetí straně, vyjma osob, které dodavatel potřebuje ke splnění povinností, které vyplývají z předmětu smlouvy.</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Smlouva je vyhotovena ve čtyřech stejnopisech splatností originálu, podepsaných oprávněnými zástupci smluvních stran, objednatel obdrží dvě vyhotovení a dodavatel obdrží dvě vyhotovení.</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 xml:space="preserve">Nedílnou součástí této smlouvy je příloha č. </w:t>
      </w:r>
      <w:r>
        <w:rPr>
          <w:rFonts w:ascii="Century Gothic" w:hAnsi="Century Gothic" w:cs="Verdana"/>
          <w:color w:val="000000"/>
          <w:sz w:val="16"/>
          <w:szCs w:val="18"/>
        </w:rPr>
        <w:t>2</w:t>
      </w:r>
      <w:r w:rsidRPr="004B0450">
        <w:rPr>
          <w:rFonts w:ascii="Century Gothic" w:hAnsi="Century Gothic" w:cs="Verdana"/>
          <w:color w:val="000000"/>
          <w:sz w:val="16"/>
          <w:szCs w:val="18"/>
        </w:rPr>
        <w:t xml:space="preserve"> – Cena za služby – 2 listy.</w:t>
      </w:r>
    </w:p>
    <w:p w:rsidR="00714686" w:rsidRPr="004B0450" w:rsidRDefault="00714686" w:rsidP="00714686">
      <w:pPr>
        <w:pStyle w:val="Odstavecseseznamem"/>
        <w:numPr>
          <w:ilvl w:val="1"/>
          <w:numId w:val="30"/>
        </w:numPr>
        <w:autoSpaceDE w:val="0"/>
        <w:autoSpaceDN w:val="0"/>
        <w:adjustRightInd w:val="0"/>
        <w:ind w:left="360"/>
        <w:jc w:val="both"/>
        <w:rPr>
          <w:rFonts w:ascii="Century Gothic" w:hAnsi="Century Gothic" w:cs="Verdana"/>
          <w:color w:val="000000"/>
          <w:sz w:val="16"/>
          <w:szCs w:val="18"/>
        </w:rPr>
      </w:pPr>
      <w:r w:rsidRPr="004B0450">
        <w:rPr>
          <w:rFonts w:ascii="Century Gothic" w:hAnsi="Century Gothic" w:cs="Verdana"/>
          <w:color w:val="000000"/>
          <w:sz w:val="16"/>
          <w:szCs w:val="18"/>
        </w:rPr>
        <w:t>Účastníci této smlouvy prohlašují, že si text smlouvy důkladně přečetli, s obsahem souhlasí a že tato smlouva byla uzavřena podle jejich skutečné, svobodné a vážné vůle, nikoli v tísni a za nápadně nevýhodných podmínek a na důkaz toho připojují své podpisy.</w:t>
      </w:r>
    </w:p>
    <w:p w:rsidR="00714686" w:rsidRPr="004B0450"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rPr>
          <w:rFonts w:ascii="Century Gothic" w:hAnsi="Century Gothic" w:cs="Verdana"/>
          <w:color w:val="000000"/>
          <w:sz w:val="16"/>
          <w:szCs w:val="18"/>
        </w:rPr>
      </w:pPr>
      <w:r w:rsidRPr="004B0450">
        <w:rPr>
          <w:rFonts w:ascii="Century Gothic" w:hAnsi="Century Gothic" w:cs="Verdana"/>
          <w:color w:val="000000"/>
          <w:sz w:val="16"/>
          <w:szCs w:val="18"/>
        </w:rPr>
        <w:t>Příloha č. 1 – Dohoda o mlčenlivosti</w:t>
      </w:r>
    </w:p>
    <w:p w:rsidR="00714686" w:rsidRPr="004B0450" w:rsidRDefault="00714686" w:rsidP="00714686">
      <w:pPr>
        <w:autoSpaceDE w:val="0"/>
        <w:autoSpaceDN w:val="0"/>
        <w:adjustRightInd w:val="0"/>
        <w:rPr>
          <w:rFonts w:ascii="Century Gothic" w:hAnsi="Century Gothic" w:cs="Verdana"/>
          <w:color w:val="000000"/>
          <w:sz w:val="16"/>
          <w:szCs w:val="18"/>
        </w:rPr>
      </w:pPr>
      <w:r w:rsidRPr="004B0450">
        <w:rPr>
          <w:rFonts w:ascii="Century Gothic" w:hAnsi="Century Gothic" w:cs="Verdana"/>
          <w:color w:val="000000"/>
          <w:sz w:val="16"/>
          <w:szCs w:val="18"/>
        </w:rPr>
        <w:t>Příloha č. 2 – Ceník služeb</w:t>
      </w:r>
    </w:p>
    <w:p w:rsidR="00714686" w:rsidRDefault="00714686" w:rsidP="00714686">
      <w:pPr>
        <w:autoSpaceDE w:val="0"/>
        <w:autoSpaceDN w:val="0"/>
        <w:adjustRightInd w:val="0"/>
        <w:rPr>
          <w:rFonts w:ascii="Century Gothic" w:hAnsi="Century Gothic" w:cs="Verdana"/>
          <w:color w:val="000000"/>
          <w:sz w:val="16"/>
          <w:szCs w:val="18"/>
        </w:rPr>
      </w:pPr>
    </w:p>
    <w:p w:rsidR="00714686" w:rsidRDefault="00714686" w:rsidP="00714686">
      <w:pPr>
        <w:autoSpaceDE w:val="0"/>
        <w:autoSpaceDN w:val="0"/>
        <w:adjustRightInd w:val="0"/>
        <w:rPr>
          <w:rFonts w:ascii="Century Gothic" w:hAnsi="Century Gothic" w:cs="Verdana"/>
          <w:color w:val="000000"/>
          <w:sz w:val="16"/>
          <w:szCs w:val="18"/>
        </w:rPr>
      </w:pPr>
    </w:p>
    <w:p w:rsidR="00714686" w:rsidRDefault="00714686" w:rsidP="00714686">
      <w:pPr>
        <w:autoSpaceDE w:val="0"/>
        <w:autoSpaceDN w:val="0"/>
        <w:adjustRightInd w:val="0"/>
        <w:rPr>
          <w:rFonts w:ascii="Century Gothic" w:hAnsi="Century Gothic" w:cs="Verdana"/>
          <w:color w:val="000000"/>
          <w:sz w:val="16"/>
          <w:szCs w:val="18"/>
        </w:rPr>
      </w:pPr>
    </w:p>
    <w:p w:rsidR="00714686" w:rsidRDefault="00714686" w:rsidP="00714686">
      <w:pPr>
        <w:autoSpaceDE w:val="0"/>
        <w:autoSpaceDN w:val="0"/>
        <w:adjustRightInd w:val="0"/>
        <w:rPr>
          <w:rFonts w:ascii="Century Gothic" w:hAnsi="Century Gothic" w:cs="Verdana"/>
          <w:color w:val="000000"/>
          <w:sz w:val="16"/>
          <w:szCs w:val="18"/>
        </w:rPr>
      </w:pPr>
    </w:p>
    <w:p w:rsidR="00714686" w:rsidRDefault="00714686" w:rsidP="00714686">
      <w:pPr>
        <w:autoSpaceDE w:val="0"/>
        <w:autoSpaceDN w:val="0"/>
        <w:adjustRightInd w:val="0"/>
        <w:rPr>
          <w:rFonts w:ascii="Century Gothic" w:hAnsi="Century Gothic" w:cs="Verdana"/>
          <w:color w:val="000000"/>
          <w:sz w:val="16"/>
          <w:szCs w:val="18"/>
        </w:rPr>
      </w:pPr>
    </w:p>
    <w:p w:rsidR="00714686" w:rsidRDefault="00714686" w:rsidP="00714686">
      <w:pPr>
        <w:autoSpaceDE w:val="0"/>
        <w:autoSpaceDN w:val="0"/>
        <w:adjustRightInd w:val="0"/>
        <w:rPr>
          <w:rFonts w:ascii="Century Gothic" w:hAnsi="Century Gothic" w:cs="Verdana"/>
          <w:color w:val="000000"/>
          <w:sz w:val="16"/>
          <w:szCs w:val="18"/>
        </w:rPr>
      </w:pPr>
    </w:p>
    <w:p w:rsidR="00714686" w:rsidRPr="004B0450" w:rsidRDefault="00714686" w:rsidP="00714686">
      <w:pPr>
        <w:autoSpaceDE w:val="0"/>
        <w:autoSpaceDN w:val="0"/>
        <w:adjustRightInd w:val="0"/>
        <w:rPr>
          <w:rFonts w:ascii="Century Gothic" w:hAnsi="Century Gothic" w:cs="Verdana"/>
          <w:color w:val="000000"/>
          <w:sz w:val="16"/>
          <w:szCs w:val="18"/>
        </w:rPr>
      </w:pPr>
    </w:p>
    <w:tbl>
      <w:tblPr>
        <w:tblW w:w="0" w:type="auto"/>
        <w:jc w:val="center"/>
        <w:tblLook w:val="01E0" w:firstRow="1" w:lastRow="1" w:firstColumn="1" w:lastColumn="1" w:noHBand="0" w:noVBand="0"/>
      </w:tblPr>
      <w:tblGrid>
        <w:gridCol w:w="4605"/>
        <w:gridCol w:w="4605"/>
      </w:tblGrid>
      <w:tr w:rsidR="00714686" w:rsidRPr="004B0450" w:rsidTr="00A94E24">
        <w:trPr>
          <w:trHeight w:val="1619"/>
          <w:jc w:val="center"/>
        </w:trPr>
        <w:tc>
          <w:tcPr>
            <w:tcW w:w="4605" w:type="dxa"/>
          </w:tcPr>
          <w:p w:rsidR="00714686" w:rsidRPr="004B0450" w:rsidRDefault="00714686" w:rsidP="00A94E24">
            <w:pPr>
              <w:pStyle w:val="RLsmluvnstrana"/>
              <w:rPr>
                <w:rFonts w:ascii="Century Gothic" w:hAnsi="Century Gothic" w:cs="Arial"/>
                <w:sz w:val="16"/>
                <w:szCs w:val="18"/>
              </w:rPr>
            </w:pPr>
            <w:r w:rsidRPr="004B0450">
              <w:rPr>
                <w:rFonts w:ascii="Century Gothic" w:hAnsi="Century Gothic" w:cs="Arial"/>
                <w:sz w:val="16"/>
                <w:szCs w:val="18"/>
              </w:rPr>
              <w:t>Objednatel</w:t>
            </w:r>
          </w:p>
          <w:p w:rsidR="00714686" w:rsidRPr="004B0450" w:rsidRDefault="00714686" w:rsidP="00A94E24">
            <w:pPr>
              <w:pStyle w:val="RLdajeosmluvnstran"/>
              <w:rPr>
                <w:rFonts w:ascii="Century Gothic" w:hAnsi="Century Gothic" w:cs="Arial"/>
                <w:sz w:val="16"/>
                <w:szCs w:val="18"/>
              </w:rPr>
            </w:pPr>
          </w:p>
          <w:p w:rsidR="00714686" w:rsidRPr="004B0450" w:rsidRDefault="00714686" w:rsidP="00A94E24">
            <w:pPr>
              <w:pStyle w:val="RLdajeosmluvnstran"/>
              <w:rPr>
                <w:rFonts w:ascii="Century Gothic" w:hAnsi="Century Gothic" w:cs="Arial"/>
                <w:sz w:val="16"/>
                <w:szCs w:val="18"/>
              </w:rPr>
            </w:pPr>
            <w:r w:rsidRPr="004B0450">
              <w:rPr>
                <w:rFonts w:ascii="Century Gothic" w:hAnsi="Century Gothic" w:cs="Arial"/>
                <w:sz w:val="16"/>
                <w:szCs w:val="18"/>
              </w:rPr>
              <w:t>V </w:t>
            </w:r>
            <w:r>
              <w:rPr>
                <w:rFonts w:ascii="Century Gothic" w:hAnsi="Century Gothic" w:cs="Arial"/>
                <w:sz w:val="16"/>
                <w:szCs w:val="18"/>
              </w:rPr>
              <w:t>Praze</w:t>
            </w:r>
            <w:r w:rsidRPr="004B0450">
              <w:rPr>
                <w:rFonts w:ascii="Century Gothic" w:hAnsi="Century Gothic" w:cs="Arial"/>
                <w:sz w:val="16"/>
                <w:szCs w:val="18"/>
              </w:rPr>
              <w:t xml:space="preserve"> dne</w:t>
            </w:r>
            <w:r>
              <w:rPr>
                <w:rFonts w:ascii="Century Gothic" w:hAnsi="Century Gothic" w:cs="Arial"/>
                <w:sz w:val="16"/>
                <w:szCs w:val="18"/>
              </w:rPr>
              <w:t>…………………………………………….</w:t>
            </w:r>
          </w:p>
          <w:p w:rsidR="00714686" w:rsidRPr="004B0450" w:rsidRDefault="00714686" w:rsidP="00A94E24">
            <w:pPr>
              <w:rPr>
                <w:rFonts w:ascii="Century Gothic" w:hAnsi="Century Gothic" w:cs="Arial"/>
                <w:sz w:val="16"/>
                <w:szCs w:val="18"/>
              </w:rPr>
            </w:pPr>
          </w:p>
        </w:tc>
        <w:tc>
          <w:tcPr>
            <w:tcW w:w="4605" w:type="dxa"/>
          </w:tcPr>
          <w:p w:rsidR="00714686" w:rsidRPr="004B0450" w:rsidRDefault="00714686" w:rsidP="00A94E24">
            <w:pPr>
              <w:pStyle w:val="RLsmluvnstrana"/>
              <w:rPr>
                <w:rFonts w:ascii="Century Gothic" w:hAnsi="Century Gothic" w:cs="Arial"/>
                <w:sz w:val="16"/>
                <w:szCs w:val="18"/>
              </w:rPr>
            </w:pPr>
            <w:r w:rsidRPr="004B0450">
              <w:rPr>
                <w:rFonts w:ascii="Century Gothic" w:hAnsi="Century Gothic" w:cs="Arial"/>
                <w:sz w:val="16"/>
                <w:szCs w:val="18"/>
              </w:rPr>
              <w:t>Dodavatel</w:t>
            </w:r>
          </w:p>
          <w:p w:rsidR="00714686" w:rsidRPr="004B0450" w:rsidRDefault="00714686" w:rsidP="00A94E24">
            <w:pPr>
              <w:pStyle w:val="RLdajeosmluvnstran"/>
              <w:rPr>
                <w:rFonts w:ascii="Century Gothic" w:hAnsi="Century Gothic" w:cs="Arial"/>
                <w:sz w:val="16"/>
                <w:szCs w:val="18"/>
              </w:rPr>
            </w:pPr>
          </w:p>
          <w:p w:rsidR="00714686" w:rsidRPr="004B0450" w:rsidRDefault="00714686" w:rsidP="00A94E24">
            <w:pPr>
              <w:pStyle w:val="RLdajeosmluvnstran"/>
              <w:rPr>
                <w:rFonts w:ascii="Century Gothic" w:hAnsi="Century Gothic" w:cs="Arial"/>
                <w:sz w:val="16"/>
                <w:szCs w:val="18"/>
              </w:rPr>
            </w:pPr>
            <w:r w:rsidRPr="004B0450">
              <w:rPr>
                <w:rFonts w:ascii="Century Gothic" w:hAnsi="Century Gothic" w:cs="Arial"/>
                <w:sz w:val="16"/>
                <w:szCs w:val="18"/>
              </w:rPr>
              <w:t>V </w:t>
            </w:r>
            <w:r>
              <w:rPr>
                <w:rFonts w:ascii="Century Gothic" w:hAnsi="Century Gothic" w:cs="Arial"/>
                <w:sz w:val="16"/>
                <w:szCs w:val="18"/>
              </w:rPr>
              <w:t>Praze dne………………………………………………</w:t>
            </w:r>
          </w:p>
          <w:p w:rsidR="00714686" w:rsidRDefault="00714686" w:rsidP="00A94E24">
            <w:pPr>
              <w:rPr>
                <w:rFonts w:ascii="Century Gothic" w:hAnsi="Century Gothic" w:cs="Arial"/>
                <w:sz w:val="16"/>
                <w:szCs w:val="18"/>
              </w:rPr>
            </w:pPr>
          </w:p>
          <w:p w:rsidR="00714686" w:rsidRDefault="00714686" w:rsidP="00A94E24">
            <w:pPr>
              <w:rPr>
                <w:rFonts w:ascii="Century Gothic" w:hAnsi="Century Gothic" w:cs="Arial"/>
                <w:sz w:val="16"/>
                <w:szCs w:val="18"/>
              </w:rPr>
            </w:pPr>
          </w:p>
          <w:p w:rsidR="00714686" w:rsidRDefault="00714686" w:rsidP="00A94E24">
            <w:pPr>
              <w:rPr>
                <w:rFonts w:ascii="Century Gothic" w:hAnsi="Century Gothic" w:cs="Arial"/>
                <w:sz w:val="16"/>
                <w:szCs w:val="18"/>
              </w:rPr>
            </w:pPr>
          </w:p>
          <w:p w:rsidR="00714686" w:rsidRDefault="00714686" w:rsidP="00A94E24">
            <w:pPr>
              <w:rPr>
                <w:rFonts w:ascii="Century Gothic" w:hAnsi="Century Gothic" w:cs="Arial"/>
                <w:sz w:val="16"/>
                <w:szCs w:val="18"/>
              </w:rPr>
            </w:pPr>
          </w:p>
          <w:p w:rsidR="00714686" w:rsidRPr="004B0450" w:rsidRDefault="00714686" w:rsidP="00A94E24">
            <w:pPr>
              <w:rPr>
                <w:rFonts w:ascii="Century Gothic" w:hAnsi="Century Gothic" w:cs="Arial"/>
                <w:sz w:val="16"/>
                <w:szCs w:val="18"/>
              </w:rPr>
            </w:pPr>
          </w:p>
        </w:tc>
      </w:tr>
      <w:tr w:rsidR="00714686" w:rsidRPr="004B0450" w:rsidTr="00A94E24">
        <w:trPr>
          <w:jc w:val="center"/>
        </w:trPr>
        <w:tc>
          <w:tcPr>
            <w:tcW w:w="4605" w:type="dxa"/>
          </w:tcPr>
          <w:p w:rsidR="00714686" w:rsidRPr="004B0450" w:rsidRDefault="00714686" w:rsidP="00A94E24">
            <w:pPr>
              <w:pStyle w:val="RLdajeosmluvnstran"/>
              <w:spacing w:after="0" w:line="240" w:lineRule="auto"/>
              <w:rPr>
                <w:rFonts w:ascii="Century Gothic" w:hAnsi="Century Gothic" w:cs="Arial"/>
                <w:sz w:val="16"/>
                <w:szCs w:val="18"/>
              </w:rPr>
            </w:pPr>
            <w:r w:rsidRPr="004B0450">
              <w:rPr>
                <w:rFonts w:ascii="Century Gothic" w:hAnsi="Century Gothic" w:cs="Arial"/>
                <w:sz w:val="16"/>
                <w:szCs w:val="18"/>
              </w:rPr>
              <w:t>...................................................................................</w:t>
            </w:r>
          </w:p>
          <w:p w:rsidR="00714686" w:rsidRDefault="00714686" w:rsidP="00A94E24">
            <w:pPr>
              <w:ind w:left="102" w:hanging="102"/>
              <w:jc w:val="center"/>
              <w:rPr>
                <w:rFonts w:ascii="Century Gothic" w:hAnsi="Century Gothic" w:cs="Arial"/>
                <w:b/>
                <w:sz w:val="16"/>
                <w:szCs w:val="18"/>
              </w:rPr>
            </w:pPr>
          </w:p>
          <w:p w:rsidR="00714686" w:rsidRPr="00422A1E" w:rsidRDefault="00714686" w:rsidP="00A94E24">
            <w:pPr>
              <w:ind w:left="102" w:hanging="102"/>
              <w:jc w:val="center"/>
              <w:rPr>
                <w:rFonts w:ascii="Century Gothic" w:hAnsi="Century Gothic"/>
                <w:b/>
                <w:color w:val="000080"/>
                <w:sz w:val="16"/>
                <w:szCs w:val="18"/>
              </w:rPr>
            </w:pPr>
            <w:r w:rsidRPr="00422A1E">
              <w:rPr>
                <w:rFonts w:ascii="Century Gothic" w:hAnsi="Century Gothic" w:cs="Arial"/>
                <w:b/>
                <w:sz w:val="16"/>
                <w:szCs w:val="18"/>
              </w:rPr>
              <w:t>Státní zemědělský intervenční fond</w:t>
            </w:r>
          </w:p>
          <w:p w:rsidR="00714686" w:rsidRPr="00422A1E" w:rsidRDefault="00714686" w:rsidP="00A94E24">
            <w:pPr>
              <w:ind w:left="102" w:hanging="102"/>
              <w:jc w:val="center"/>
              <w:rPr>
                <w:rFonts w:ascii="Century Gothic" w:hAnsi="Century Gothic" w:cs="Arial"/>
                <w:b/>
                <w:sz w:val="16"/>
                <w:szCs w:val="18"/>
              </w:rPr>
            </w:pPr>
            <w:r w:rsidRPr="00422A1E">
              <w:rPr>
                <w:rFonts w:ascii="Century Gothic" w:hAnsi="Century Gothic" w:cs="Arial"/>
                <w:b/>
                <w:sz w:val="16"/>
                <w:szCs w:val="18"/>
              </w:rPr>
              <w:t xml:space="preserve">Mgr. </w:t>
            </w:r>
            <w:r>
              <w:rPr>
                <w:rFonts w:ascii="Century Gothic" w:hAnsi="Century Gothic" w:cs="Arial"/>
                <w:b/>
                <w:sz w:val="16"/>
                <w:szCs w:val="18"/>
              </w:rPr>
              <w:t>Jan Havlíček</w:t>
            </w:r>
          </w:p>
          <w:p w:rsidR="00714686" w:rsidRPr="004B0450" w:rsidRDefault="00714686" w:rsidP="00A94E24">
            <w:pPr>
              <w:ind w:left="102" w:hanging="102"/>
              <w:jc w:val="center"/>
              <w:rPr>
                <w:rFonts w:ascii="Century Gothic" w:hAnsi="Century Gothic"/>
                <w:b/>
                <w:color w:val="000080"/>
                <w:sz w:val="16"/>
                <w:szCs w:val="18"/>
              </w:rPr>
            </w:pPr>
            <w:r>
              <w:rPr>
                <w:rFonts w:ascii="Century Gothic" w:hAnsi="Century Gothic" w:cs="Arial"/>
                <w:b/>
                <w:sz w:val="16"/>
                <w:szCs w:val="18"/>
              </w:rPr>
              <w:t>ř</w:t>
            </w:r>
            <w:r w:rsidRPr="00422A1E">
              <w:rPr>
                <w:rFonts w:ascii="Century Gothic" w:hAnsi="Century Gothic" w:cs="Arial"/>
                <w:b/>
                <w:sz w:val="16"/>
                <w:szCs w:val="18"/>
              </w:rPr>
              <w:t xml:space="preserve">editel </w:t>
            </w:r>
            <w:r>
              <w:rPr>
                <w:rFonts w:ascii="Century Gothic" w:hAnsi="Century Gothic" w:cs="Arial"/>
                <w:b/>
                <w:sz w:val="16"/>
                <w:szCs w:val="18"/>
              </w:rPr>
              <w:t>Sekce správních činností</w:t>
            </w:r>
            <w:r w:rsidRPr="00422A1E">
              <w:rPr>
                <w:rFonts w:ascii="Century Gothic" w:hAnsi="Century Gothic" w:cs="Arial"/>
                <w:b/>
                <w:sz w:val="16"/>
                <w:szCs w:val="18"/>
              </w:rPr>
              <w:t xml:space="preserve"> </w:t>
            </w:r>
          </w:p>
        </w:tc>
        <w:tc>
          <w:tcPr>
            <w:tcW w:w="4605" w:type="dxa"/>
          </w:tcPr>
          <w:p w:rsidR="00714686" w:rsidRPr="004B0450" w:rsidRDefault="00714686" w:rsidP="00A94E24">
            <w:pPr>
              <w:pStyle w:val="RLdajeosmluvnstran"/>
              <w:spacing w:after="0" w:line="240" w:lineRule="auto"/>
              <w:rPr>
                <w:rFonts w:ascii="Century Gothic" w:hAnsi="Century Gothic" w:cs="Arial"/>
                <w:sz w:val="16"/>
                <w:szCs w:val="18"/>
              </w:rPr>
            </w:pPr>
            <w:r w:rsidRPr="004B0450">
              <w:rPr>
                <w:rFonts w:ascii="Century Gothic" w:hAnsi="Century Gothic" w:cs="Arial"/>
                <w:sz w:val="16"/>
                <w:szCs w:val="18"/>
              </w:rPr>
              <w:t>...................................................................................</w:t>
            </w:r>
          </w:p>
          <w:p w:rsidR="00714686" w:rsidRDefault="00714686" w:rsidP="00A94E24">
            <w:pPr>
              <w:pStyle w:val="RLsmluvnstrana"/>
              <w:spacing w:after="0" w:line="240" w:lineRule="auto"/>
              <w:rPr>
                <w:rFonts w:ascii="Century Gothic" w:hAnsi="Century Gothic" w:cs="Arial"/>
                <w:sz w:val="16"/>
                <w:szCs w:val="18"/>
              </w:rPr>
            </w:pPr>
          </w:p>
          <w:p w:rsidR="00714686" w:rsidRPr="00422A1E" w:rsidRDefault="00714686" w:rsidP="00A94E24">
            <w:pPr>
              <w:pStyle w:val="RLsmluvnstrana"/>
              <w:spacing w:after="0" w:line="240" w:lineRule="auto"/>
              <w:rPr>
                <w:rFonts w:ascii="Century Gothic" w:hAnsi="Century Gothic" w:cs="Arial"/>
                <w:sz w:val="16"/>
                <w:szCs w:val="18"/>
              </w:rPr>
            </w:pPr>
            <w:r w:rsidRPr="00422A1E">
              <w:rPr>
                <w:rFonts w:ascii="Century Gothic" w:hAnsi="Century Gothic" w:cs="Arial"/>
                <w:sz w:val="16"/>
                <w:szCs w:val="18"/>
              </w:rPr>
              <w:t>Moudrý překlad, s.r.o.</w:t>
            </w:r>
          </w:p>
          <w:p w:rsidR="00714686" w:rsidRPr="00422A1E" w:rsidRDefault="00714686" w:rsidP="00A94E24">
            <w:pPr>
              <w:pStyle w:val="RLdajeosmluvnstran"/>
              <w:spacing w:after="0" w:line="240" w:lineRule="auto"/>
              <w:rPr>
                <w:rFonts w:ascii="Century Gothic" w:hAnsi="Century Gothic" w:cs="Arial"/>
                <w:b/>
                <w:sz w:val="16"/>
                <w:szCs w:val="18"/>
              </w:rPr>
            </w:pPr>
            <w:r w:rsidRPr="00422A1E">
              <w:rPr>
                <w:rFonts w:ascii="Century Gothic" w:hAnsi="Century Gothic" w:cs="Arial"/>
                <w:b/>
                <w:sz w:val="16"/>
                <w:szCs w:val="18"/>
              </w:rPr>
              <w:t>Michal Moudrý,</w:t>
            </w:r>
          </w:p>
          <w:p w:rsidR="00714686" w:rsidRPr="004B0450" w:rsidRDefault="00714686" w:rsidP="00A94E24">
            <w:pPr>
              <w:pStyle w:val="RLdajeosmluvnstran"/>
              <w:spacing w:after="0" w:line="240" w:lineRule="auto"/>
              <w:rPr>
                <w:rFonts w:ascii="Century Gothic" w:hAnsi="Century Gothic" w:cs="Arial"/>
                <w:sz w:val="16"/>
                <w:szCs w:val="18"/>
              </w:rPr>
            </w:pPr>
            <w:r w:rsidRPr="00422A1E">
              <w:rPr>
                <w:rFonts w:ascii="Century Gothic" w:hAnsi="Century Gothic" w:cs="Arial"/>
                <w:b/>
                <w:sz w:val="16"/>
                <w:szCs w:val="18"/>
              </w:rPr>
              <w:t>jednatel</w:t>
            </w:r>
          </w:p>
        </w:tc>
      </w:tr>
    </w:tbl>
    <w:p w:rsidR="00714686" w:rsidRPr="004B0450" w:rsidRDefault="00714686" w:rsidP="00714686">
      <w:pPr>
        <w:rPr>
          <w:rFonts w:ascii="Century Gothic" w:hAnsi="Century Gothic"/>
          <w:sz w:val="16"/>
          <w:szCs w:val="18"/>
        </w:rPr>
      </w:pPr>
      <w:r w:rsidRPr="004B0450">
        <w:rPr>
          <w:rFonts w:ascii="Century Gothic" w:hAnsi="Century Gothic"/>
          <w:sz w:val="16"/>
          <w:szCs w:val="18"/>
        </w:rPr>
        <w:br w:type="page"/>
      </w:r>
    </w:p>
    <w:p w:rsidR="00714686" w:rsidRPr="004B0450" w:rsidRDefault="00714686" w:rsidP="00714686">
      <w:pPr>
        <w:jc w:val="center"/>
        <w:rPr>
          <w:rFonts w:ascii="Century Gothic" w:hAnsi="Century Gothic"/>
          <w:b/>
          <w:bCs/>
          <w:caps/>
          <w:sz w:val="20"/>
          <w:szCs w:val="18"/>
        </w:rPr>
      </w:pPr>
      <w:r w:rsidRPr="004B0450">
        <w:rPr>
          <w:rFonts w:ascii="Century Gothic" w:hAnsi="Century Gothic"/>
          <w:b/>
          <w:bCs/>
          <w:caps/>
          <w:sz w:val="20"/>
          <w:szCs w:val="18"/>
        </w:rPr>
        <w:t>Dohoda o mlčenlivosti</w:t>
      </w:r>
    </w:p>
    <w:p w:rsidR="00714686" w:rsidRPr="00422A1E" w:rsidRDefault="00714686" w:rsidP="00714686">
      <w:pPr>
        <w:jc w:val="center"/>
        <w:rPr>
          <w:rFonts w:ascii="Century Gothic" w:hAnsi="Century Gothic"/>
          <w:b/>
          <w:bCs/>
          <w:sz w:val="20"/>
          <w:szCs w:val="18"/>
        </w:rPr>
      </w:pPr>
    </w:p>
    <w:p w:rsidR="00714686" w:rsidRPr="00422A1E" w:rsidRDefault="00714686" w:rsidP="00714686">
      <w:pPr>
        <w:rPr>
          <w:rFonts w:ascii="Century Gothic" w:hAnsi="Century Gothic"/>
          <w:b/>
          <w:sz w:val="18"/>
          <w:szCs w:val="18"/>
        </w:rPr>
      </w:pPr>
    </w:p>
    <w:p w:rsidR="00714686" w:rsidRPr="00422A1E" w:rsidRDefault="00714686" w:rsidP="00714686">
      <w:pPr>
        <w:rPr>
          <w:rFonts w:ascii="Century Gothic" w:hAnsi="Century Gothic"/>
          <w:b/>
          <w:sz w:val="18"/>
          <w:szCs w:val="18"/>
        </w:rPr>
      </w:pPr>
      <w:r w:rsidRPr="00422A1E">
        <w:rPr>
          <w:rFonts w:ascii="Century Gothic" w:hAnsi="Century Gothic"/>
          <w:b/>
          <w:sz w:val="18"/>
          <w:szCs w:val="18"/>
        </w:rPr>
        <w:t>Moudrý překlad, s.r.o.</w:t>
      </w:r>
    </w:p>
    <w:p w:rsidR="00714686" w:rsidRPr="004B0450" w:rsidRDefault="00714686" w:rsidP="00714686">
      <w:pPr>
        <w:rPr>
          <w:rFonts w:ascii="Century Gothic" w:hAnsi="Century Gothic"/>
          <w:sz w:val="18"/>
          <w:szCs w:val="18"/>
        </w:rPr>
      </w:pPr>
      <w:r w:rsidRPr="004B0450">
        <w:rPr>
          <w:rFonts w:ascii="Century Gothic" w:hAnsi="Century Gothic"/>
          <w:sz w:val="18"/>
          <w:szCs w:val="18"/>
        </w:rPr>
        <w:t>Václavské náměstí 1/846</w:t>
      </w:r>
    </w:p>
    <w:p w:rsidR="00714686" w:rsidRPr="004B0450" w:rsidRDefault="00714686" w:rsidP="00714686">
      <w:pPr>
        <w:rPr>
          <w:rFonts w:ascii="Century Gothic" w:hAnsi="Century Gothic"/>
          <w:sz w:val="18"/>
          <w:szCs w:val="18"/>
        </w:rPr>
      </w:pPr>
      <w:proofErr w:type="gramStart"/>
      <w:r w:rsidRPr="004B0450">
        <w:rPr>
          <w:rFonts w:ascii="Century Gothic" w:hAnsi="Century Gothic"/>
          <w:sz w:val="18"/>
          <w:szCs w:val="18"/>
        </w:rPr>
        <w:t>110 00  Praha</w:t>
      </w:r>
      <w:proofErr w:type="gramEnd"/>
      <w:r w:rsidRPr="004B0450">
        <w:rPr>
          <w:rFonts w:ascii="Century Gothic" w:hAnsi="Century Gothic"/>
          <w:sz w:val="18"/>
          <w:szCs w:val="18"/>
        </w:rPr>
        <w:t xml:space="preserve"> 1</w:t>
      </w:r>
    </w:p>
    <w:p w:rsidR="00714686" w:rsidRPr="004B0450" w:rsidRDefault="00714686" w:rsidP="00714686">
      <w:pPr>
        <w:rPr>
          <w:rFonts w:ascii="Century Gothic" w:hAnsi="Century Gothic"/>
          <w:sz w:val="18"/>
          <w:szCs w:val="18"/>
        </w:rPr>
      </w:pPr>
      <w:r w:rsidRPr="004B0450">
        <w:rPr>
          <w:rFonts w:ascii="Century Gothic" w:hAnsi="Century Gothic"/>
          <w:sz w:val="18"/>
          <w:szCs w:val="18"/>
        </w:rPr>
        <w:t xml:space="preserve">Zastoupená: </w:t>
      </w:r>
      <w:r>
        <w:rPr>
          <w:rFonts w:ascii="Century Gothic" w:hAnsi="Century Gothic"/>
          <w:sz w:val="18"/>
          <w:szCs w:val="18"/>
        </w:rPr>
        <w:t>Michalem Moudrým</w:t>
      </w:r>
    </w:p>
    <w:p w:rsidR="00714686" w:rsidRPr="004B0450" w:rsidRDefault="00714686" w:rsidP="00714686">
      <w:pPr>
        <w:rPr>
          <w:rFonts w:ascii="Century Gothic" w:hAnsi="Century Gothic"/>
          <w:sz w:val="18"/>
          <w:szCs w:val="18"/>
        </w:rPr>
      </w:pPr>
      <w:r w:rsidRPr="004B0450">
        <w:rPr>
          <w:rFonts w:ascii="Century Gothic" w:hAnsi="Century Gothic"/>
          <w:sz w:val="18"/>
          <w:szCs w:val="18"/>
        </w:rPr>
        <w:t>(dále jen dodavatel)</w:t>
      </w:r>
    </w:p>
    <w:p w:rsidR="00714686" w:rsidRPr="004B0450" w:rsidRDefault="00714686" w:rsidP="00714686">
      <w:pPr>
        <w:rPr>
          <w:rFonts w:ascii="Century Gothic" w:hAnsi="Century Gothic"/>
          <w:sz w:val="18"/>
          <w:szCs w:val="18"/>
        </w:rPr>
      </w:pPr>
    </w:p>
    <w:p w:rsidR="00714686" w:rsidRPr="004B0450" w:rsidRDefault="00714686" w:rsidP="00714686">
      <w:pPr>
        <w:rPr>
          <w:rFonts w:ascii="Century Gothic" w:hAnsi="Century Gothic"/>
          <w:sz w:val="18"/>
          <w:szCs w:val="18"/>
        </w:rPr>
      </w:pPr>
      <w:r w:rsidRPr="004B0450">
        <w:rPr>
          <w:rFonts w:ascii="Century Gothic" w:hAnsi="Century Gothic"/>
          <w:sz w:val="18"/>
          <w:szCs w:val="18"/>
        </w:rPr>
        <w:t>a</w:t>
      </w:r>
    </w:p>
    <w:p w:rsidR="00714686" w:rsidRPr="004B0450" w:rsidRDefault="00714686" w:rsidP="00714686">
      <w:pPr>
        <w:rPr>
          <w:rFonts w:ascii="Century Gothic" w:hAnsi="Century Gothic"/>
          <w:sz w:val="18"/>
          <w:szCs w:val="18"/>
        </w:rPr>
      </w:pPr>
    </w:p>
    <w:p w:rsidR="00714686" w:rsidRPr="00422A1E" w:rsidRDefault="00714686" w:rsidP="00714686">
      <w:pPr>
        <w:rPr>
          <w:rFonts w:ascii="Century Gothic" w:hAnsi="Century Gothic"/>
          <w:b/>
          <w:sz w:val="18"/>
          <w:szCs w:val="18"/>
        </w:rPr>
      </w:pPr>
      <w:r w:rsidRPr="00422A1E">
        <w:rPr>
          <w:rFonts w:ascii="Century Gothic" w:hAnsi="Century Gothic"/>
          <w:b/>
          <w:sz w:val="18"/>
          <w:szCs w:val="18"/>
        </w:rPr>
        <w:t>Státní zemědělský intervenční fond</w:t>
      </w:r>
    </w:p>
    <w:p w:rsidR="00714686" w:rsidRPr="00422A1E" w:rsidRDefault="00714686" w:rsidP="00714686">
      <w:pPr>
        <w:rPr>
          <w:rFonts w:ascii="Century Gothic" w:hAnsi="Century Gothic"/>
          <w:sz w:val="18"/>
          <w:szCs w:val="18"/>
        </w:rPr>
      </w:pPr>
      <w:r w:rsidRPr="00422A1E">
        <w:rPr>
          <w:rFonts w:ascii="Century Gothic" w:hAnsi="Century Gothic"/>
          <w:sz w:val="18"/>
          <w:szCs w:val="18"/>
        </w:rPr>
        <w:t>Ve Smečkách 33</w:t>
      </w:r>
    </w:p>
    <w:p w:rsidR="00714686" w:rsidRPr="00422A1E" w:rsidRDefault="00714686" w:rsidP="00714686">
      <w:pPr>
        <w:rPr>
          <w:rFonts w:ascii="Century Gothic" w:hAnsi="Century Gothic"/>
          <w:sz w:val="18"/>
          <w:szCs w:val="18"/>
        </w:rPr>
      </w:pPr>
      <w:r w:rsidRPr="00422A1E">
        <w:rPr>
          <w:rFonts w:ascii="Century Gothic" w:hAnsi="Century Gothic"/>
          <w:sz w:val="18"/>
          <w:szCs w:val="18"/>
        </w:rPr>
        <w:t>110 00 Praha 1</w:t>
      </w:r>
    </w:p>
    <w:p w:rsidR="00714686" w:rsidRDefault="00714686" w:rsidP="00714686">
      <w:pPr>
        <w:rPr>
          <w:rFonts w:ascii="Century Gothic" w:hAnsi="Century Gothic"/>
          <w:sz w:val="18"/>
          <w:szCs w:val="18"/>
        </w:rPr>
      </w:pPr>
      <w:r>
        <w:rPr>
          <w:rFonts w:ascii="Century Gothic" w:hAnsi="Century Gothic"/>
          <w:sz w:val="18"/>
          <w:szCs w:val="18"/>
        </w:rPr>
        <w:t>Zastoupený: Mgr. Janem Havlíčkem</w:t>
      </w:r>
    </w:p>
    <w:p w:rsidR="00714686" w:rsidRPr="004B0450" w:rsidRDefault="00714686" w:rsidP="00714686">
      <w:pPr>
        <w:rPr>
          <w:rFonts w:ascii="Century Gothic" w:hAnsi="Century Gothic"/>
          <w:sz w:val="18"/>
          <w:szCs w:val="18"/>
        </w:rPr>
      </w:pPr>
      <w:r>
        <w:rPr>
          <w:rFonts w:ascii="Century Gothic" w:hAnsi="Century Gothic"/>
          <w:sz w:val="18"/>
          <w:szCs w:val="18"/>
        </w:rPr>
        <w:t>(objednatel)</w:t>
      </w:r>
    </w:p>
    <w:p w:rsidR="00714686" w:rsidRPr="004B0450" w:rsidRDefault="00714686" w:rsidP="00714686">
      <w:pPr>
        <w:rPr>
          <w:rFonts w:ascii="Century Gothic" w:hAnsi="Century Gothic"/>
          <w:sz w:val="18"/>
          <w:szCs w:val="18"/>
        </w:rPr>
      </w:pPr>
    </w:p>
    <w:p w:rsidR="00714686" w:rsidRPr="004B0450" w:rsidRDefault="00714686" w:rsidP="00714686">
      <w:pPr>
        <w:rPr>
          <w:rFonts w:ascii="Century Gothic" w:hAnsi="Century Gothic"/>
          <w:sz w:val="18"/>
          <w:szCs w:val="18"/>
        </w:rPr>
      </w:pPr>
    </w:p>
    <w:p w:rsidR="00714686" w:rsidRPr="004B0450" w:rsidRDefault="00714686" w:rsidP="00714686">
      <w:pPr>
        <w:jc w:val="center"/>
        <w:rPr>
          <w:rFonts w:ascii="Century Gothic" w:hAnsi="Century Gothic"/>
          <w:sz w:val="18"/>
          <w:szCs w:val="18"/>
        </w:rPr>
      </w:pPr>
      <w:r w:rsidRPr="004B0450">
        <w:rPr>
          <w:rFonts w:ascii="Century Gothic" w:hAnsi="Century Gothic"/>
          <w:sz w:val="18"/>
          <w:szCs w:val="18"/>
        </w:rPr>
        <w:t xml:space="preserve">uzavírají dne </w:t>
      </w:r>
      <w:r>
        <w:rPr>
          <w:rFonts w:ascii="Century Gothic" w:hAnsi="Century Gothic"/>
          <w:sz w:val="18"/>
          <w:szCs w:val="18"/>
        </w:rPr>
        <w:t xml:space="preserve">1. srpna 2016 </w:t>
      </w:r>
      <w:r w:rsidRPr="004B0450">
        <w:rPr>
          <w:rFonts w:ascii="Century Gothic" w:hAnsi="Century Gothic"/>
          <w:sz w:val="18"/>
          <w:szCs w:val="18"/>
        </w:rPr>
        <w:t>dohodu o mlčenlivosti:</w:t>
      </w:r>
    </w:p>
    <w:p w:rsidR="00714686" w:rsidRPr="004B0450" w:rsidRDefault="00714686" w:rsidP="00714686">
      <w:pPr>
        <w:rPr>
          <w:rFonts w:ascii="Century Gothic" w:hAnsi="Century Gothic"/>
          <w:sz w:val="18"/>
          <w:szCs w:val="18"/>
        </w:rPr>
      </w:pPr>
    </w:p>
    <w:p w:rsidR="00714686" w:rsidRPr="004B0450" w:rsidRDefault="00714686" w:rsidP="00714686">
      <w:pPr>
        <w:rPr>
          <w:rFonts w:ascii="Century Gothic" w:hAnsi="Century Gothic"/>
          <w:sz w:val="18"/>
          <w:szCs w:val="18"/>
        </w:rPr>
      </w:pPr>
    </w:p>
    <w:p w:rsidR="00714686" w:rsidRDefault="00714686" w:rsidP="00714686">
      <w:pPr>
        <w:jc w:val="both"/>
        <w:rPr>
          <w:rFonts w:ascii="Century Gothic" w:hAnsi="Century Gothic"/>
          <w:sz w:val="18"/>
          <w:szCs w:val="18"/>
        </w:rPr>
      </w:pPr>
      <w:r w:rsidRPr="004B0450">
        <w:rPr>
          <w:rFonts w:ascii="Century Gothic" w:hAnsi="Century Gothic"/>
          <w:sz w:val="18"/>
          <w:szCs w:val="18"/>
        </w:rPr>
        <w:t>Dodavatel si je vědom, že texty zadané odběratelem k překladu mohou obsahovat přísně důvěrné informace, a zavazuje se zachovat mlčenlivost o všech těchto informacích. Tato mlčenlivost se vztahuje na všechny zaměstnance dodavatele včetně spolupracujících překladatelů. Dodavatel se zavazuje nést odpovědnost za veškerou takto vzniklou škodu objednavatele.</w:t>
      </w: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4B0450" w:rsidRDefault="00714686" w:rsidP="00714686">
      <w:pPr>
        <w:jc w:val="both"/>
        <w:rPr>
          <w:rFonts w:ascii="Century Gothic" w:hAnsi="Century Gothic"/>
          <w:sz w:val="18"/>
          <w:szCs w:val="18"/>
        </w:rPr>
      </w:pPr>
    </w:p>
    <w:p w:rsidR="00714686" w:rsidRPr="00EB2473" w:rsidRDefault="00714686" w:rsidP="00714686"/>
    <w:p w:rsidR="004B0450" w:rsidRPr="00714686" w:rsidRDefault="004B0450" w:rsidP="00714686"/>
    <w:sectPr w:rsidR="004B0450" w:rsidRPr="00714686" w:rsidSect="00A2664D">
      <w:headerReference w:type="default" r:id="rId9"/>
      <w:footerReference w:type="default" r:id="rId10"/>
      <w:pgSz w:w="11906" w:h="16838"/>
      <w:pgMar w:top="851" w:right="851" w:bottom="851"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lenovský Richard JUDr." w:date="2016-07-28T09:29:00Z" w:initials="KRJ">
    <w:p w:rsidR="00714686" w:rsidRDefault="00714686" w:rsidP="00714686">
      <w:pPr>
        <w:pStyle w:val="Textkomente"/>
      </w:pPr>
      <w:r>
        <w:rPr>
          <w:rStyle w:val="Odkaznakoment"/>
        </w:rPr>
        <w:annotationRef/>
      </w:r>
      <w:r>
        <w:t>Pouze upozorňuji, že Fond nemá jednatele (ani mít nemůže), a zastupuje vždy ten, kdo podepisuje danou smlouvu, v tomto případě ředitel odboru.</w:t>
      </w:r>
    </w:p>
  </w:comment>
  <w:comment w:id="1" w:author="Klenovský Richard JUDr." w:date="2016-07-28T09:30:00Z" w:initials="KRJ">
    <w:p w:rsidR="00714686" w:rsidRDefault="00714686" w:rsidP="00714686">
      <w:pPr>
        <w:pStyle w:val="Textkomente"/>
      </w:pPr>
      <w:r>
        <w:rPr>
          <w:rStyle w:val="Odkaznakoment"/>
        </w:rPr>
        <w:annotationRef/>
      </w:r>
      <w:r>
        <w:t>Víme, co to je za zkratku? Doporučuji rozepsat.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42" w:rsidRDefault="00475942">
      <w:r>
        <w:separator/>
      </w:r>
    </w:p>
  </w:endnote>
  <w:endnote w:type="continuationSeparator" w:id="0">
    <w:p w:rsidR="00475942" w:rsidRDefault="0047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Gothic">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85" w:rsidRPr="002F4BED" w:rsidRDefault="006B177D" w:rsidP="002F4BED">
    <w:pPr>
      <w:pStyle w:val="Zpat"/>
      <w:pBdr>
        <w:top w:val="single" w:sz="4" w:space="1" w:color="auto"/>
      </w:pBdr>
      <w:tabs>
        <w:tab w:val="clear" w:pos="4536"/>
        <w:tab w:val="clear" w:pos="9072"/>
        <w:tab w:val="center" w:pos="2700"/>
        <w:tab w:val="right" w:pos="3420"/>
        <w:tab w:val="left" w:pos="6300"/>
        <w:tab w:val="right" w:pos="10206"/>
      </w:tabs>
      <w:rPr>
        <w:rFonts w:ascii="Century Gothic" w:hAnsi="Century Gothic"/>
        <w:color w:val="333333"/>
        <w:sz w:val="13"/>
        <w:szCs w:val="13"/>
      </w:rPr>
    </w:pPr>
    <w:r w:rsidRPr="002F4BED">
      <w:rPr>
        <w:rFonts w:ascii="Century Gothic" w:hAnsi="Century Gothic"/>
        <w:color w:val="333333"/>
        <w:sz w:val="13"/>
        <w:szCs w:val="13"/>
      </w:rPr>
      <w:t>Moudrý p</w:t>
    </w:r>
    <w:r w:rsidR="002A1185" w:rsidRPr="002F4BED">
      <w:rPr>
        <w:rFonts w:ascii="Century Gothic" w:hAnsi="Century Gothic"/>
        <w:color w:val="333333"/>
        <w:sz w:val="13"/>
        <w:szCs w:val="13"/>
      </w:rPr>
      <w:t>řeklad</w:t>
    </w:r>
    <w:r w:rsidR="00D82105" w:rsidRPr="002F4BED">
      <w:rPr>
        <w:rFonts w:ascii="Century Gothic" w:hAnsi="Century Gothic"/>
        <w:color w:val="333333"/>
        <w:sz w:val="13"/>
        <w:szCs w:val="13"/>
      </w:rPr>
      <w:t>, s.r.o.</w:t>
    </w:r>
    <w:r w:rsidR="002A1185" w:rsidRPr="002F4BED">
      <w:rPr>
        <w:rFonts w:ascii="Century Gothic" w:hAnsi="Century Gothic"/>
        <w:color w:val="333333"/>
        <w:sz w:val="13"/>
        <w:szCs w:val="13"/>
      </w:rPr>
      <w:tab/>
    </w:r>
    <w:r w:rsidR="002A1185" w:rsidRPr="002F4BED">
      <w:rPr>
        <w:rFonts w:ascii="Century Gothic" w:hAnsi="Century Gothic"/>
        <w:color w:val="333333"/>
        <w:sz w:val="13"/>
        <w:szCs w:val="13"/>
      </w:rPr>
      <w:tab/>
    </w:r>
    <w:r w:rsidR="00D82105" w:rsidRPr="002F4BED">
      <w:rPr>
        <w:rFonts w:ascii="Century Gothic" w:hAnsi="Century Gothic"/>
        <w:color w:val="333333"/>
        <w:sz w:val="13"/>
        <w:szCs w:val="13"/>
      </w:rPr>
      <w:t>Václavské nám. 846/1 Prah</w:t>
    </w:r>
    <w:r w:rsidR="00B354B3">
      <w:rPr>
        <w:rFonts w:ascii="Century Gothic" w:hAnsi="Century Gothic"/>
        <w:color w:val="333333"/>
        <w:sz w:val="13"/>
        <w:szCs w:val="13"/>
      </w:rPr>
      <w:t xml:space="preserve">a </w:t>
    </w:r>
    <w:r w:rsidR="00D82105" w:rsidRPr="002F4BED">
      <w:rPr>
        <w:rFonts w:ascii="Century Gothic" w:hAnsi="Century Gothic"/>
        <w:color w:val="333333"/>
        <w:sz w:val="13"/>
        <w:szCs w:val="13"/>
      </w:rPr>
      <w:t>1</w:t>
    </w:r>
    <w:r w:rsidR="002A1185" w:rsidRPr="002F4BED">
      <w:rPr>
        <w:rFonts w:ascii="Century Gothic" w:hAnsi="Century Gothic"/>
        <w:color w:val="333333"/>
        <w:sz w:val="13"/>
        <w:szCs w:val="13"/>
      </w:rPr>
      <w:tab/>
      <w:t>IČO:</w:t>
    </w:r>
    <w:r w:rsidR="002F4BED">
      <w:rPr>
        <w:rFonts w:ascii="Century Gothic" w:hAnsi="Century Gothic"/>
        <w:color w:val="333333"/>
        <w:sz w:val="13"/>
        <w:szCs w:val="13"/>
      </w:rPr>
      <w:t xml:space="preserve"> </w:t>
    </w:r>
    <w:r w:rsidR="00D82105" w:rsidRPr="002F4BED">
      <w:rPr>
        <w:rFonts w:ascii="Century Gothic" w:hAnsi="Century Gothic"/>
        <w:color w:val="333333"/>
        <w:sz w:val="13"/>
        <w:szCs w:val="13"/>
      </w:rPr>
      <w:t>27156052</w:t>
    </w:r>
    <w:r w:rsidR="002A1185" w:rsidRPr="002F4BED">
      <w:rPr>
        <w:rFonts w:ascii="Century Gothic" w:hAnsi="Century Gothic"/>
        <w:color w:val="333333"/>
        <w:sz w:val="13"/>
        <w:szCs w:val="13"/>
      </w:rPr>
      <w:tab/>
      <w:t xml:space="preserve"> DIČ</w:t>
    </w:r>
    <w:r w:rsidR="00D82105" w:rsidRPr="002F4BED">
      <w:rPr>
        <w:rFonts w:ascii="Century Gothic" w:hAnsi="Century Gothic"/>
        <w:color w:val="333333"/>
        <w:sz w:val="13"/>
        <w:szCs w:val="13"/>
      </w:rPr>
      <w:t>:</w:t>
    </w:r>
    <w:r w:rsidR="002F4BED">
      <w:rPr>
        <w:rFonts w:ascii="Century Gothic" w:hAnsi="Century Gothic"/>
        <w:color w:val="333333"/>
        <w:sz w:val="13"/>
        <w:szCs w:val="13"/>
      </w:rPr>
      <w:t xml:space="preserve"> </w:t>
    </w:r>
    <w:r w:rsidR="00D82105" w:rsidRPr="002F4BED">
      <w:rPr>
        <w:rFonts w:ascii="Century Gothic" w:hAnsi="Century Gothic"/>
        <w:color w:val="333333"/>
        <w:sz w:val="13"/>
        <w:szCs w:val="13"/>
      </w:rPr>
      <w:t>CZ27156052</w:t>
    </w:r>
  </w:p>
  <w:p w:rsidR="002A1185" w:rsidRDefault="002A11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42" w:rsidRDefault="00475942">
      <w:r>
        <w:separator/>
      </w:r>
    </w:p>
  </w:footnote>
  <w:footnote w:type="continuationSeparator" w:id="0">
    <w:p w:rsidR="00475942" w:rsidRDefault="00475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85" w:rsidRDefault="002F4BED">
    <w:pPr>
      <w:tabs>
        <w:tab w:val="right" w:leader="dot" w:pos="6660"/>
      </w:tabs>
      <w:spacing w:after="120"/>
    </w:pPr>
    <w:r>
      <w:rPr>
        <w:noProof/>
      </w:rPr>
      <w:drawing>
        <wp:inline distT="0" distB="0" distL="0" distR="0">
          <wp:extent cx="948690" cy="319405"/>
          <wp:effectExtent l="0" t="0" r="0" b="0"/>
          <wp:docPr id="19" name="obrázek 19" descr="C:\Users\Tranzit\Pictures\logo old4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ranzit\Pictures\logo old4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319405"/>
                  </a:xfrm>
                  <a:prstGeom prst="rect">
                    <a:avLst/>
                  </a:prstGeom>
                  <a:noFill/>
                  <a:ln>
                    <a:noFill/>
                  </a:ln>
                </pic:spPr>
              </pic:pic>
            </a:graphicData>
          </a:graphic>
        </wp:inline>
      </w:drawing>
    </w:r>
    <w:r w:rsidR="002A1185">
      <w:rPr>
        <w:b/>
        <w:bCs/>
        <w:smallCaps/>
        <w:color w:val="808080"/>
        <w:sz w:val="32"/>
      </w:rPr>
      <w:t xml:space="preserve">                                                                                           </w:t>
    </w:r>
  </w:p>
  <w:p w:rsidR="002A1185" w:rsidRPr="002F4BED" w:rsidRDefault="002A1185" w:rsidP="002F4BED">
    <w:pPr>
      <w:pStyle w:val="Zhlav"/>
      <w:pBdr>
        <w:top w:val="single" w:sz="4" w:space="1" w:color="auto"/>
      </w:pBdr>
      <w:tabs>
        <w:tab w:val="clear" w:pos="9072"/>
        <w:tab w:val="left" w:pos="3060"/>
        <w:tab w:val="left" w:pos="5040"/>
        <w:tab w:val="left" w:pos="7200"/>
        <w:tab w:val="right" w:pos="10206"/>
      </w:tabs>
      <w:rPr>
        <w:rFonts w:ascii="Century Gothic" w:hAnsi="Century Gothic"/>
        <w:color w:val="333333"/>
        <w:sz w:val="12"/>
      </w:rPr>
    </w:pPr>
    <w:r w:rsidRPr="002F4BED">
      <w:rPr>
        <w:rFonts w:ascii="Century Gothic" w:hAnsi="Century Gothic"/>
        <w:color w:val="333333"/>
        <w:sz w:val="12"/>
      </w:rPr>
      <w:t xml:space="preserve">poštovní adresa: </w:t>
    </w:r>
    <w:r w:rsidR="00B354B3">
      <w:rPr>
        <w:rFonts w:ascii="Century Gothic" w:hAnsi="Century Gothic"/>
        <w:color w:val="333333"/>
        <w:sz w:val="12"/>
      </w:rPr>
      <w:t>K </w:t>
    </w:r>
    <w:r w:rsidRPr="002F4BED">
      <w:rPr>
        <w:rFonts w:ascii="Century Gothic" w:hAnsi="Century Gothic"/>
        <w:color w:val="333333"/>
        <w:sz w:val="12"/>
      </w:rPr>
      <w:t xml:space="preserve">Cihelně </w:t>
    </w:r>
    <w:r w:rsidR="00740F98" w:rsidRPr="002F4BED">
      <w:rPr>
        <w:rFonts w:ascii="Century Gothic" w:hAnsi="Century Gothic"/>
        <w:color w:val="333333"/>
        <w:sz w:val="12"/>
      </w:rPr>
      <w:t>679</w:t>
    </w:r>
    <w:r w:rsidRPr="002F4BED">
      <w:rPr>
        <w:rFonts w:ascii="Century Gothic" w:hAnsi="Century Gothic"/>
        <w:color w:val="333333"/>
        <w:sz w:val="12"/>
      </w:rPr>
      <w:t>, 190 15 Prah</w:t>
    </w:r>
    <w:r w:rsidR="00B354B3">
      <w:rPr>
        <w:rFonts w:ascii="Century Gothic" w:hAnsi="Century Gothic"/>
        <w:color w:val="333333"/>
        <w:sz w:val="12"/>
      </w:rPr>
      <w:t xml:space="preserve">a </w:t>
    </w:r>
    <w:r w:rsidRPr="002F4BED">
      <w:rPr>
        <w:rFonts w:ascii="Century Gothic" w:hAnsi="Century Gothic"/>
        <w:color w:val="333333"/>
        <w:sz w:val="12"/>
      </w:rPr>
      <w:t>9</w:t>
    </w:r>
    <w:r w:rsidR="002F4BED">
      <w:rPr>
        <w:rFonts w:ascii="Century Gothic" w:hAnsi="Century Gothic"/>
        <w:color w:val="333333"/>
        <w:sz w:val="12"/>
      </w:rPr>
      <w:tab/>
      <w:t>www.moudrypreklad.cz</w:t>
    </w:r>
    <w:r w:rsidR="002F4BED">
      <w:rPr>
        <w:rFonts w:ascii="Century Gothic" w:hAnsi="Century Gothic"/>
        <w:color w:val="333333"/>
        <w:sz w:val="12"/>
      </w:rPr>
      <w:tab/>
    </w:r>
    <w:r w:rsidR="002F4BED">
      <w:rPr>
        <w:rFonts w:ascii="Century Gothic" w:hAnsi="Century Gothic"/>
        <w:color w:val="333333"/>
        <w:sz w:val="12"/>
      </w:rPr>
      <w:tab/>
    </w:r>
    <w:r w:rsidRPr="002F4BED">
      <w:rPr>
        <w:rFonts w:ascii="Century Gothic" w:hAnsi="Century Gothic"/>
        <w:color w:val="333333"/>
        <w:sz w:val="12"/>
      </w:rPr>
      <w:t>NON-ST</w:t>
    </w:r>
    <w:r w:rsidR="00740F98" w:rsidRPr="002F4BED">
      <w:rPr>
        <w:rFonts w:ascii="Century Gothic" w:hAnsi="Century Gothic"/>
        <w:color w:val="333333"/>
        <w:sz w:val="12"/>
      </w:rPr>
      <w:t>OP: +420 608  916 000</w:t>
    </w:r>
    <w:r w:rsidR="00740F98" w:rsidRPr="002F4BED">
      <w:rPr>
        <w:rFonts w:ascii="Century Gothic" w:hAnsi="Century Gothic"/>
        <w:color w:val="333333"/>
        <w:sz w:val="12"/>
      </w:rPr>
      <w:tab/>
      <w:t>tel. +42</w:t>
    </w:r>
    <w:r w:rsidRPr="002F4BED">
      <w:rPr>
        <w:rFonts w:ascii="Century Gothic" w:hAnsi="Century Gothic"/>
        <w:color w:val="333333"/>
        <w:sz w:val="12"/>
      </w:rPr>
      <w:t xml:space="preserve">0 </w:t>
    </w:r>
    <w:r w:rsidR="00740F98" w:rsidRPr="002F4BED">
      <w:rPr>
        <w:rFonts w:ascii="Century Gothic" w:hAnsi="Century Gothic"/>
        <w:color w:val="333333"/>
        <w:sz w:val="12"/>
      </w:rPr>
      <w:t>27 000 3060</w:t>
    </w:r>
    <w:r w:rsidR="002F4BED">
      <w:rPr>
        <w:rFonts w:ascii="Century Gothic" w:hAnsi="Century Gothic"/>
        <w:color w:val="333333"/>
        <w:sz w:val="12"/>
      </w:rPr>
      <w:tab/>
    </w:r>
    <w:r w:rsidR="00740F98" w:rsidRPr="002F4BED">
      <w:rPr>
        <w:rFonts w:ascii="Century Gothic" w:hAnsi="Century Gothic"/>
        <w:color w:val="333333"/>
        <w:sz w:val="12"/>
      </w:rPr>
      <w:t>fax. +420  27 000 3058</w:t>
    </w:r>
  </w:p>
  <w:p w:rsidR="002A1185" w:rsidRDefault="002F4BED">
    <w:pPr>
      <w:pStyle w:val="Zhlav"/>
    </w:pPr>
    <w:r>
      <w:rPr>
        <w:noProof/>
        <w:sz w:val="20"/>
      </w:rPr>
      <mc:AlternateContent>
        <mc:Choice Requires="wps">
          <w:drawing>
            <wp:anchor distT="0" distB="0" distL="114300" distR="114300" simplePos="0" relativeHeight="251657728" behindDoc="0" locked="1" layoutInCell="1" allowOverlap="1">
              <wp:simplePos x="0" y="0"/>
              <wp:positionH relativeFrom="column">
                <wp:posOffset>-342900</wp:posOffset>
              </wp:positionH>
              <wp:positionV relativeFrom="paragraph">
                <wp:posOffset>3130550</wp:posOffset>
              </wp:positionV>
              <wp:extent cx="6393815" cy="2235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223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_MON_1073976478"/>
                        <w:bookmarkEnd w:id="2"/>
                        <w:bookmarkStart w:id="3" w:name="_MON_1073976397"/>
                        <w:bookmarkEnd w:id="3"/>
                        <w:p w:rsidR="002A1185" w:rsidRDefault="002A1185">
                          <w:r>
                            <w:object w:dxaOrig="9768" w:dyaOrig="3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167.75pt" o:ole="">
                                <v:imagedata r:id="rId2" o:title=""/>
                              </v:shape>
                              <o:OLEObject Type="Embed" ProgID="Word.Picture.8" ShapeID="_x0000_i1025" DrawAspect="Content" ObjectID="_1531206629" r:id="rId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pt;margin-top:246.5pt;width:503.4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" filled="f" stroked="f">
              <v:textbox>
                <w:txbxContent>
                  <w:bookmarkStart w:id="4" w:name="_MON_1073976478"/>
                  <w:bookmarkEnd w:id="4"/>
                  <w:bookmarkStart w:id="5" w:name="_MON_1073976397"/>
                  <w:bookmarkEnd w:id="5"/>
                  <w:p w:rsidR="002A1185" w:rsidRDefault="002A1185">
                    <w:r>
                      <w:object w:dxaOrig="9768" w:dyaOrig="3364">
                        <v:shape id="_x0000_i1025" type="#_x0000_t75" style="width:488.4pt;height:167.75pt" o:ole="">
                          <v:imagedata r:id="rId2" o:title=""/>
                        </v:shape>
                        <o:OLEObject Type="Embed" ProgID="Word.Picture.8" ShapeID="_x0000_i1025" DrawAspect="Content" ObjectID="_1531206629" r:id="rId4"/>
                      </w:objec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decimal"/>
      <w:lvlText w:val="%1."/>
      <w:lvlJc w:val="left"/>
      <w:pPr>
        <w:tabs>
          <w:tab w:val="num" w:pos="397"/>
        </w:tabs>
        <w:ind w:left="397" w:hanging="397"/>
      </w:pPr>
      <w:rPr>
        <w:rFonts w:cs="Times New Roman"/>
      </w:rPr>
    </w:lvl>
  </w:abstractNum>
  <w:abstractNum w:abstractNumId="1" w15:restartNumberingAfterBreak="0">
    <w:nsid w:val="077542A8"/>
    <w:multiLevelType w:val="hybridMultilevel"/>
    <w:tmpl w:val="ACE67E02"/>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B7BCA"/>
    <w:multiLevelType w:val="hybridMultilevel"/>
    <w:tmpl w:val="ABBE0644"/>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964E3"/>
    <w:multiLevelType w:val="hybridMultilevel"/>
    <w:tmpl w:val="F2740A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6B0DFF"/>
    <w:multiLevelType w:val="hybridMultilevel"/>
    <w:tmpl w:val="48E25B78"/>
    <w:lvl w:ilvl="0" w:tplc="0407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60DDA"/>
    <w:multiLevelType w:val="hybridMultilevel"/>
    <w:tmpl w:val="1C02B860"/>
    <w:lvl w:ilvl="0" w:tplc="0407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102D18"/>
    <w:multiLevelType w:val="hybridMultilevel"/>
    <w:tmpl w:val="77BCE7F4"/>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BA2C42"/>
    <w:multiLevelType w:val="hybridMultilevel"/>
    <w:tmpl w:val="1338CC30"/>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51423"/>
    <w:multiLevelType w:val="hybridMultilevel"/>
    <w:tmpl w:val="BE92923A"/>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2022C"/>
    <w:multiLevelType w:val="hybridMultilevel"/>
    <w:tmpl w:val="07D00A5C"/>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A5A59"/>
    <w:multiLevelType w:val="hybridMultilevel"/>
    <w:tmpl w:val="3B708436"/>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C252EA"/>
    <w:multiLevelType w:val="hybridMultilevel"/>
    <w:tmpl w:val="B308D1E8"/>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B2060"/>
    <w:multiLevelType w:val="hybridMultilevel"/>
    <w:tmpl w:val="564C0AE6"/>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91580D"/>
    <w:multiLevelType w:val="hybridMultilevel"/>
    <w:tmpl w:val="493CF908"/>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8B3A03"/>
    <w:multiLevelType w:val="hybridMultilevel"/>
    <w:tmpl w:val="8618DF18"/>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141832"/>
    <w:multiLevelType w:val="hybridMultilevel"/>
    <w:tmpl w:val="C56EA4A2"/>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77517C"/>
    <w:multiLevelType w:val="hybridMultilevel"/>
    <w:tmpl w:val="AD808502"/>
    <w:lvl w:ilvl="0" w:tplc="04050017">
      <w:start w:val="1"/>
      <w:numFmt w:val="lowerLetter"/>
      <w:lvlText w:val="%1)"/>
      <w:lvlJc w:val="left"/>
      <w:pPr>
        <w:ind w:left="720" w:hanging="360"/>
      </w:pPr>
    </w:lvl>
    <w:lvl w:ilvl="1" w:tplc="2D86F9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002563"/>
    <w:multiLevelType w:val="hybridMultilevel"/>
    <w:tmpl w:val="FEC68A50"/>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F5C97"/>
    <w:multiLevelType w:val="hybridMultilevel"/>
    <w:tmpl w:val="86B8AD42"/>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B752A"/>
    <w:multiLevelType w:val="hybridMultilevel"/>
    <w:tmpl w:val="C8529558"/>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8B7748"/>
    <w:multiLevelType w:val="hybridMultilevel"/>
    <w:tmpl w:val="DC0C512A"/>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F52280"/>
    <w:multiLevelType w:val="hybridMultilevel"/>
    <w:tmpl w:val="8C425F50"/>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B5D10"/>
    <w:multiLevelType w:val="hybridMultilevel"/>
    <w:tmpl w:val="D6CCE34C"/>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7861DA"/>
    <w:multiLevelType w:val="hybridMultilevel"/>
    <w:tmpl w:val="71983582"/>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5A1D09"/>
    <w:multiLevelType w:val="hybridMultilevel"/>
    <w:tmpl w:val="4BCC5ADC"/>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6E66F3"/>
    <w:multiLevelType w:val="hybridMultilevel"/>
    <w:tmpl w:val="788E7EFC"/>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4E6959"/>
    <w:multiLevelType w:val="hybridMultilevel"/>
    <w:tmpl w:val="2EA02E8E"/>
    <w:lvl w:ilvl="0" w:tplc="0407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1815F2"/>
    <w:multiLevelType w:val="hybridMultilevel"/>
    <w:tmpl w:val="4F3C20B0"/>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6556EB"/>
    <w:multiLevelType w:val="hybridMultilevel"/>
    <w:tmpl w:val="6640FFBE"/>
    <w:lvl w:ilvl="0" w:tplc="0407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8A2197"/>
    <w:multiLevelType w:val="hybridMultilevel"/>
    <w:tmpl w:val="F95E260A"/>
    <w:lvl w:ilvl="0" w:tplc="0407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27"/>
  </w:num>
  <w:num w:numId="4">
    <w:abstractNumId w:val="25"/>
  </w:num>
  <w:num w:numId="5">
    <w:abstractNumId w:val="19"/>
  </w:num>
  <w:num w:numId="6">
    <w:abstractNumId w:val="24"/>
  </w:num>
  <w:num w:numId="7">
    <w:abstractNumId w:val="18"/>
  </w:num>
  <w:num w:numId="8">
    <w:abstractNumId w:val="2"/>
  </w:num>
  <w:num w:numId="9">
    <w:abstractNumId w:val="29"/>
  </w:num>
  <w:num w:numId="10">
    <w:abstractNumId w:val="23"/>
  </w:num>
  <w:num w:numId="11">
    <w:abstractNumId w:val="28"/>
  </w:num>
  <w:num w:numId="12">
    <w:abstractNumId w:val="12"/>
  </w:num>
  <w:num w:numId="13">
    <w:abstractNumId w:val="10"/>
  </w:num>
  <w:num w:numId="14">
    <w:abstractNumId w:val="1"/>
  </w:num>
  <w:num w:numId="15">
    <w:abstractNumId w:val="14"/>
  </w:num>
  <w:num w:numId="16">
    <w:abstractNumId w:val="17"/>
  </w:num>
  <w:num w:numId="17">
    <w:abstractNumId w:val="11"/>
  </w:num>
  <w:num w:numId="18">
    <w:abstractNumId w:val="21"/>
  </w:num>
  <w:num w:numId="19">
    <w:abstractNumId w:val="20"/>
  </w:num>
  <w:num w:numId="20">
    <w:abstractNumId w:val="22"/>
  </w:num>
  <w:num w:numId="21">
    <w:abstractNumId w:val="8"/>
  </w:num>
  <w:num w:numId="22">
    <w:abstractNumId w:val="26"/>
  </w:num>
  <w:num w:numId="23">
    <w:abstractNumId w:val="7"/>
  </w:num>
  <w:num w:numId="24">
    <w:abstractNumId w:val="16"/>
  </w:num>
  <w:num w:numId="25">
    <w:abstractNumId w:val="3"/>
  </w:num>
  <w:num w:numId="26">
    <w:abstractNumId w:val="13"/>
  </w:num>
  <w:num w:numId="27">
    <w:abstractNumId w:val="5"/>
  </w:num>
  <w:num w:numId="28">
    <w:abstractNumId w:val="6"/>
  </w:num>
  <w:num w:numId="29">
    <w:abstractNumId w:val="4"/>
  </w:num>
  <w:num w:numId="3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novský Richard JUDr.">
    <w15:presenceInfo w15:providerId="AD" w15:userId="S-1-5-21-1801674531-2146709945-725345543-44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85"/>
    <w:rsid w:val="000246C3"/>
    <w:rsid w:val="0002557A"/>
    <w:rsid w:val="00060A73"/>
    <w:rsid w:val="00080267"/>
    <w:rsid w:val="00093C5D"/>
    <w:rsid w:val="0009439E"/>
    <w:rsid w:val="000C393A"/>
    <w:rsid w:val="000D687E"/>
    <w:rsid w:val="00125E04"/>
    <w:rsid w:val="00131A8C"/>
    <w:rsid w:val="001506AB"/>
    <w:rsid w:val="0018477A"/>
    <w:rsid w:val="00185D70"/>
    <w:rsid w:val="001B2D63"/>
    <w:rsid w:val="001B40D8"/>
    <w:rsid w:val="00207005"/>
    <w:rsid w:val="002A1185"/>
    <w:rsid w:val="002B4A5E"/>
    <w:rsid w:val="002F4BED"/>
    <w:rsid w:val="00354FFC"/>
    <w:rsid w:val="003A74E5"/>
    <w:rsid w:val="003C6B4C"/>
    <w:rsid w:val="003D4FCC"/>
    <w:rsid w:val="003D53C3"/>
    <w:rsid w:val="00405A9C"/>
    <w:rsid w:val="004107E5"/>
    <w:rsid w:val="00422A1E"/>
    <w:rsid w:val="00435DAB"/>
    <w:rsid w:val="00464356"/>
    <w:rsid w:val="00475942"/>
    <w:rsid w:val="0047632F"/>
    <w:rsid w:val="00491CD9"/>
    <w:rsid w:val="004A4345"/>
    <w:rsid w:val="004B0450"/>
    <w:rsid w:val="004B731A"/>
    <w:rsid w:val="004C1D46"/>
    <w:rsid w:val="004F2D77"/>
    <w:rsid w:val="00576848"/>
    <w:rsid w:val="00596241"/>
    <w:rsid w:val="005C4999"/>
    <w:rsid w:val="00610B3A"/>
    <w:rsid w:val="00621118"/>
    <w:rsid w:val="0064142A"/>
    <w:rsid w:val="00691E15"/>
    <w:rsid w:val="006B177D"/>
    <w:rsid w:val="006C7EC4"/>
    <w:rsid w:val="006D3F5E"/>
    <w:rsid w:val="006E1CE7"/>
    <w:rsid w:val="00714686"/>
    <w:rsid w:val="00740F98"/>
    <w:rsid w:val="007675A5"/>
    <w:rsid w:val="007C33C6"/>
    <w:rsid w:val="007E1A03"/>
    <w:rsid w:val="007F5E7B"/>
    <w:rsid w:val="0080010F"/>
    <w:rsid w:val="00807EAD"/>
    <w:rsid w:val="0082673D"/>
    <w:rsid w:val="00830032"/>
    <w:rsid w:val="00834D49"/>
    <w:rsid w:val="008410B9"/>
    <w:rsid w:val="00844296"/>
    <w:rsid w:val="008818D6"/>
    <w:rsid w:val="008E13FC"/>
    <w:rsid w:val="008E5866"/>
    <w:rsid w:val="009008FA"/>
    <w:rsid w:val="00944C3D"/>
    <w:rsid w:val="00961400"/>
    <w:rsid w:val="00962121"/>
    <w:rsid w:val="0098719D"/>
    <w:rsid w:val="009D0901"/>
    <w:rsid w:val="009E699F"/>
    <w:rsid w:val="00A03010"/>
    <w:rsid w:val="00A06774"/>
    <w:rsid w:val="00A2044B"/>
    <w:rsid w:val="00A2664D"/>
    <w:rsid w:val="00A613D0"/>
    <w:rsid w:val="00AB0DA1"/>
    <w:rsid w:val="00AB105E"/>
    <w:rsid w:val="00AC5AA6"/>
    <w:rsid w:val="00B24AC4"/>
    <w:rsid w:val="00B26F29"/>
    <w:rsid w:val="00B33670"/>
    <w:rsid w:val="00B354B3"/>
    <w:rsid w:val="00B82C8B"/>
    <w:rsid w:val="00BB335B"/>
    <w:rsid w:val="00BC4D8F"/>
    <w:rsid w:val="00BE2C64"/>
    <w:rsid w:val="00C303C5"/>
    <w:rsid w:val="00C357DE"/>
    <w:rsid w:val="00C366E7"/>
    <w:rsid w:val="00C80874"/>
    <w:rsid w:val="00CD5F10"/>
    <w:rsid w:val="00CE5744"/>
    <w:rsid w:val="00CF2AB8"/>
    <w:rsid w:val="00D04432"/>
    <w:rsid w:val="00D27AB8"/>
    <w:rsid w:val="00D346F9"/>
    <w:rsid w:val="00D62BBD"/>
    <w:rsid w:val="00D82105"/>
    <w:rsid w:val="00D822F2"/>
    <w:rsid w:val="00D92BD3"/>
    <w:rsid w:val="00DA5448"/>
    <w:rsid w:val="00DC18A0"/>
    <w:rsid w:val="00DD5F96"/>
    <w:rsid w:val="00DE67FC"/>
    <w:rsid w:val="00E13E58"/>
    <w:rsid w:val="00E2258B"/>
    <w:rsid w:val="00E47658"/>
    <w:rsid w:val="00E51BFD"/>
    <w:rsid w:val="00E549F2"/>
    <w:rsid w:val="00E845D1"/>
    <w:rsid w:val="00EE1000"/>
    <w:rsid w:val="00EE5B63"/>
    <w:rsid w:val="00F432AC"/>
    <w:rsid w:val="00F70E6B"/>
    <w:rsid w:val="00FF4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521F55-CFE3-4D82-85FE-91C3A4C8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A2664D"/>
    <w:rPr>
      <w:rFonts w:ascii="Tahoma" w:hAnsi="Tahoma" w:cs="Tahoma"/>
      <w:sz w:val="16"/>
      <w:szCs w:val="16"/>
    </w:rPr>
  </w:style>
  <w:style w:type="paragraph" w:styleId="Rozloendokumentu">
    <w:name w:val="Document Map"/>
    <w:basedOn w:val="Normln"/>
    <w:semiHidden/>
    <w:rsid w:val="0098719D"/>
    <w:pPr>
      <w:shd w:val="clear" w:color="auto" w:fill="000080"/>
    </w:pPr>
    <w:rPr>
      <w:rFonts w:ascii="Tahoma" w:hAnsi="Tahoma" w:cs="Tahoma"/>
      <w:sz w:val="20"/>
      <w:szCs w:val="20"/>
    </w:rPr>
  </w:style>
  <w:style w:type="character" w:styleId="Hypertextovodkaz">
    <w:name w:val="Hyperlink"/>
    <w:rsid w:val="003A74E5"/>
    <w:rPr>
      <w:color w:val="0000FF"/>
      <w:u w:val="single"/>
    </w:rPr>
  </w:style>
  <w:style w:type="paragraph" w:customStyle="1" w:styleId="RLdajeosmluvnstran">
    <w:name w:val="RL  údaje o smluvní straně"/>
    <w:basedOn w:val="Normln"/>
    <w:link w:val="RLdajeosmluvnstranChar"/>
    <w:rsid w:val="00DE67FC"/>
    <w:pPr>
      <w:spacing w:after="120" w:line="280" w:lineRule="exact"/>
      <w:jc w:val="center"/>
    </w:pPr>
    <w:rPr>
      <w:rFonts w:ascii="Garamond" w:hAnsi="Garamond"/>
      <w:lang w:eastAsia="en-US"/>
    </w:rPr>
  </w:style>
  <w:style w:type="character" w:customStyle="1" w:styleId="RLdajeosmluvnstranChar">
    <w:name w:val="RL  údaje o smluvní straně Char"/>
    <w:link w:val="RLdajeosmluvnstran"/>
    <w:rsid w:val="00DE67FC"/>
    <w:rPr>
      <w:rFonts w:ascii="Garamond" w:hAnsi="Garamond"/>
      <w:sz w:val="24"/>
      <w:szCs w:val="24"/>
      <w:lang w:val="cs-CZ" w:eastAsia="en-US" w:bidi="ar-SA"/>
    </w:rPr>
  </w:style>
  <w:style w:type="paragraph" w:customStyle="1" w:styleId="RLProhlensmluvnchstran">
    <w:name w:val="RL Prohlášení smluvních stran"/>
    <w:basedOn w:val="Normln"/>
    <w:link w:val="RLProhlensmluvnchstranChar"/>
    <w:rsid w:val="00DE67FC"/>
    <w:pPr>
      <w:spacing w:after="120" w:line="280" w:lineRule="exact"/>
      <w:jc w:val="center"/>
    </w:pPr>
    <w:rPr>
      <w:rFonts w:ascii="Garamond" w:hAnsi="Garamond"/>
      <w:b/>
    </w:rPr>
  </w:style>
  <w:style w:type="character" w:customStyle="1" w:styleId="RLProhlensmluvnchstranChar">
    <w:name w:val="RL Prohlášení smluvních stran Char"/>
    <w:link w:val="RLProhlensmluvnchstran"/>
    <w:rsid w:val="00DE67FC"/>
    <w:rPr>
      <w:rFonts w:ascii="Garamond" w:hAnsi="Garamond"/>
      <w:b/>
      <w:sz w:val="24"/>
      <w:szCs w:val="24"/>
      <w:lang w:val="cs-CZ" w:eastAsia="cs-CZ" w:bidi="ar-SA"/>
    </w:rPr>
  </w:style>
  <w:style w:type="paragraph" w:customStyle="1" w:styleId="RLsmluvnstrana">
    <w:name w:val="RL smluvní strana"/>
    <w:basedOn w:val="Normln"/>
    <w:next w:val="RLdajeosmluvnstran"/>
    <w:rsid w:val="00DE67FC"/>
    <w:pPr>
      <w:overflowPunct w:val="0"/>
      <w:autoSpaceDE w:val="0"/>
      <w:autoSpaceDN w:val="0"/>
      <w:adjustRightInd w:val="0"/>
      <w:spacing w:after="120" w:line="280" w:lineRule="exact"/>
      <w:jc w:val="center"/>
      <w:textAlignment w:val="baseline"/>
    </w:pPr>
    <w:rPr>
      <w:rFonts w:ascii="Garamond" w:hAnsi="Garamond"/>
      <w:b/>
      <w:szCs w:val="20"/>
      <w:lang w:eastAsia="en-US"/>
    </w:rPr>
  </w:style>
  <w:style w:type="character" w:styleId="Odkaznakoment">
    <w:name w:val="annotation reference"/>
    <w:uiPriority w:val="99"/>
    <w:rsid w:val="009008FA"/>
    <w:rPr>
      <w:sz w:val="16"/>
      <w:szCs w:val="16"/>
    </w:rPr>
  </w:style>
  <w:style w:type="paragraph" w:styleId="Textkomente">
    <w:name w:val="annotation text"/>
    <w:basedOn w:val="Normln"/>
    <w:link w:val="TextkomenteChar"/>
    <w:uiPriority w:val="99"/>
    <w:rsid w:val="009008FA"/>
    <w:rPr>
      <w:sz w:val="20"/>
      <w:szCs w:val="20"/>
    </w:rPr>
  </w:style>
  <w:style w:type="character" w:customStyle="1" w:styleId="TextkomenteChar">
    <w:name w:val="Text komentáře Char"/>
    <w:basedOn w:val="Standardnpsmoodstavce"/>
    <w:link w:val="Textkomente"/>
    <w:uiPriority w:val="99"/>
    <w:rsid w:val="009008FA"/>
  </w:style>
  <w:style w:type="paragraph" w:styleId="Pedmtkomente">
    <w:name w:val="annotation subject"/>
    <w:basedOn w:val="Textkomente"/>
    <w:next w:val="Textkomente"/>
    <w:link w:val="PedmtkomenteChar"/>
    <w:rsid w:val="009008FA"/>
    <w:rPr>
      <w:b/>
      <w:bCs/>
    </w:rPr>
  </w:style>
  <w:style w:type="character" w:customStyle="1" w:styleId="PedmtkomenteChar">
    <w:name w:val="Předmět komentáře Char"/>
    <w:link w:val="Pedmtkomente"/>
    <w:rsid w:val="009008FA"/>
    <w:rPr>
      <w:b/>
      <w:bCs/>
    </w:rPr>
  </w:style>
  <w:style w:type="paragraph" w:styleId="Odstavecseseznamem">
    <w:name w:val="List Paragraph"/>
    <w:basedOn w:val="Normln"/>
    <w:uiPriority w:val="34"/>
    <w:qFormat/>
    <w:rsid w:val="002B4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07579">
      <w:bodyDiv w:val="1"/>
      <w:marLeft w:val="0"/>
      <w:marRight w:val="0"/>
      <w:marTop w:val="2250"/>
      <w:marBottom w:val="0"/>
      <w:divBdr>
        <w:top w:val="none" w:sz="0" w:space="0" w:color="auto"/>
        <w:left w:val="none" w:sz="0" w:space="0" w:color="auto"/>
        <w:bottom w:val="none" w:sz="0" w:space="0" w:color="auto"/>
        <w:right w:val="none" w:sz="0" w:space="0" w:color="auto"/>
      </w:divBdr>
      <w:divsChild>
        <w:div w:id="913126634">
          <w:marLeft w:val="0"/>
          <w:marRight w:val="0"/>
          <w:marTop w:val="0"/>
          <w:marBottom w:val="0"/>
          <w:divBdr>
            <w:top w:val="none" w:sz="0" w:space="0" w:color="auto"/>
            <w:left w:val="none" w:sz="0" w:space="0" w:color="auto"/>
            <w:bottom w:val="none" w:sz="0" w:space="0" w:color="auto"/>
            <w:right w:val="none" w:sz="0" w:space="0" w:color="auto"/>
          </w:divBdr>
          <w:divsChild>
            <w:div w:id="302539813">
              <w:marLeft w:val="0"/>
              <w:marRight w:val="0"/>
              <w:marTop w:val="0"/>
              <w:marBottom w:val="0"/>
              <w:divBdr>
                <w:top w:val="none" w:sz="0" w:space="0" w:color="auto"/>
                <w:left w:val="none" w:sz="0" w:space="0" w:color="auto"/>
                <w:bottom w:val="none" w:sz="0" w:space="0" w:color="auto"/>
                <w:right w:val="none" w:sz="0" w:space="0" w:color="auto"/>
              </w:divBdr>
            </w:div>
            <w:div w:id="309485089">
              <w:marLeft w:val="0"/>
              <w:marRight w:val="0"/>
              <w:marTop w:val="0"/>
              <w:marBottom w:val="0"/>
              <w:divBdr>
                <w:top w:val="none" w:sz="0" w:space="0" w:color="auto"/>
                <w:left w:val="none" w:sz="0" w:space="0" w:color="auto"/>
                <w:bottom w:val="none" w:sz="0" w:space="0" w:color="auto"/>
                <w:right w:val="none" w:sz="0" w:space="0" w:color="auto"/>
              </w:divBdr>
            </w:div>
            <w:div w:id="694235818">
              <w:marLeft w:val="0"/>
              <w:marRight w:val="0"/>
              <w:marTop w:val="0"/>
              <w:marBottom w:val="0"/>
              <w:divBdr>
                <w:top w:val="none" w:sz="0" w:space="0" w:color="auto"/>
                <w:left w:val="none" w:sz="0" w:space="0" w:color="auto"/>
                <w:bottom w:val="none" w:sz="0" w:space="0" w:color="auto"/>
                <w:right w:val="none" w:sz="0" w:space="0" w:color="auto"/>
              </w:divBdr>
            </w:div>
            <w:div w:id="1068650340">
              <w:marLeft w:val="0"/>
              <w:marRight w:val="0"/>
              <w:marTop w:val="0"/>
              <w:marBottom w:val="0"/>
              <w:divBdr>
                <w:top w:val="none" w:sz="0" w:space="0" w:color="auto"/>
                <w:left w:val="none" w:sz="0" w:space="0" w:color="auto"/>
                <w:bottom w:val="none" w:sz="0" w:space="0" w:color="auto"/>
                <w:right w:val="none" w:sz="0" w:space="0" w:color="auto"/>
              </w:divBdr>
            </w:div>
            <w:div w:id="1233202734">
              <w:marLeft w:val="0"/>
              <w:marRight w:val="0"/>
              <w:marTop w:val="0"/>
              <w:marBottom w:val="0"/>
              <w:divBdr>
                <w:top w:val="none" w:sz="0" w:space="0" w:color="auto"/>
                <w:left w:val="none" w:sz="0" w:space="0" w:color="auto"/>
                <w:bottom w:val="none" w:sz="0" w:space="0" w:color="auto"/>
                <w:right w:val="none" w:sz="0" w:space="0" w:color="auto"/>
              </w:divBdr>
            </w:div>
            <w:div w:id="1555696556">
              <w:marLeft w:val="0"/>
              <w:marRight w:val="0"/>
              <w:marTop w:val="0"/>
              <w:marBottom w:val="0"/>
              <w:divBdr>
                <w:top w:val="none" w:sz="0" w:space="0" w:color="auto"/>
                <w:left w:val="none" w:sz="0" w:space="0" w:color="auto"/>
                <w:bottom w:val="none" w:sz="0" w:space="0" w:color="auto"/>
                <w:right w:val="none" w:sz="0" w:space="0" w:color="auto"/>
              </w:divBdr>
            </w:div>
            <w:div w:id="1642269179">
              <w:marLeft w:val="0"/>
              <w:marRight w:val="0"/>
              <w:marTop w:val="0"/>
              <w:marBottom w:val="0"/>
              <w:divBdr>
                <w:top w:val="none" w:sz="0" w:space="0" w:color="auto"/>
                <w:left w:val="none" w:sz="0" w:space="0" w:color="auto"/>
                <w:bottom w:val="none" w:sz="0" w:space="0" w:color="auto"/>
                <w:right w:val="none" w:sz="0" w:space="0" w:color="auto"/>
              </w:divBdr>
            </w:div>
            <w:div w:id="16542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7691">
      <w:bodyDiv w:val="1"/>
      <w:marLeft w:val="0"/>
      <w:marRight w:val="0"/>
      <w:marTop w:val="0"/>
      <w:marBottom w:val="0"/>
      <w:divBdr>
        <w:top w:val="none" w:sz="0" w:space="0" w:color="auto"/>
        <w:left w:val="none" w:sz="0" w:space="0" w:color="auto"/>
        <w:bottom w:val="none" w:sz="0" w:space="0" w:color="auto"/>
        <w:right w:val="none" w:sz="0" w:space="0" w:color="auto"/>
      </w:divBdr>
      <w:divsChild>
        <w:div w:id="215169372">
          <w:marLeft w:val="0"/>
          <w:marRight w:val="0"/>
          <w:marTop w:val="0"/>
          <w:marBottom w:val="0"/>
          <w:divBdr>
            <w:top w:val="none" w:sz="0" w:space="0" w:color="auto"/>
            <w:left w:val="none" w:sz="0" w:space="0" w:color="auto"/>
            <w:bottom w:val="none" w:sz="0" w:space="0" w:color="auto"/>
            <w:right w:val="none" w:sz="0" w:space="0" w:color="auto"/>
          </w:divBdr>
        </w:div>
        <w:div w:id="367342623">
          <w:marLeft w:val="0"/>
          <w:marRight w:val="0"/>
          <w:marTop w:val="0"/>
          <w:marBottom w:val="0"/>
          <w:divBdr>
            <w:top w:val="none" w:sz="0" w:space="0" w:color="auto"/>
            <w:left w:val="none" w:sz="0" w:space="0" w:color="auto"/>
            <w:bottom w:val="none" w:sz="0" w:space="0" w:color="auto"/>
            <w:right w:val="none" w:sz="0" w:space="0" w:color="auto"/>
          </w:divBdr>
        </w:div>
        <w:div w:id="689911346">
          <w:marLeft w:val="0"/>
          <w:marRight w:val="0"/>
          <w:marTop w:val="0"/>
          <w:marBottom w:val="0"/>
          <w:divBdr>
            <w:top w:val="none" w:sz="0" w:space="0" w:color="auto"/>
            <w:left w:val="none" w:sz="0" w:space="0" w:color="auto"/>
            <w:bottom w:val="none" w:sz="0" w:space="0" w:color="auto"/>
            <w:right w:val="none" w:sz="0" w:space="0" w:color="auto"/>
          </w:divBdr>
        </w:div>
        <w:div w:id="1024792719">
          <w:marLeft w:val="0"/>
          <w:marRight w:val="0"/>
          <w:marTop w:val="0"/>
          <w:marBottom w:val="0"/>
          <w:divBdr>
            <w:top w:val="none" w:sz="0" w:space="0" w:color="auto"/>
            <w:left w:val="none" w:sz="0" w:space="0" w:color="auto"/>
            <w:bottom w:val="none" w:sz="0" w:space="0" w:color="auto"/>
            <w:right w:val="none" w:sz="0" w:space="0" w:color="auto"/>
          </w:divBdr>
        </w:div>
      </w:divsChild>
    </w:div>
    <w:div w:id="977224475">
      <w:bodyDiv w:val="1"/>
      <w:marLeft w:val="0"/>
      <w:marRight w:val="0"/>
      <w:marTop w:val="0"/>
      <w:marBottom w:val="0"/>
      <w:divBdr>
        <w:top w:val="none" w:sz="0" w:space="0" w:color="auto"/>
        <w:left w:val="none" w:sz="0" w:space="0" w:color="auto"/>
        <w:bottom w:val="none" w:sz="0" w:space="0" w:color="auto"/>
        <w:right w:val="none" w:sz="0" w:space="0" w:color="auto"/>
      </w:divBdr>
      <w:divsChild>
        <w:div w:id="209631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alice2\Data%20aplikac&#237;\Microsoft\&#352;ablony\Hlavi&#269;kov&#253;_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0366-C3FF-49ED-9320-6D0558BB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Hlavičkový_sro.dot</Template>
  <TotalTime>65</TotalTime>
  <Pages>1</Pages>
  <Words>2258</Words>
  <Characters>13325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RÁMCOVÁ OBJEDNÁVKA</vt:lpstr>
    </vt:vector>
  </TitlesOfParts>
  <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OBJEDNÁVKA</dc:title>
  <dc:creator>Satalice2</dc:creator>
  <cp:lastModifiedBy>Klenovský Richard JUDr.</cp:lastModifiedBy>
  <cp:revision>11</cp:revision>
  <cp:lastPrinted>2016-06-30T09:43:00Z</cp:lastPrinted>
  <dcterms:created xsi:type="dcterms:W3CDTF">2016-06-30T09:40:00Z</dcterms:created>
  <dcterms:modified xsi:type="dcterms:W3CDTF">2016-07-28T08:23:00Z</dcterms:modified>
</cp:coreProperties>
</file>