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*S00BP01RJ5TF*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ZDENĚK TOMÁŠ, advokát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Hrádku 1940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03536378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OBJ914/00352/19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Právní služby a poradenství - záležitosti po zrušené PO KCP</w:t>
              <w:br/>
              <w:t>Cena: do 50.000,-- Kč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31.12.2020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je možné zasílat i na email faktury@mmp.cz.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05.11.2019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Málková Irena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466 859 550 | Email: irena.malkova@mmp.cz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