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SMLOUVA O DODÁVKÁCH ZBOŽÍ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347006" w:rsidRDefault="00347006" w:rsidP="00347006">
      <w:pPr>
        <w:spacing w:after="0" w:line="240" w:lineRule="auto"/>
      </w:pPr>
      <w:r>
        <w:t>SANICARE s.r.o.</w:t>
      </w:r>
    </w:p>
    <w:p w:rsidR="00347006" w:rsidRDefault="00347006" w:rsidP="00347006">
      <w:pPr>
        <w:spacing w:after="0" w:line="240" w:lineRule="auto"/>
      </w:pPr>
      <w:r>
        <w:t>se sídlem Masarykovo náměstí 77, 664 71 Veverská Bítýška</w:t>
      </w:r>
    </w:p>
    <w:p w:rsidR="00347006" w:rsidRDefault="00347006" w:rsidP="00347006">
      <w:pPr>
        <w:spacing w:after="0" w:line="240" w:lineRule="auto"/>
      </w:pPr>
      <w:r>
        <w:t>IČO 268 92 626 , DIČ: CZ26892626</w:t>
      </w:r>
    </w:p>
    <w:p w:rsidR="00347006" w:rsidRDefault="00347006" w:rsidP="00347006">
      <w:pPr>
        <w:spacing w:after="0" w:line="240" w:lineRule="auto"/>
      </w:pPr>
      <w:r>
        <w:t>Bankovní spojení: Komerční banka a.s., č.ú.:</w:t>
      </w:r>
      <w:r w:rsidRPr="005642B4">
        <w:t xml:space="preserve"> </w:t>
      </w:r>
      <w:r w:rsidRPr="00DC037D">
        <w:t>27-8091430247/0100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:rsidR="008917BF" w:rsidRDefault="008917BF">
      <w:pPr>
        <w:spacing w:after="0" w:line="240" w:lineRule="auto"/>
      </w:pP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Bankovní spojení: Komerční banka, č.ú. : 20400247/0100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>uzavřeli níže psaného dne, měsíce a roku ve smyslu ust. § 2079 a násl. zák. č. 89/2012 Sb., občanského zákoníku, ve znění pozdějších právních předpisů, tuto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:rsidR="008917BF" w:rsidRPr="00347006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1.1.   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firstLine="1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F653BC" w:rsidRDefault="009C153C" w:rsidP="00347006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1.2.   Kupující se zavazuje po dobu platnosti této Smlouvy odebírat od prodávajícího v rozsahu dílčích kupních smluv předmětné zboží a zaplatit</w:t>
      </w:r>
      <w:r w:rsidR="00347006">
        <w:rPr>
          <w:rFonts w:ascii="Trebuchet MS" w:eastAsia="Trebuchet MS" w:hAnsi="Trebuchet MS" w:cs="Trebuchet MS"/>
          <w:sz w:val="20"/>
        </w:rPr>
        <w:t xml:space="preserve"> prodávajícímu kupní cenu zboží.</w:t>
      </w:r>
    </w:p>
    <w:p w:rsidR="00782928" w:rsidRPr="00347006" w:rsidRDefault="00782928" w:rsidP="00347006">
      <w:pPr>
        <w:spacing w:after="0" w:line="240" w:lineRule="auto"/>
        <w:ind w:left="800" w:hanging="439"/>
        <w:jc w:val="both"/>
      </w:pP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8917BF">
      <w:pPr>
        <w:spacing w:after="0" w:line="240" w:lineRule="auto"/>
        <w:ind w:left="360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2.1.   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2.2.   </w:t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 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3079F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2.4.   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pracovních dnů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(ii)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B838C2" w:rsidRDefault="00B838C2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 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03079F" w:rsidRDefault="0003079F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  <w:r w:rsidR="00347006">
        <w:rPr>
          <w:rFonts w:ascii="Trebuchet MS" w:eastAsia="Trebuchet MS" w:hAnsi="Trebuchet MS" w:cs="Trebuchet MS"/>
          <w:sz w:val="20"/>
        </w:rPr>
        <w:t>objednavky</w:t>
      </w:r>
      <w:r w:rsidR="00347006" w:rsidRPr="00347006">
        <w:rPr>
          <w:rFonts w:ascii="Trebuchet MS" w:eastAsia="Trebuchet MS" w:hAnsi="Trebuchet MS" w:cs="Trebuchet MS"/>
          <w:sz w:val="20"/>
        </w:rPr>
        <w:t>@</w:t>
      </w:r>
      <w:r w:rsidR="00347006">
        <w:rPr>
          <w:rFonts w:ascii="Trebuchet MS" w:eastAsia="Trebuchet MS" w:hAnsi="Trebuchet MS" w:cs="Trebuchet MS"/>
          <w:sz w:val="20"/>
        </w:rPr>
        <w:t>hartmann.info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kupujícího: </w:t>
      </w:r>
      <w:hyperlink r:id="rId7" w:history="1">
        <w:r w:rsidR="00AB42E3" w:rsidRPr="0029561D">
          <w:rPr>
            <w:rStyle w:val="Hypertextovodkaz"/>
            <w:rFonts w:ascii="Trebuchet MS" w:eastAsia="Trebuchet MS" w:hAnsi="Trebuchet MS" w:cs="Trebuchet MS"/>
            <w:sz w:val="20"/>
          </w:rPr>
          <w:t xml:space="preserve"> hana.pupova@upmd.eu</w:t>
        </w:r>
      </w:hyperlink>
      <w:r w:rsidR="00A06B1E"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347006" w:rsidRPr="00347006" w:rsidRDefault="009C153C">
      <w:pPr>
        <w:spacing w:after="0" w:line="240" w:lineRule="auto"/>
        <w:rPr>
          <w:rFonts w:ascii="Trebuchet MS" w:eastAsia="Trebuchet MS" w:hAnsi="Trebuchet MS" w:cs="Trebuchet MS"/>
          <w:sz w:val="20"/>
          <w:highlight w:val="yellow"/>
        </w:rPr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347006" w:rsidRPr="00347006">
        <w:rPr>
          <w:rFonts w:ascii="Trebuchet MS" w:eastAsia="Trebuchet MS" w:hAnsi="Trebuchet MS" w:cs="Trebuchet MS"/>
          <w:sz w:val="20"/>
        </w:rPr>
        <w:t>549 457 411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>
        <w:rPr>
          <w:rFonts w:ascii="Trebuchet MS" w:eastAsia="Trebuchet MS" w:hAnsi="Trebuchet MS" w:cs="Trebuchet MS"/>
          <w:sz w:val="20"/>
          <w:highlight w:val="white"/>
        </w:rPr>
        <w:t>MTZ -</w:t>
      </w:r>
      <w:r w:rsidR="00846A2A">
        <w:rPr>
          <w:rFonts w:ascii="Trebuchet MS" w:eastAsia="Trebuchet MS" w:hAnsi="Trebuchet MS" w:cs="Trebuchet MS"/>
          <w:sz w:val="20"/>
          <w:highlight w:val="white"/>
        </w:rPr>
        <w:t>296 511 </w:t>
      </w:r>
      <w:r w:rsidR="00846A2A">
        <w:rPr>
          <w:rFonts w:ascii="Trebuchet MS" w:eastAsia="Trebuchet MS" w:hAnsi="Trebuchet MS" w:cs="Trebuchet MS"/>
          <w:sz w:val="20"/>
        </w:rPr>
        <w:t>262,3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:rsidR="008917BF" w:rsidRDefault="009C153C" w:rsidP="00696B2B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:rsidR="00782928" w:rsidRDefault="00782928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782928" w:rsidRDefault="00782928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F653BC" w:rsidRDefault="00F653BC">
      <w:pPr>
        <w:spacing w:after="0" w:line="240" w:lineRule="auto"/>
      </w:pPr>
    </w:p>
    <w:p w:rsidR="008B277F" w:rsidRDefault="008B277F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3.1.  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3.2.   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3.3.   Kupní cena je stanovena za 1 MJ v Kč bez DPH, včetně dopravy do sídla kupujícího.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  Kupní cena za dodané zboží je splatná ve lhůtě 60 dnů od doručení </w:t>
      </w:r>
      <w:r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Pr="008B277F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8917BF">
      <w:pPr>
        <w:spacing w:after="0" w:line="240" w:lineRule="auto"/>
        <w:ind w:left="800"/>
        <w:jc w:val="both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>
        <w:rPr>
          <w:rFonts w:ascii="Trebuchet MS" w:eastAsia="Trebuchet MS" w:hAnsi="Trebuchet MS" w:cs="Trebuchet MS"/>
          <w:sz w:val="20"/>
        </w:rPr>
        <w:t>.   Prodávajícímu vzniká právo účtovat kupujícímu kupní cenu za dodané zboží stanovenou ve smyslu čl. 3.1. této Smlouvy okamžikem dodání zboží kupujícímu.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>
        <w:rPr>
          <w:rFonts w:ascii="Trebuchet MS" w:eastAsia="Trebuchet MS" w:hAnsi="Trebuchet MS" w:cs="Trebuchet MS"/>
          <w:sz w:val="20"/>
        </w:rPr>
        <w:t>.   Bude-li kupující v prodlení s úhradou kupní ceny nebo jakékoli její části delším než 30 dnů, má se za to, že tato Smlouva včetně dílčí kupní smlouvy byla porušena podstatným způsobem.</w:t>
      </w:r>
    </w:p>
    <w:p w:rsidR="008A07DE" w:rsidRPr="00347006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>4.1.   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4.2.   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4.3.   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7C12F1">
        <w:rPr>
          <w:rFonts w:ascii="Trebuchet MS" w:eastAsia="Trebuchet MS" w:hAnsi="Trebuchet MS" w:cs="Trebuchet MS"/>
          <w:sz w:val="20"/>
        </w:rPr>
        <w:t>3</w:t>
      </w:r>
      <w:r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v dílčí kupní smlouvě </w:t>
      </w:r>
      <w:r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>
        <w:rPr>
          <w:rFonts w:ascii="Trebuchet MS" w:eastAsia="Trebuchet MS" w:hAnsi="Trebuchet MS" w:cs="Trebuchet MS"/>
          <w:sz w:val="20"/>
        </w:rPr>
        <w:t xml:space="preserve">dodací lhůta.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  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4.5.   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4.6.   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>
        <w:rPr>
          <w:rFonts w:ascii="Trebuchet MS" w:eastAsia="Trebuchet MS" w:hAnsi="Trebuchet MS" w:cs="Trebuchet MS"/>
          <w:sz w:val="20"/>
        </w:rPr>
        <w:t>kvality.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4.7.   Prodávající je povinen v okamžiku předání zboží kupujícímu nebo dopravci určenému </w:t>
      </w:r>
      <w:r>
        <w:rPr>
          <w:rFonts w:ascii="Trebuchet MS" w:eastAsia="Trebuchet MS" w:hAnsi="Trebuchet MS" w:cs="Trebuchet MS"/>
          <w:sz w:val="20"/>
        </w:rPr>
        <w:lastRenderedPageBreak/>
        <w:t>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   Neurčí-li dílčí kupní smlouva jinak, je prodávající povinen zboží opatřit takovým obalem pro přepravu, který zabezpečuje řádné uchování a ochranu zboží před jeho poškozením.</w:t>
      </w:r>
    </w:p>
    <w:p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76419E">
        <w:rPr>
          <w:rFonts w:ascii="Trebuchet MS" w:eastAsia="Trebuchet MS" w:hAnsi="Trebuchet MS" w:cs="Trebuchet MS"/>
          <w:sz w:val="20"/>
        </w:rPr>
        <w:t>.9</w:t>
      </w:r>
      <w:r w:rsidR="0076419E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tímto prohlašuje, že bude výhradním a neomezeným vlastníkem zboží ke dni jeho převzetí kupujícím s tím, že zboží nebude zatíženo žádnými právy či břemeny ve prospěch třetích osob, zejména na něm nebude váznout právo zástavní, zadržovací ani nebude předmětem výhrady vlastnického práva třetích osob v jakékoli formě.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ab/>
        <w:t>Kupující nabývá vlastnického práva ke zboží v okamžiku jeho převzetí.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:rsidR="0076419E" w:rsidRDefault="0076419E">
      <w:pPr>
        <w:spacing w:after="0" w:line="240" w:lineRule="auto"/>
        <w:ind w:left="800" w:hanging="439"/>
        <w:jc w:val="both"/>
      </w:pPr>
    </w:p>
    <w:p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8917BF">
      <w:pPr>
        <w:spacing w:after="0" w:line="240" w:lineRule="auto"/>
        <w:ind w:left="360"/>
        <w:jc w:val="both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5.1.   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5.2.   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  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6.1.   Tento závazkový vztah založený mezi oběma smluvními stranami touto Smlouvou zaniká, nastane-li některá z níže uvedených právních skutečností: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122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122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. Účinky odstoupení se řídí ustanovením obč. zák.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1220" w:hanging="499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měsíc/ů a počíná běžet prvního dne měsíce následujícího po měsíci, v němž byla výpověď doručena druhé smluvní straně.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347006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6.2.   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6C515E" w:rsidRDefault="006C515E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  Smlouva se uzavírá na dobu určitou a to na </w:t>
      </w:r>
      <w:r w:rsidR="0034482E">
        <w:rPr>
          <w:rFonts w:ascii="Trebuchet MS" w:eastAsia="Trebuchet MS" w:hAnsi="Trebuchet MS" w:cs="Trebuchet MS"/>
          <w:sz w:val="20"/>
        </w:rPr>
        <w:t>12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od podpisu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 xml:space="preserve">mlouvy </w:t>
      </w:r>
      <w:r w:rsidR="00370FF9" w:rsidRPr="00E2652D">
        <w:rPr>
          <w:rFonts w:ascii="Trebuchet MS" w:eastAsia="Trebuchet MS" w:hAnsi="Trebuchet MS" w:cs="Trebuchet MS"/>
          <w:sz w:val="20"/>
        </w:rPr>
        <w:t>oběma smluvními stranami</w:t>
      </w:r>
      <w:r w:rsidRPr="00E2652D">
        <w:rPr>
          <w:rFonts w:ascii="Trebuchet MS" w:eastAsia="Trebuchet MS" w:hAnsi="Trebuchet MS" w:cs="Trebuchet MS"/>
          <w:sz w:val="20"/>
        </w:rPr>
        <w:t>.</w:t>
      </w:r>
    </w:p>
    <w:p w:rsidR="00B62771" w:rsidRPr="00347006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VIII.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Pr="0064705B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  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  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>jsou současně adresami pro doručování.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8.3.   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8917BF">
      <w:pPr>
        <w:spacing w:after="0" w:line="240" w:lineRule="auto"/>
        <w:ind w:left="360"/>
        <w:jc w:val="both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9.1.   Při nedodržení termínu splatnosti faktury i přes opakovanou výzvu prodávajícího kupujícímu na nedodržení splatnosti, je prodávající oprávněn požadovat zaplacení pouze smluvního úroku z prodlení ve výši 0,05% z dlužné částky za každý den prodlení.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 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>
        <w:rPr>
          <w:rFonts w:ascii="Trebuchet MS" w:eastAsia="Trebuchet MS" w:hAnsi="Trebuchet MS" w:cs="Trebuchet MS"/>
          <w:sz w:val="20"/>
        </w:rPr>
        <w:t>, má kupující právo si účtovat smluvní pokutu ve výši 1%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  Při nedodržení dodací lhůty má kupující právo si účtovat smluvní </w:t>
      </w:r>
      <w:r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:rsidR="00F653BC" w:rsidRPr="00347006" w:rsidRDefault="00F653BC" w:rsidP="00347006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 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</w:p>
    <w:p w:rsidR="0076419E" w:rsidRPr="0076419E" w:rsidRDefault="009C153C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smlouvy, 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8917BF">
      <w:pPr>
        <w:spacing w:after="0" w:line="240" w:lineRule="auto"/>
        <w:ind w:left="860" w:hanging="499"/>
        <w:jc w:val="both"/>
      </w:pP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 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, jakož i dílčích kupních smluv, je: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 osobu prodávajícího pověřen</w:t>
      </w:r>
      <w:r w:rsidRPr="00E43B59">
        <w:rPr>
          <w:rFonts w:ascii="Trebuchet MS" w:eastAsia="Trebuchet MS" w:hAnsi="Trebuchet MS" w:cs="Trebuchet MS"/>
          <w:sz w:val="20"/>
        </w:rPr>
        <w:t>:</w:t>
      </w:r>
      <w:r w:rsidR="00347006" w:rsidRPr="00E43B59">
        <w:rPr>
          <w:rFonts w:ascii="Trebuchet MS" w:eastAsia="Trebuchet MS" w:hAnsi="Trebuchet MS" w:cs="Trebuchet MS"/>
          <w:sz w:val="20"/>
        </w:rPr>
        <w:t xml:space="preserve"> Bc. Martin Link</w:t>
      </w:r>
      <w:r w:rsidRPr="00E43B59">
        <w:rPr>
          <w:rFonts w:ascii="Trebuchet MS" w:eastAsia="Trebuchet MS" w:hAnsi="Trebuchet MS" w:cs="Trebuchet MS"/>
          <w:sz w:val="20"/>
        </w:rPr>
        <w:t xml:space="preserve"> tel:</w:t>
      </w:r>
      <w:r w:rsidR="00370FF9" w:rsidRPr="00E43B59">
        <w:rPr>
          <w:rFonts w:ascii="Trebuchet MS" w:eastAsia="Trebuchet MS" w:hAnsi="Trebuchet MS" w:cs="Trebuchet MS"/>
          <w:sz w:val="20"/>
        </w:rPr>
        <w:t xml:space="preserve"> </w:t>
      </w:r>
      <w:r w:rsidR="00347006" w:rsidRPr="00E43B59">
        <w:rPr>
          <w:rFonts w:ascii="Trebuchet MS" w:eastAsia="Trebuchet MS" w:hAnsi="Trebuchet MS" w:cs="Trebuchet MS"/>
          <w:sz w:val="20"/>
        </w:rPr>
        <w:t>724 671 066</w:t>
      </w:r>
    </w:p>
    <w:p w:rsidR="008917BF" w:rsidRDefault="0071052B" w:rsidP="009E7794">
      <w:pPr>
        <w:spacing w:after="0" w:line="240" w:lineRule="auto"/>
        <w:ind w:left="80" w:firstLine="720"/>
        <w:jc w:val="both"/>
      </w:pPr>
      <w:r>
        <w:rPr>
          <w:rFonts w:ascii="Trebuchet MS" w:eastAsia="Trebuchet MS" w:hAnsi="Trebuchet MS" w:cs="Trebuchet MS"/>
          <w:sz w:val="20"/>
        </w:rPr>
        <w:t xml:space="preserve">za osobu kupujícího pověřen: </w:t>
      </w:r>
      <w:r w:rsidR="00EC35D2">
        <w:rPr>
          <w:rFonts w:ascii="Trebuchet MS" w:eastAsia="Trebuchet MS" w:hAnsi="Trebuchet MS" w:cs="Trebuchet MS"/>
          <w:sz w:val="20"/>
        </w:rPr>
        <w:t xml:space="preserve">MTZ </w:t>
      </w:r>
      <w:r w:rsidR="00124D5F">
        <w:rPr>
          <w:rFonts w:ascii="Trebuchet MS" w:eastAsia="Trebuchet MS" w:hAnsi="Trebuchet MS" w:cs="Trebuchet MS"/>
          <w:sz w:val="20"/>
          <w:highlight w:val="yellow"/>
        </w:rPr>
        <w:t>–</w:t>
      </w:r>
      <w:r w:rsidR="00EC35D2" w:rsidRPr="00E43B59">
        <w:rPr>
          <w:rFonts w:ascii="Trebuchet MS" w:eastAsia="Trebuchet MS" w:hAnsi="Trebuchet MS" w:cs="Trebuchet MS"/>
          <w:sz w:val="20"/>
          <w:highlight w:val="yellow"/>
        </w:rPr>
        <w:t xml:space="preserve"> </w:t>
      </w:r>
      <w:r w:rsidR="00124D5F">
        <w:rPr>
          <w:rFonts w:ascii="Trebuchet MS" w:eastAsia="Trebuchet MS" w:hAnsi="Trebuchet MS" w:cs="Trebuchet MS"/>
          <w:sz w:val="20"/>
          <w:highlight w:val="yellow"/>
        </w:rPr>
        <w:t>Hana Pupová</w:t>
      </w:r>
      <w:bookmarkStart w:id="0" w:name="_GoBack"/>
      <w:bookmarkEnd w:id="0"/>
      <w:r w:rsidRPr="00E43B59">
        <w:rPr>
          <w:rFonts w:ascii="Trebuchet MS" w:eastAsia="Trebuchet MS" w:hAnsi="Trebuchet MS" w:cs="Trebuchet MS"/>
          <w:sz w:val="20"/>
          <w:highlight w:val="yellow"/>
        </w:rPr>
        <w:t>,</w:t>
      </w:r>
      <w:r w:rsidR="009C153C" w:rsidRPr="00E43B59">
        <w:rPr>
          <w:rFonts w:ascii="Trebuchet MS" w:eastAsia="Trebuchet MS" w:hAnsi="Trebuchet MS" w:cs="Trebuchet MS"/>
          <w:sz w:val="20"/>
          <w:highlight w:val="yellow"/>
        </w:rPr>
        <w:t xml:space="preserve"> tel: 296 511 </w:t>
      </w:r>
      <w:r w:rsidRPr="00E43B59">
        <w:rPr>
          <w:rFonts w:ascii="Trebuchet MS" w:eastAsia="Trebuchet MS" w:hAnsi="Trebuchet MS" w:cs="Trebuchet MS"/>
          <w:sz w:val="20"/>
          <w:highlight w:val="yellow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A07DE" w:rsidRDefault="008A07DE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11.1.  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11.2.  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11.3.  Smlouva nabývá platnosti a účinnosti dnem jejího podpisu oběma smluvními stranami.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76419E" w:rsidRDefault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11.4.  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11.5.  Smlouva byla vypracována ve třech vyhotoveních, z nichž prodávající obdrží jedno vyhotovení a kupující dvě vyhotovení.</w:t>
      </w:r>
    </w:p>
    <w:p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9C153C" w:rsidRPr="0076419E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11.6.  </w:t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:rsidR="00347006" w:rsidRDefault="00347006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347006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Ve Veverské Bítýšce,</w:t>
      </w:r>
      <w:r w:rsidR="009C153C">
        <w:rPr>
          <w:rFonts w:ascii="Trebuchet MS" w:eastAsia="Trebuchet MS" w:hAnsi="Trebuchet MS" w:cs="Trebuchet MS"/>
          <w:sz w:val="20"/>
        </w:rPr>
        <w:t xml:space="preserve"> dne                                            </w:t>
      </w:r>
      <w:r w:rsidR="009C153C">
        <w:rPr>
          <w:rFonts w:ascii="Trebuchet MS" w:eastAsia="Trebuchet MS" w:hAnsi="Trebuchet MS" w:cs="Trebuchet MS"/>
          <w:sz w:val="20"/>
        </w:rPr>
        <w:tab/>
        <w:t xml:space="preserve"> </w:t>
      </w:r>
      <w:r w:rsidR="009C153C">
        <w:rPr>
          <w:rFonts w:ascii="Trebuchet MS" w:eastAsia="Trebuchet MS" w:hAnsi="Trebuchet MS" w:cs="Trebuchet MS"/>
          <w:sz w:val="20"/>
        </w:rPr>
        <w:tab/>
        <w:t>V Praze, dne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:rsidR="0071052B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  <w:r w:rsidR="00347006">
        <w:rPr>
          <w:rFonts w:ascii="Trebuchet MS" w:eastAsia="Trebuchet MS" w:hAnsi="Trebuchet MS" w:cs="Trebuchet MS"/>
          <w:sz w:val="20"/>
        </w:rPr>
        <w:t xml:space="preserve">Ing. Marek Třeška, MBA     </w:t>
      </w:r>
      <w:r>
        <w:rPr>
          <w:rFonts w:ascii="Trebuchet MS" w:eastAsia="Trebuchet MS" w:hAnsi="Trebuchet MS" w:cs="Trebuchet MS"/>
          <w:sz w:val="20"/>
        </w:rPr>
        <w:t xml:space="preserve">                                 </w:t>
      </w:r>
      <w:r w:rsidR="00347006">
        <w:rPr>
          <w:rFonts w:ascii="Trebuchet MS" w:eastAsia="Trebuchet MS" w:hAnsi="Trebuchet MS" w:cs="Trebuchet MS"/>
          <w:sz w:val="20"/>
        </w:rPr>
        <w:t xml:space="preserve">          </w:t>
      </w:r>
      <w:r>
        <w:rPr>
          <w:rFonts w:ascii="Trebuchet MS" w:eastAsia="Trebuchet MS" w:hAnsi="Trebuchet MS" w:cs="Trebuchet MS"/>
          <w:sz w:val="20"/>
        </w:rPr>
        <w:t>doc. MUDr. Jaroslav Feyereisl, CSc</w:t>
      </w:r>
    </w:p>
    <w:p w:rsidR="008917BF" w:rsidRDefault="00347006" w:rsidP="00347006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Jednatel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Ústav pro péči o matku a dítě</w:t>
      </w:r>
    </w:p>
    <w:p w:rsidR="008917BF" w:rsidRDefault="00347006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SANICARE s.r.o.</w:t>
      </w:r>
      <w:r w:rsidR="009C153C">
        <w:rPr>
          <w:rFonts w:ascii="Trebuchet MS" w:eastAsia="Trebuchet MS" w:hAnsi="Trebuchet MS" w:cs="Trebuchet MS"/>
          <w:sz w:val="20"/>
        </w:rPr>
        <w:t xml:space="preserve">                            </w:t>
      </w:r>
      <w:r>
        <w:rPr>
          <w:rFonts w:ascii="Trebuchet MS" w:eastAsia="Trebuchet MS" w:hAnsi="Trebuchet MS" w:cs="Trebuchet MS"/>
          <w:sz w:val="20"/>
        </w:rPr>
        <w:t xml:space="preserve">                             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ředitel</w:t>
      </w:r>
    </w:p>
    <w:p w:rsidR="00347006" w:rsidRDefault="00347006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347006" w:rsidRDefault="00347006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347006" w:rsidRDefault="00347006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347006" w:rsidRDefault="00347006" w:rsidP="00347006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____________________________</w:t>
      </w:r>
    </w:p>
    <w:p w:rsidR="00347006" w:rsidRDefault="00347006" w:rsidP="00347006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Ing. Tomáš Groh</w:t>
      </w:r>
    </w:p>
    <w:p w:rsidR="00347006" w:rsidRDefault="00347006" w:rsidP="00347006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jednatel </w:t>
      </w:r>
    </w:p>
    <w:p w:rsidR="004365D5" w:rsidRPr="00AB42E3" w:rsidRDefault="00AB42E3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SANICARE s.r.o.</w:t>
      </w:r>
    </w:p>
    <w:sectPr w:rsidR="004365D5" w:rsidRPr="00AB42E3" w:rsidSect="007163BC">
      <w:footerReference w:type="default" r:id="rId8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CC" w:rsidRDefault="007736CC" w:rsidP="006C515E">
      <w:pPr>
        <w:spacing w:after="0" w:line="240" w:lineRule="auto"/>
      </w:pPr>
      <w:r>
        <w:separator/>
      </w:r>
    </w:p>
  </w:endnote>
  <w:endnote w:type="continuationSeparator" w:id="0">
    <w:p w:rsidR="007736CC" w:rsidRDefault="007736CC" w:rsidP="006C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B04924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B04924" w:rsidRPr="006C515E">
      <w:rPr>
        <w:sz w:val="20"/>
      </w:rPr>
      <w:fldChar w:fldCharType="separate"/>
    </w:r>
    <w:r w:rsidR="00124D5F">
      <w:rPr>
        <w:noProof/>
        <w:sz w:val="20"/>
      </w:rPr>
      <w:t>6</w:t>
    </w:r>
    <w:r w:rsidR="00B04924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B04924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B04924" w:rsidRPr="006C515E">
      <w:rPr>
        <w:sz w:val="20"/>
      </w:rPr>
      <w:fldChar w:fldCharType="separate"/>
    </w:r>
    <w:r w:rsidR="00124D5F">
      <w:rPr>
        <w:noProof/>
        <w:sz w:val="20"/>
      </w:rPr>
      <w:t>6</w:t>
    </w:r>
    <w:r w:rsidR="00B04924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CC" w:rsidRDefault="007736CC" w:rsidP="006C515E">
      <w:pPr>
        <w:spacing w:after="0" w:line="240" w:lineRule="auto"/>
      </w:pPr>
      <w:r>
        <w:separator/>
      </w:r>
    </w:p>
  </w:footnote>
  <w:footnote w:type="continuationSeparator" w:id="0">
    <w:p w:rsidR="007736CC" w:rsidRDefault="007736CC" w:rsidP="006C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7BF"/>
    <w:rsid w:val="00000146"/>
    <w:rsid w:val="00000B69"/>
    <w:rsid w:val="0003079F"/>
    <w:rsid w:val="00043E84"/>
    <w:rsid w:val="00053493"/>
    <w:rsid w:val="00085D13"/>
    <w:rsid w:val="000D5FA2"/>
    <w:rsid w:val="001167E6"/>
    <w:rsid w:val="00124D5F"/>
    <w:rsid w:val="001F6FB7"/>
    <w:rsid w:val="002215A3"/>
    <w:rsid w:val="002957E0"/>
    <w:rsid w:val="002A28EB"/>
    <w:rsid w:val="002B125A"/>
    <w:rsid w:val="0034482E"/>
    <w:rsid w:val="00347006"/>
    <w:rsid w:val="00370FF9"/>
    <w:rsid w:val="003E4724"/>
    <w:rsid w:val="004365D5"/>
    <w:rsid w:val="0048356F"/>
    <w:rsid w:val="00494C6B"/>
    <w:rsid w:val="004B4CFD"/>
    <w:rsid w:val="004C6A9A"/>
    <w:rsid w:val="004E3C71"/>
    <w:rsid w:val="005D2748"/>
    <w:rsid w:val="0064705B"/>
    <w:rsid w:val="00684120"/>
    <w:rsid w:val="00696B2B"/>
    <w:rsid w:val="006B5076"/>
    <w:rsid w:val="006C515E"/>
    <w:rsid w:val="006E4575"/>
    <w:rsid w:val="0071052B"/>
    <w:rsid w:val="007163BC"/>
    <w:rsid w:val="0074251D"/>
    <w:rsid w:val="0076419E"/>
    <w:rsid w:val="007736CC"/>
    <w:rsid w:val="00780212"/>
    <w:rsid w:val="00782928"/>
    <w:rsid w:val="00796D06"/>
    <w:rsid w:val="007C12F1"/>
    <w:rsid w:val="008408FA"/>
    <w:rsid w:val="00841728"/>
    <w:rsid w:val="00846A2A"/>
    <w:rsid w:val="00891117"/>
    <w:rsid w:val="008917BF"/>
    <w:rsid w:val="00893176"/>
    <w:rsid w:val="008A07DE"/>
    <w:rsid w:val="008A16B2"/>
    <w:rsid w:val="008B277F"/>
    <w:rsid w:val="009601B3"/>
    <w:rsid w:val="00977B9D"/>
    <w:rsid w:val="00991D79"/>
    <w:rsid w:val="009A5F67"/>
    <w:rsid w:val="009C153C"/>
    <w:rsid w:val="009E7794"/>
    <w:rsid w:val="00A01377"/>
    <w:rsid w:val="00A06B1E"/>
    <w:rsid w:val="00A77381"/>
    <w:rsid w:val="00A90E04"/>
    <w:rsid w:val="00AB42E3"/>
    <w:rsid w:val="00AF3CA0"/>
    <w:rsid w:val="00B04924"/>
    <w:rsid w:val="00B07815"/>
    <w:rsid w:val="00B13ADF"/>
    <w:rsid w:val="00B23009"/>
    <w:rsid w:val="00B56EC4"/>
    <w:rsid w:val="00B62771"/>
    <w:rsid w:val="00B838C2"/>
    <w:rsid w:val="00B96D7B"/>
    <w:rsid w:val="00BE753B"/>
    <w:rsid w:val="00BF1C3E"/>
    <w:rsid w:val="00C0718A"/>
    <w:rsid w:val="00C20F5C"/>
    <w:rsid w:val="00C9508D"/>
    <w:rsid w:val="00C97550"/>
    <w:rsid w:val="00CA5ADF"/>
    <w:rsid w:val="00D42360"/>
    <w:rsid w:val="00D72A1C"/>
    <w:rsid w:val="00DC508A"/>
    <w:rsid w:val="00DD507F"/>
    <w:rsid w:val="00DE19E5"/>
    <w:rsid w:val="00DF7EE4"/>
    <w:rsid w:val="00E01DE2"/>
    <w:rsid w:val="00E2652D"/>
    <w:rsid w:val="00E34A2B"/>
    <w:rsid w:val="00E43B59"/>
    <w:rsid w:val="00E94C07"/>
    <w:rsid w:val="00EA3915"/>
    <w:rsid w:val="00EC35D2"/>
    <w:rsid w:val="00EF18BB"/>
    <w:rsid w:val="00F34F2B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CA158-18E9-4D62-8368-F2F557C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50E9E-BFB3-4777-A5D5-990E5273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2143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/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Kovarikova Lucie</cp:lastModifiedBy>
  <cp:revision>7</cp:revision>
  <cp:lastPrinted>2016-08-17T06:25:00Z</cp:lastPrinted>
  <dcterms:created xsi:type="dcterms:W3CDTF">2016-02-19T13:25:00Z</dcterms:created>
  <dcterms:modified xsi:type="dcterms:W3CDTF">2016-08-17T07:11:00Z</dcterms:modified>
</cp:coreProperties>
</file>