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AA597" w14:textId="73F2947B" w:rsidR="005C0625" w:rsidRPr="000F61FE" w:rsidRDefault="003F690B" w:rsidP="000F61FE">
      <w:pPr>
        <w:pStyle w:val="Nadpis1"/>
        <w:numPr>
          <w:ilvl w:val="0"/>
          <w:numId w:val="0"/>
        </w:numPr>
        <w:ind w:left="432" w:hanging="432"/>
        <w:jc w:val="center"/>
        <w:rPr>
          <w:b/>
          <w:bCs/>
        </w:rPr>
      </w:pPr>
      <w:bookmarkStart w:id="0" w:name="_Toc513706822"/>
      <w:r>
        <w:rPr>
          <w:b/>
          <w:bCs/>
        </w:rPr>
        <w:t>Podrobný popis</w:t>
      </w:r>
      <w:r w:rsidR="005C0625" w:rsidRPr="000F61FE">
        <w:rPr>
          <w:b/>
          <w:bCs/>
        </w:rPr>
        <w:t xml:space="preserve"> </w:t>
      </w:r>
      <w:bookmarkEnd w:id="0"/>
      <w:r>
        <w:rPr>
          <w:b/>
          <w:bCs/>
        </w:rPr>
        <w:t>předmětu plnění</w:t>
      </w:r>
    </w:p>
    <w:p w14:paraId="701863D3" w14:textId="77777777" w:rsidR="000F61FE" w:rsidRPr="000F61FE" w:rsidRDefault="000F61FE" w:rsidP="000F61FE"/>
    <w:p w14:paraId="480F95F4" w14:textId="623EC6EB" w:rsidR="00534361" w:rsidRDefault="0010367B" w:rsidP="00534361">
      <w:pPr>
        <w:rPr>
          <w:rFonts w:cs="Calibri"/>
        </w:rPr>
      </w:pPr>
      <w:r w:rsidRPr="0010367B">
        <w:t>Předmětem veřejné zakázky je zhodnocení procesů plánování, řízení a využívání prioritní osy 5 – Technická pomoc Operačního programu Podnikání a inovace pro konkurenceschopnost (dále jen „OP PIK“). Bude ověřeno, zda technická pomoc (dále též „TP“) OP PIK zabezpečuje dostatečný servis pro implementační strukturu programu, zda připravované projekty technické pomoci jsou plánovány na vhodné časové období a s odpovídající finanční alokací, zda procesy přípravy a schvalování projektů technické pomoci jsou efektivní a transparentní apod. Zvláštní pozornost bude věnována zhodnocení dostatečnosti a adekvátnosti administrativních kapacit implementační struktury OP PIK. V případě zjištěných nedostatků bude navržena optimalizace relevantních procesů a pravidel. Mezi doporučené metody k této evaluaci patří desk research, dotazníkové šetření, polostrukturované rozhovory, fokusní skupina, případové studie či syntéza. Případné využití dalších metod bude vnímáno pozitivně při hodnocení.</w:t>
      </w:r>
    </w:p>
    <w:p w14:paraId="18F89479" w14:textId="77777777" w:rsidR="00535663" w:rsidRPr="00D9063D" w:rsidRDefault="00535663" w:rsidP="00535663">
      <w:pPr>
        <w:pStyle w:val="Nadpis1"/>
        <w:numPr>
          <w:ilvl w:val="0"/>
          <w:numId w:val="0"/>
        </w:numPr>
        <w:spacing w:before="0" w:after="90"/>
        <w:ind w:left="435" w:hanging="435"/>
        <w:rPr>
          <w:rFonts w:asciiTheme="minorHAnsi" w:hAnsiTheme="minorHAnsi" w:cstheme="minorHAnsi"/>
          <w:b/>
          <w:sz w:val="22"/>
          <w:szCs w:val="22"/>
        </w:rPr>
      </w:pPr>
      <w:r w:rsidRPr="00D9063D">
        <w:rPr>
          <w:rFonts w:asciiTheme="minorHAnsi" w:hAnsiTheme="minorHAnsi" w:cstheme="minorHAnsi"/>
          <w:b/>
          <w:sz w:val="22"/>
          <w:szCs w:val="22"/>
        </w:rPr>
        <w:t>I. etapa: Vstupní zpráva</w:t>
      </w:r>
    </w:p>
    <w:p w14:paraId="1364AFD7" w14:textId="77777777" w:rsidR="00534361" w:rsidRPr="006464B6" w:rsidRDefault="00534361" w:rsidP="00534361">
      <w:pPr>
        <w:rPr>
          <w:szCs w:val="22"/>
        </w:rPr>
      </w:pPr>
      <w:r w:rsidRPr="00ED4206">
        <w:rPr>
          <w:szCs w:val="22"/>
        </w:rPr>
        <w:t>Vstupní zpráva</w:t>
      </w:r>
      <w:r w:rsidRPr="009B1BD2">
        <w:rPr>
          <w:szCs w:val="22"/>
        </w:rPr>
        <w:t xml:space="preserve"> (dále</w:t>
      </w:r>
      <w:r>
        <w:rPr>
          <w:szCs w:val="22"/>
        </w:rPr>
        <w:t xml:space="preserve"> též</w:t>
      </w:r>
      <w:r w:rsidRPr="009B1BD2">
        <w:rPr>
          <w:szCs w:val="22"/>
        </w:rPr>
        <w:t xml:space="preserve"> „VZ“) bude obsahovat zejména </w:t>
      </w:r>
      <w:r>
        <w:rPr>
          <w:szCs w:val="22"/>
        </w:rPr>
        <w:t>metodiku</w:t>
      </w:r>
      <w:r w:rsidRPr="003204FA">
        <w:rPr>
          <w:szCs w:val="22"/>
        </w:rPr>
        <w:t xml:space="preserve"> realizace projektu</w:t>
      </w:r>
      <w:r>
        <w:rPr>
          <w:szCs w:val="22"/>
        </w:rPr>
        <w:t>, včetně postupů pro</w:t>
      </w:r>
      <w:r w:rsidRPr="002575D9">
        <w:rPr>
          <w:szCs w:val="22"/>
        </w:rPr>
        <w:t xml:space="preserve"> sběr dat</w:t>
      </w:r>
      <w:r>
        <w:rPr>
          <w:szCs w:val="22"/>
        </w:rPr>
        <w:t>, vypracování harmonogramu projektu, včetně</w:t>
      </w:r>
      <w:r w:rsidRPr="002575D9">
        <w:rPr>
          <w:szCs w:val="22"/>
        </w:rPr>
        <w:t xml:space="preserve"> stanovení </w:t>
      </w:r>
      <w:r>
        <w:rPr>
          <w:szCs w:val="22"/>
        </w:rPr>
        <w:t>termínů realizace</w:t>
      </w:r>
      <w:r w:rsidRPr="002575D9">
        <w:rPr>
          <w:szCs w:val="22"/>
        </w:rPr>
        <w:t xml:space="preserve"> </w:t>
      </w:r>
      <w:r w:rsidR="00680261">
        <w:rPr>
          <w:szCs w:val="22"/>
        </w:rPr>
        <w:t>terénních šetření</w:t>
      </w:r>
      <w:r>
        <w:rPr>
          <w:szCs w:val="22"/>
        </w:rPr>
        <w:t xml:space="preserve"> a </w:t>
      </w:r>
      <w:r w:rsidRPr="002575D9">
        <w:rPr>
          <w:szCs w:val="22"/>
        </w:rPr>
        <w:t>specifikace lhůt pro případnou součinnost ze strany zadavatele</w:t>
      </w:r>
      <w:r>
        <w:rPr>
          <w:szCs w:val="22"/>
        </w:rPr>
        <w:t>.</w:t>
      </w:r>
      <w:r w:rsidRPr="006464B6">
        <w:rPr>
          <w:szCs w:val="22"/>
        </w:rPr>
        <w:t xml:space="preserve"> VZ bude rovněž obsahovat kompletní přehled všech osob odpovědných za každou etapu realizace projektu.</w:t>
      </w:r>
    </w:p>
    <w:p w14:paraId="18BA8255" w14:textId="7FD0C8BF" w:rsidR="00534361" w:rsidRDefault="006464B6" w:rsidP="00534361">
      <w:r w:rsidRPr="006464B6">
        <w:rPr>
          <w:szCs w:val="22"/>
        </w:rPr>
        <w:t>VZ bude předána v českém jazyce, jeden výtisk v listinné podobě, a dále v (editovatelné) elektronické podobě na elektronickém nosiči dat typu flashdisk (případně CD/DVD).</w:t>
      </w:r>
      <w:r>
        <w:rPr>
          <w:szCs w:val="22"/>
        </w:rPr>
        <w:t xml:space="preserve"> VZ</w:t>
      </w:r>
      <w:r w:rsidR="00534361" w:rsidRPr="006464B6">
        <w:rPr>
          <w:szCs w:val="22"/>
        </w:rPr>
        <w:t xml:space="preserve"> prochází formálním schvalovacím procesem popsaným ve smlouvě o dílo (viz </w:t>
      </w:r>
      <w:r w:rsidR="00534361" w:rsidRPr="00060675">
        <w:rPr>
          <w:szCs w:val="22"/>
        </w:rPr>
        <w:t>Příloha č. 2 výzvy</w:t>
      </w:r>
      <w:r w:rsidR="00534361" w:rsidRPr="006464B6">
        <w:rPr>
          <w:szCs w:val="22"/>
        </w:rPr>
        <w:t xml:space="preserve">). Zadavatel předpokládá rozsah této zprávy </w:t>
      </w:r>
      <w:r w:rsidR="0010367B">
        <w:rPr>
          <w:szCs w:val="22"/>
        </w:rPr>
        <w:t>15</w:t>
      </w:r>
      <w:r w:rsidR="00534361" w:rsidRPr="006464B6">
        <w:rPr>
          <w:szCs w:val="22"/>
        </w:rPr>
        <w:t>–</w:t>
      </w:r>
      <w:r w:rsidR="0010367B">
        <w:rPr>
          <w:szCs w:val="22"/>
        </w:rPr>
        <w:t>3</w:t>
      </w:r>
      <w:r w:rsidR="00534361" w:rsidRPr="006464B6">
        <w:rPr>
          <w:szCs w:val="22"/>
        </w:rPr>
        <w:t xml:space="preserve">0 </w:t>
      </w:r>
      <w:r w:rsidR="00534361" w:rsidRPr="007447D0">
        <w:rPr>
          <w:szCs w:val="22"/>
        </w:rPr>
        <w:t>normostran</w:t>
      </w:r>
      <w:r w:rsidR="00534361" w:rsidRPr="007447D0">
        <w:rPr>
          <w:rStyle w:val="Znakapoznpodarou"/>
          <w:rFonts w:eastAsiaTheme="majorEastAsia"/>
          <w:szCs w:val="22"/>
        </w:rPr>
        <w:footnoteReference w:id="1"/>
      </w:r>
      <w:r w:rsidR="00534361" w:rsidRPr="007447D0">
        <w:rPr>
          <w:szCs w:val="22"/>
        </w:rPr>
        <w:t xml:space="preserve"> (jde o</w:t>
      </w:r>
      <w:r w:rsidR="00534361">
        <w:rPr>
          <w:szCs w:val="22"/>
        </w:rPr>
        <w:t xml:space="preserve"> doporučený rozsah, který může být dodavatelem odůvodněně upraven)</w:t>
      </w:r>
      <w:r w:rsidR="00534361" w:rsidRPr="00BB7134">
        <w:t>.</w:t>
      </w:r>
    </w:p>
    <w:p w14:paraId="4626A556" w14:textId="735E5618" w:rsidR="00534361" w:rsidRPr="00535663" w:rsidRDefault="00534361" w:rsidP="00535663">
      <w:pPr>
        <w:pStyle w:val="Nadpis1"/>
        <w:numPr>
          <w:ilvl w:val="0"/>
          <w:numId w:val="0"/>
        </w:numPr>
        <w:spacing w:before="0" w:after="90"/>
        <w:ind w:left="435" w:hanging="435"/>
        <w:rPr>
          <w:rFonts w:asciiTheme="minorHAnsi" w:hAnsiTheme="minorHAnsi" w:cstheme="minorHAnsi"/>
          <w:b/>
          <w:sz w:val="22"/>
          <w:szCs w:val="22"/>
        </w:rPr>
      </w:pPr>
      <w:r w:rsidRPr="00535663">
        <w:rPr>
          <w:rFonts w:asciiTheme="minorHAnsi" w:hAnsiTheme="minorHAnsi" w:cstheme="minorHAnsi"/>
          <w:b/>
          <w:sz w:val="22"/>
          <w:szCs w:val="22"/>
        </w:rPr>
        <w:t xml:space="preserve">II. etapa: </w:t>
      </w:r>
      <w:r w:rsidR="0010367B">
        <w:rPr>
          <w:rFonts w:asciiTheme="minorHAnsi" w:hAnsiTheme="minorHAnsi" w:cstheme="minorHAnsi"/>
          <w:b/>
          <w:sz w:val="22"/>
          <w:szCs w:val="22"/>
        </w:rPr>
        <w:t>Závěrečná</w:t>
      </w:r>
      <w:r w:rsidRPr="00535663">
        <w:rPr>
          <w:rFonts w:asciiTheme="minorHAnsi" w:hAnsiTheme="minorHAnsi" w:cstheme="minorHAnsi"/>
          <w:b/>
          <w:sz w:val="22"/>
          <w:szCs w:val="22"/>
        </w:rPr>
        <w:t xml:space="preserve"> zpráva</w:t>
      </w:r>
    </w:p>
    <w:p w14:paraId="3B7DA338" w14:textId="6C2EF304" w:rsidR="0010367B" w:rsidRDefault="0010367B" w:rsidP="0010367B">
      <w:r w:rsidRPr="001E0939">
        <w:rPr>
          <w:rFonts w:ascii="Calibri" w:hAnsi="Calibri"/>
          <w:szCs w:val="22"/>
        </w:rPr>
        <w:t>Závěrečná zpráva</w:t>
      </w:r>
      <w:r>
        <w:rPr>
          <w:rFonts w:ascii="Calibri" w:hAnsi="Calibri"/>
          <w:b/>
          <w:szCs w:val="22"/>
        </w:rPr>
        <w:t xml:space="preserve"> </w:t>
      </w:r>
      <w:r>
        <w:rPr>
          <w:rFonts w:ascii="Calibri" w:hAnsi="Calibri"/>
          <w:szCs w:val="22"/>
        </w:rPr>
        <w:t>(dále též „ZZ“) bude obsahovat</w:t>
      </w:r>
      <w:r w:rsidRPr="00BB7134">
        <w:rPr>
          <w:szCs w:val="22"/>
        </w:rPr>
        <w:t xml:space="preserve"> komplexní </w:t>
      </w:r>
      <w:r>
        <w:t>zhodnocení procesů plánování, řízení a využívání technické pomoci OP PIK. V prvním kroku dodavatel všechny tyto procesy zmapuje a u každého uvede, z jakého metodického dokumentu nutnost provedení předmětného procesu vyplývá. Rovněž bude zjištěno, zda skutečná realizace procesů odpovídá postupům uvedeným v metodických dokumentech.</w:t>
      </w:r>
    </w:p>
    <w:p w14:paraId="5DEB5F4D" w14:textId="77777777" w:rsidR="0010367B" w:rsidRPr="005D6F6F" w:rsidRDefault="0010367B" w:rsidP="0010367B">
      <w:pPr>
        <w:rPr>
          <w:rFonts w:cs="Calibri"/>
        </w:rPr>
      </w:pPr>
      <w:r>
        <w:rPr>
          <w:rFonts w:cs="Calibri"/>
        </w:rPr>
        <w:t xml:space="preserve">Následně dodavatel zodpoví níže uvedené evaluační otázky a na základě nich navrhne </w:t>
      </w:r>
      <w:r>
        <w:t xml:space="preserve">konkrétní </w:t>
      </w:r>
      <w:r w:rsidRPr="00C2557D">
        <w:t>optimalizační opatření</w:t>
      </w:r>
      <w:r>
        <w:rPr>
          <w:rStyle w:val="Znakapoznpodarou"/>
          <w:rFonts w:eastAsiaTheme="majorEastAsia"/>
        </w:rPr>
        <w:footnoteReference w:id="2"/>
      </w:r>
      <w:r>
        <w:t xml:space="preserve"> v podobě evaluačních doporučení</w:t>
      </w:r>
      <w:r w:rsidRPr="005D6F6F">
        <w:t xml:space="preserve">. </w:t>
      </w:r>
      <w:r w:rsidRPr="005D6F6F">
        <w:rPr>
          <w:szCs w:val="22"/>
        </w:rPr>
        <w:t>U každého optimalizačního opatření (evaluačního doporučení) bude uvedeno:</w:t>
      </w:r>
    </w:p>
    <w:p w14:paraId="29B40383" w14:textId="77777777" w:rsidR="0010367B" w:rsidRPr="005D6F6F" w:rsidRDefault="0010367B" w:rsidP="0010367B">
      <w:pPr>
        <w:pStyle w:val="Odstavecseseznamem"/>
        <w:numPr>
          <w:ilvl w:val="0"/>
          <w:numId w:val="24"/>
        </w:numPr>
      </w:pPr>
      <w:r w:rsidRPr="005D6F6F">
        <w:t>Jaká je časová a personální náročnost zavedení/úpravy příslušných pravidel/procesů?</w:t>
      </w:r>
    </w:p>
    <w:p w14:paraId="79F779B3" w14:textId="77777777" w:rsidR="0010367B" w:rsidRPr="005D6F6F" w:rsidRDefault="0010367B" w:rsidP="0010367B">
      <w:pPr>
        <w:pStyle w:val="Odstavecseseznamem"/>
        <w:numPr>
          <w:ilvl w:val="0"/>
          <w:numId w:val="24"/>
        </w:numPr>
      </w:pPr>
      <w:r w:rsidRPr="005D6F6F">
        <w:lastRenderedPageBreak/>
        <w:t xml:space="preserve">Jaké jsou očekávané výsledky </w:t>
      </w:r>
      <w:r w:rsidRPr="005D6F6F">
        <w:rPr>
          <w:szCs w:val="22"/>
        </w:rPr>
        <w:t xml:space="preserve">optimalizačního opatření </w:t>
      </w:r>
      <w:r w:rsidRPr="005D6F6F">
        <w:t>a kdy lze očekávat, že se tyto výsledky projeví v praxi?</w:t>
      </w:r>
    </w:p>
    <w:p w14:paraId="2604C250" w14:textId="77777777" w:rsidR="0010367B" w:rsidRPr="005D6F6F" w:rsidRDefault="0010367B" w:rsidP="0010367B">
      <w:pPr>
        <w:pStyle w:val="Odstavecseseznamem"/>
        <w:numPr>
          <w:ilvl w:val="0"/>
          <w:numId w:val="24"/>
        </w:numPr>
      </w:pPr>
      <w:r w:rsidRPr="005D6F6F">
        <w:t>Jaká mohou z optimalizačního opatření plynout rizika. Jaká rizika hrozí v případě, že pravidla nebo procesy nebudou zavedeny/upraveny?</w:t>
      </w:r>
    </w:p>
    <w:p w14:paraId="1F9F3B53" w14:textId="77777777" w:rsidR="0010367B" w:rsidRDefault="0010367B" w:rsidP="0010367B">
      <w:pPr>
        <w:rPr>
          <w:rFonts w:cs="Calibri"/>
        </w:rPr>
      </w:pPr>
      <w:r w:rsidRPr="005D6F6F">
        <w:rPr>
          <w:rFonts w:cs="Calibri"/>
        </w:rPr>
        <w:t>Optimalizace bude navržena s ohledem na možnosti MPO a tak, aby byla všechna navržená optimalizační opatření v souladu se všemi normami závaznými pro ŘO OP PIK. V relevantních případech dodavatel rovněž ověří, zda je jím navržené optimalizační opatření technicky proveditelné v rámci monitorovacího systému MS2014+ bez nutnosti zadávání rozvojových požadavků.</w:t>
      </w:r>
    </w:p>
    <w:p w14:paraId="3AB3A4D6" w14:textId="77777777" w:rsidR="0010367B" w:rsidRDefault="0010367B" w:rsidP="0010367B">
      <w:pPr>
        <w:rPr>
          <w:rFonts w:ascii="Calibri" w:hAnsi="Calibri"/>
          <w:szCs w:val="22"/>
        </w:rPr>
      </w:pPr>
      <w:r w:rsidRPr="005D6F6F">
        <w:rPr>
          <w:rFonts w:cs="Calibri"/>
        </w:rPr>
        <w:t>P</w:t>
      </w:r>
      <w:r w:rsidRPr="005D6F6F">
        <w:rPr>
          <w:rFonts w:ascii="Calibri" w:hAnsi="Calibri"/>
          <w:szCs w:val="22"/>
        </w:rPr>
        <w:t xml:space="preserve">ro </w:t>
      </w:r>
      <w:r>
        <w:rPr>
          <w:rFonts w:ascii="Calibri" w:hAnsi="Calibri"/>
          <w:szCs w:val="22"/>
        </w:rPr>
        <w:t xml:space="preserve">účely optimalizace dodavatel </w:t>
      </w:r>
      <w:r w:rsidRPr="00D00CF7">
        <w:rPr>
          <w:rFonts w:ascii="Calibri" w:hAnsi="Calibri"/>
          <w:szCs w:val="22"/>
        </w:rPr>
        <w:t xml:space="preserve">zanalyzuje </w:t>
      </w:r>
      <w:r>
        <w:rPr>
          <w:rFonts w:ascii="Calibri" w:hAnsi="Calibri"/>
          <w:szCs w:val="22"/>
        </w:rPr>
        <w:t>níže uvedené</w:t>
      </w:r>
      <w:r w:rsidRPr="00D00CF7">
        <w:rPr>
          <w:rFonts w:ascii="Calibri" w:hAnsi="Calibri"/>
          <w:szCs w:val="22"/>
        </w:rPr>
        <w:t xml:space="preserve"> </w:t>
      </w:r>
      <w:r w:rsidRPr="005D6F6F">
        <w:rPr>
          <w:rFonts w:ascii="Calibri" w:hAnsi="Calibri"/>
          <w:b/>
          <w:szCs w:val="22"/>
        </w:rPr>
        <w:t>evaluační otázky</w:t>
      </w:r>
      <w:r>
        <w:rPr>
          <w:rFonts w:ascii="Calibri" w:hAnsi="Calibri"/>
          <w:szCs w:val="22"/>
        </w:rPr>
        <w:t>:</w:t>
      </w:r>
    </w:p>
    <w:p w14:paraId="18C77CBD" w14:textId="77777777" w:rsidR="0010367B" w:rsidRDefault="0010367B" w:rsidP="0010367B">
      <w:pPr>
        <w:pStyle w:val="Odstavecseseznamem"/>
        <w:numPr>
          <w:ilvl w:val="1"/>
          <w:numId w:val="36"/>
        </w:numPr>
        <w:ind w:left="426" w:hanging="426"/>
      </w:pPr>
      <w:r>
        <w:t xml:space="preserve">Je metodické prostředí ŘO OP PIK v oblasti TP </w:t>
      </w:r>
      <w:r w:rsidRPr="00C9388E">
        <w:t xml:space="preserve">trvalé, přehledné a </w:t>
      </w:r>
      <w:r>
        <w:t>uživatelsky přívětivé?</w:t>
      </w:r>
    </w:p>
    <w:p w14:paraId="38090DB7" w14:textId="77777777" w:rsidR="0010367B" w:rsidRDefault="0010367B" w:rsidP="0010367B">
      <w:pPr>
        <w:pStyle w:val="Odstavecseseznamem"/>
        <w:numPr>
          <w:ilvl w:val="1"/>
          <w:numId w:val="36"/>
        </w:numPr>
        <w:ind w:left="426" w:hanging="426"/>
      </w:pPr>
      <w:r>
        <w:t>Odpovídá nastavení TP potřebám Řídicího orgánu OP PIK? Nedochází v praxi k častým odchylkám od metodik</w:t>
      </w:r>
      <w:r w:rsidRPr="00C9388E">
        <w:t>, různým výkladům a z toho plynoucím pochybením</w:t>
      </w:r>
      <w:r>
        <w:t>?</w:t>
      </w:r>
    </w:p>
    <w:p w14:paraId="4E600204" w14:textId="77777777" w:rsidR="0010367B" w:rsidRDefault="0010367B" w:rsidP="0010367B">
      <w:pPr>
        <w:pStyle w:val="Odstavecseseznamem"/>
        <w:numPr>
          <w:ilvl w:val="1"/>
          <w:numId w:val="36"/>
        </w:numPr>
        <w:ind w:left="426" w:hanging="426"/>
      </w:pPr>
      <w:r>
        <w:t>Jsou v metodickém prostředí OP PIK v oblasti TP uplatňovány procesy či jejich části, které lze označit jako nadbytečné?</w:t>
      </w:r>
      <w:r>
        <w:rPr>
          <w:rStyle w:val="Znakapoznpodarou"/>
          <w:rFonts w:cs="Calibri"/>
        </w:rPr>
        <w:footnoteReference w:id="3"/>
      </w:r>
      <w:r>
        <w:t xml:space="preserve"> Z čeho vyplývá potřeba provádění nadbytečných procesů? Přetrvává tato potřeba? Jaký dopad na implementaci OP PIK by mělo zrušení každého nadbytečného procesu?</w:t>
      </w:r>
    </w:p>
    <w:p w14:paraId="543A39CE" w14:textId="77777777" w:rsidR="0010367B" w:rsidRDefault="0010367B" w:rsidP="0010367B">
      <w:pPr>
        <w:pStyle w:val="Odstavecseseznamem"/>
        <w:numPr>
          <w:ilvl w:val="1"/>
          <w:numId w:val="36"/>
        </w:numPr>
        <w:ind w:left="426" w:hanging="426"/>
      </w:pPr>
      <w:r w:rsidRPr="00EE2AE5">
        <w:t xml:space="preserve">Neobsahuje metodické prostředí OP PIK </w:t>
      </w:r>
      <w:r>
        <w:t>v oblasti TP</w:t>
      </w:r>
      <w:r w:rsidRPr="00EE2AE5">
        <w:t xml:space="preserve"> tzv. hluchá místa, tedy situaci, kdy platná metodika danou problematiku vůbec neupravuje?</w:t>
      </w:r>
    </w:p>
    <w:p w14:paraId="58C87252" w14:textId="77777777" w:rsidR="0010367B" w:rsidRDefault="0010367B" w:rsidP="0010367B">
      <w:pPr>
        <w:pStyle w:val="Odstavecseseznamem"/>
        <w:numPr>
          <w:ilvl w:val="1"/>
          <w:numId w:val="36"/>
        </w:numPr>
        <w:ind w:left="426" w:hanging="426"/>
      </w:pPr>
      <w:r>
        <w:t>Byla vhodně nastavena výše alokace na TP? Je potřebné/vhodné tuto alokaci nějak upravit?</w:t>
      </w:r>
    </w:p>
    <w:p w14:paraId="1CD68F81" w14:textId="77777777" w:rsidR="0010367B" w:rsidRDefault="0010367B" w:rsidP="0010367B">
      <w:pPr>
        <w:pStyle w:val="Odstavecseseznamem"/>
        <w:numPr>
          <w:ilvl w:val="1"/>
          <w:numId w:val="36"/>
        </w:numPr>
        <w:ind w:left="426" w:hanging="426"/>
      </w:pPr>
      <w:r w:rsidRPr="00CE5290">
        <w:t>Je pravidelně vyhodnocováno čerpání TP?</w:t>
      </w:r>
      <w:r>
        <w:t xml:space="preserve"> </w:t>
      </w:r>
      <w:r w:rsidRPr="00CE5290">
        <w:t>Odpovídají odhady výdajů skutečnosti?</w:t>
      </w:r>
    </w:p>
    <w:p w14:paraId="6E4C07ED" w14:textId="77777777" w:rsidR="0010367B" w:rsidRDefault="0010367B" w:rsidP="0010367B">
      <w:pPr>
        <w:pStyle w:val="Odstavecseseznamem"/>
        <w:numPr>
          <w:ilvl w:val="1"/>
          <w:numId w:val="36"/>
        </w:numPr>
        <w:ind w:left="426" w:hanging="426"/>
      </w:pPr>
      <w:r w:rsidRPr="00980E44">
        <w:t>Jsou stanoveny kvantifikovatelné cíle TP, které by umožňovaly řídit efektivitu aktivit TP?</w:t>
      </w:r>
      <w:r>
        <w:t xml:space="preserve"> </w:t>
      </w:r>
      <w:r w:rsidRPr="00856300">
        <w:t>Jsou hodnoceny přínosy schvalovaných projektů vzhledem k cílům TP?</w:t>
      </w:r>
      <w:r>
        <w:t xml:space="preserve"> </w:t>
      </w:r>
      <w:r w:rsidRPr="00E14CAD">
        <w:t>Je prováděna reflexe realizovaných činností TP jako podklad pro další činnost (sestavování rozpočtu apod.)</w:t>
      </w:r>
      <w:r>
        <w:t>?</w:t>
      </w:r>
    </w:p>
    <w:p w14:paraId="75D8F48C" w14:textId="77777777" w:rsidR="0010367B" w:rsidRDefault="0010367B" w:rsidP="0010367B">
      <w:pPr>
        <w:pStyle w:val="Odstavecseseznamem"/>
        <w:numPr>
          <w:ilvl w:val="1"/>
          <w:numId w:val="36"/>
        </w:numPr>
        <w:ind w:left="426" w:hanging="426"/>
      </w:pPr>
      <w:r>
        <w:t xml:space="preserve">Je sledování přínosů TP prostřednictvím indikátorové soustavy vhodným způsobem měření dosahovaných výsledků? Byly vhodně zvoleny indikátory technické pomoci pro účely monitorování? Pokrývají zvolené indikátory všechny aktivity TP? Byly vhodně nastaveny cílové hodnoty indikátorů, resp. výchozí hodnoty u výsledkových indikátorů? Budou-li odpovědi na evaluační otázku negativní, navrhne dodavatel alternativní způsob měření dosahovaných výsledků, resp. úpravu cílových hodnot indikátorů. </w:t>
      </w:r>
    </w:p>
    <w:p w14:paraId="1F2A9CF7" w14:textId="77777777" w:rsidR="0010367B" w:rsidRDefault="0010367B" w:rsidP="0010367B">
      <w:pPr>
        <w:pStyle w:val="Odstavecseseznamem"/>
        <w:numPr>
          <w:ilvl w:val="1"/>
          <w:numId w:val="36"/>
        </w:numPr>
        <w:ind w:left="426" w:hanging="426"/>
      </w:pPr>
      <w:r>
        <w:t>Byla výše finančních limitů pro projekty TP nastavena adekvátně? Proběhlo hodnocení a výběr projektů transparentním způsobem?</w:t>
      </w:r>
    </w:p>
    <w:p w14:paraId="40D47E2E" w14:textId="77777777" w:rsidR="0010367B" w:rsidRDefault="0010367B" w:rsidP="0010367B">
      <w:pPr>
        <w:pStyle w:val="Odstavecseseznamem"/>
        <w:numPr>
          <w:ilvl w:val="1"/>
          <w:numId w:val="36"/>
        </w:numPr>
        <w:ind w:left="426" w:hanging="426"/>
      </w:pPr>
      <w:r>
        <w:t>Jsou v rámci projektů realizována relevantní dílčí plnění odpovídající nastaveným cílům a aktivitám?</w:t>
      </w:r>
      <w:r w:rsidRPr="00F608AE">
        <w:t xml:space="preserve"> </w:t>
      </w:r>
      <w:r>
        <w:t>Je administrace projektů nastavena efektivním způsobem?</w:t>
      </w:r>
    </w:p>
    <w:p w14:paraId="32F98B5F" w14:textId="77777777" w:rsidR="0010367B" w:rsidRPr="00CA7004" w:rsidRDefault="0010367B" w:rsidP="0010367B">
      <w:pPr>
        <w:pStyle w:val="Odstavecseseznamem"/>
        <w:numPr>
          <w:ilvl w:val="1"/>
          <w:numId w:val="36"/>
        </w:numPr>
        <w:ind w:left="426" w:hanging="426"/>
      </w:pPr>
      <w:r w:rsidRPr="00CA7004">
        <w:t>J</w:t>
      </w:r>
      <w:r>
        <w:t xml:space="preserve">e dokumentace k </w:t>
      </w:r>
      <w:r w:rsidRPr="00CA7004">
        <w:t>projekt</w:t>
      </w:r>
      <w:r>
        <w:t>ům</w:t>
      </w:r>
      <w:r w:rsidRPr="00CA7004">
        <w:t xml:space="preserve"> TP řádně archivován</w:t>
      </w:r>
      <w:r>
        <w:t>a</w:t>
      </w:r>
      <w:r w:rsidRPr="00CA7004">
        <w:t>?</w:t>
      </w:r>
    </w:p>
    <w:p w14:paraId="2A647B21" w14:textId="77777777" w:rsidR="0010367B" w:rsidRDefault="0010367B" w:rsidP="0010367B">
      <w:pPr>
        <w:pStyle w:val="Odstavecseseznamem"/>
        <w:numPr>
          <w:ilvl w:val="1"/>
          <w:numId w:val="36"/>
        </w:numPr>
        <w:ind w:left="426" w:hanging="426"/>
      </w:pPr>
      <w:r w:rsidRPr="0006798F">
        <w:t xml:space="preserve">Jsou Pravidla pro výběr dodavatelů </w:t>
      </w:r>
      <w:r>
        <w:t xml:space="preserve">pro projekty realizované v rámci TP </w:t>
      </w:r>
      <w:r w:rsidRPr="0006798F">
        <w:t>nastavena</w:t>
      </w:r>
      <w:r>
        <w:t xml:space="preserve"> efektivně? </w:t>
      </w:r>
      <w:r w:rsidRPr="00607F9D">
        <w:t>Je zajištěno proškolení a vzdělávání pracovníků zapojených do přípravy a realizace výběrových řízení spadajících pod TP?</w:t>
      </w:r>
    </w:p>
    <w:p w14:paraId="6BD45CA1" w14:textId="77777777" w:rsidR="0010367B" w:rsidRDefault="0010367B" w:rsidP="0010367B">
      <w:pPr>
        <w:pStyle w:val="Odstavecseseznamem"/>
        <w:numPr>
          <w:ilvl w:val="1"/>
          <w:numId w:val="36"/>
        </w:numPr>
        <w:ind w:left="426" w:hanging="426"/>
      </w:pPr>
      <w:r>
        <w:lastRenderedPageBreak/>
        <w:t>Je velikost a struktura administrativní kapacity ŘO a ZS OP PIK optimální?</w:t>
      </w:r>
      <w:r>
        <w:rPr>
          <w:rStyle w:val="Znakapoznpodarou"/>
        </w:rPr>
        <w:footnoteReference w:id="4"/>
      </w:r>
    </w:p>
    <w:p w14:paraId="4CF27CCE" w14:textId="77777777" w:rsidR="0010367B" w:rsidRDefault="0010367B" w:rsidP="0010367B">
      <w:pPr>
        <w:pStyle w:val="Odstavecseseznamem"/>
        <w:numPr>
          <w:ilvl w:val="1"/>
          <w:numId w:val="36"/>
        </w:numPr>
        <w:ind w:left="426" w:hanging="426"/>
      </w:pPr>
      <w:r>
        <w:t>Jaký je vývoj míry fluktuace zaměstnanců a jaké jsou její nejčastější příčiny? Jsou zaměstnanci dostatečně motivováni za účelem snížení fluktuace?</w:t>
      </w:r>
    </w:p>
    <w:p w14:paraId="0DAACF78" w14:textId="77777777" w:rsidR="0010367B" w:rsidRDefault="0010367B" w:rsidP="0010367B">
      <w:pPr>
        <w:pStyle w:val="Odstavecseseznamem"/>
        <w:numPr>
          <w:ilvl w:val="1"/>
          <w:numId w:val="36"/>
        </w:numPr>
        <w:ind w:left="426" w:hanging="426"/>
      </w:pPr>
      <w:r>
        <w:t>Jsou zajištěny odpovídající vzdělávací akce pro zaměstnance? Dodavatel zhodnotí, zda jsou zaměstnanci řádně proškoleni a zda jsou spokojeni s nabídkou a přínosem vzdělávacích akcí.</w:t>
      </w:r>
    </w:p>
    <w:p w14:paraId="6CE5DFE5" w14:textId="77777777" w:rsidR="0010367B" w:rsidRDefault="0010367B" w:rsidP="0010367B">
      <w:pPr>
        <w:pStyle w:val="Odstavecseseznamem"/>
        <w:numPr>
          <w:ilvl w:val="1"/>
          <w:numId w:val="36"/>
        </w:numPr>
        <w:ind w:left="426" w:hanging="426"/>
      </w:pPr>
      <w:r w:rsidRPr="00607F9D">
        <w:t xml:space="preserve">Je systém </w:t>
      </w:r>
      <w:r>
        <w:t xml:space="preserve">tvorby a </w:t>
      </w:r>
      <w:r w:rsidRPr="00607F9D">
        <w:t>vyhodnocování publicitních opatření nastaven efektivně?</w:t>
      </w:r>
      <w:r>
        <w:t xml:space="preserve"> Bude-li odpověď na evaluační otázku negativní, navrhne dodavatel způsob vyhodnocování publicitních opatření.</w:t>
      </w:r>
    </w:p>
    <w:p w14:paraId="49CB41F6" w14:textId="77777777" w:rsidR="0010367B" w:rsidRDefault="0010367B" w:rsidP="0010367B">
      <w:pPr>
        <w:rPr>
          <w:szCs w:val="22"/>
        </w:rPr>
      </w:pPr>
      <w:r w:rsidRPr="006464B6">
        <w:rPr>
          <w:szCs w:val="22"/>
        </w:rPr>
        <w:t xml:space="preserve">ZZ bude předána v českém jazyce, jeden výtisk v listinné podobě, a dále v (editovatelné) elektronické podobě na elektronickém nosiči dat typu flashdisk (případně CD/DVD). Zadavatel očekává ZZ v celkovém rozsahu </w:t>
      </w:r>
      <w:r>
        <w:rPr>
          <w:szCs w:val="22"/>
        </w:rPr>
        <w:t>40–80</w:t>
      </w:r>
      <w:r w:rsidRPr="006464B6">
        <w:rPr>
          <w:szCs w:val="22"/>
        </w:rPr>
        <w:t xml:space="preserve"> normostran (jde o doporučený rozsah, který může být dodavatelem odůvodněně upraven). </w:t>
      </w:r>
      <w:r>
        <w:rPr>
          <w:szCs w:val="22"/>
        </w:rPr>
        <w:t>Společně se ZZ bude předloženo manažerské shrnutí ZZ, v</w:t>
      </w:r>
      <w:r w:rsidRPr="006464B6">
        <w:rPr>
          <w:szCs w:val="22"/>
        </w:rPr>
        <w:t xml:space="preserve"> rámci </w:t>
      </w:r>
      <w:r>
        <w:rPr>
          <w:szCs w:val="22"/>
        </w:rPr>
        <w:t>něhož dodavatel</w:t>
      </w:r>
      <w:r w:rsidRPr="006464B6">
        <w:rPr>
          <w:szCs w:val="22"/>
        </w:rPr>
        <w:t xml:space="preserve"> provede syntézu jednotlivých zjištění.</w:t>
      </w:r>
      <w:r>
        <w:rPr>
          <w:szCs w:val="22"/>
        </w:rPr>
        <w:t xml:space="preserve"> M</w:t>
      </w:r>
      <w:r w:rsidRPr="006464B6">
        <w:rPr>
          <w:szCs w:val="22"/>
        </w:rPr>
        <w:t>anažerské shrnutí o předpokládaném rozsahu max. 5 normostran bude předán</w:t>
      </w:r>
      <w:r>
        <w:rPr>
          <w:szCs w:val="22"/>
        </w:rPr>
        <w:t>o</w:t>
      </w:r>
      <w:r w:rsidRPr="006464B6">
        <w:rPr>
          <w:szCs w:val="22"/>
        </w:rPr>
        <w:t xml:space="preserve"> v českém a anglickém jazyce, </w:t>
      </w:r>
      <w:r>
        <w:rPr>
          <w:szCs w:val="22"/>
        </w:rPr>
        <w:t>jeden výtisk za každou jazykovou verzi.</w:t>
      </w:r>
    </w:p>
    <w:p w14:paraId="2689F140" w14:textId="15AE5841" w:rsidR="00ED6977" w:rsidRDefault="0010367B" w:rsidP="0010367B">
      <w:pPr>
        <w:rPr>
          <w:szCs w:val="22"/>
        </w:rPr>
      </w:pPr>
      <w:r w:rsidRPr="00060675">
        <w:rPr>
          <w:szCs w:val="22"/>
        </w:rPr>
        <w:t>ZZ projde formálním schvalovacím procesem popsaným ve smlouvě o dílo (viz Příloha č. 2 výzvy).</w:t>
      </w:r>
      <w:r w:rsidRPr="006464B6">
        <w:rPr>
          <w:szCs w:val="22"/>
        </w:rPr>
        <w:t xml:space="preserve"> Schvalovací proces uzavírá zadavatel. K jeho uzavření dojde po předání nashromážděných materiálů</w:t>
      </w:r>
      <w:r>
        <w:rPr>
          <w:rStyle w:val="Znakapoznpodarou"/>
          <w:szCs w:val="22"/>
        </w:rPr>
        <w:footnoteReference w:id="5"/>
      </w:r>
      <w:r w:rsidRPr="006464B6">
        <w:rPr>
          <w:szCs w:val="22"/>
        </w:rPr>
        <w:t>, finální verze zprávy a po zapracování připomínek v požadované kvalitě. Předání bude zaznamenáno písemným akceptačním protokolem.</w:t>
      </w:r>
    </w:p>
    <w:p w14:paraId="14F8F45A" w14:textId="77777777" w:rsidR="00F83443" w:rsidRPr="00656A1B" w:rsidRDefault="00F83443" w:rsidP="00F83443">
      <w:pPr>
        <w:rPr>
          <w:rFonts w:ascii="Calibri" w:hAnsi="Calibri"/>
          <w:b/>
          <w:szCs w:val="22"/>
        </w:rPr>
      </w:pPr>
      <w:r w:rsidRPr="00656A1B">
        <w:rPr>
          <w:rFonts w:ascii="Calibri" w:hAnsi="Calibri"/>
          <w:b/>
          <w:szCs w:val="22"/>
        </w:rPr>
        <w:t>Další plnění</w:t>
      </w:r>
    </w:p>
    <w:p w14:paraId="2DC2DAD7" w14:textId="0AF44637" w:rsidR="00F83443" w:rsidRPr="00B63561" w:rsidRDefault="0004492D" w:rsidP="00F83443">
      <w:pPr>
        <w:rPr>
          <w:szCs w:val="22"/>
        </w:rPr>
      </w:pPr>
      <w:r>
        <w:rPr>
          <w:szCs w:val="22"/>
        </w:rPr>
        <w:t>Součástí plnění bude</w:t>
      </w:r>
      <w:r w:rsidRPr="006464B6">
        <w:rPr>
          <w:szCs w:val="22"/>
        </w:rPr>
        <w:t xml:space="preserve"> </w:t>
      </w:r>
      <w:r w:rsidRPr="00B63561">
        <w:rPr>
          <w:b/>
          <w:szCs w:val="22"/>
        </w:rPr>
        <w:t xml:space="preserve">Přehled zjištění </w:t>
      </w:r>
      <w:r>
        <w:rPr>
          <w:szCs w:val="22"/>
        </w:rPr>
        <w:t>na úrovni každé etapy (</w:t>
      </w:r>
      <w:r w:rsidRPr="006464B6">
        <w:rPr>
          <w:szCs w:val="22"/>
        </w:rPr>
        <w:t>ve formátu .xls nebo .xlsx</w:t>
      </w:r>
      <w:r>
        <w:rPr>
          <w:szCs w:val="22"/>
        </w:rPr>
        <w:t>). Tabulka bude obsahova</w:t>
      </w:r>
      <w:r w:rsidRPr="00B63561">
        <w:rPr>
          <w:szCs w:val="22"/>
        </w:rPr>
        <w:t xml:space="preserve">t </w:t>
      </w:r>
      <w:r>
        <w:rPr>
          <w:szCs w:val="22"/>
        </w:rPr>
        <w:t>p</w:t>
      </w:r>
      <w:r w:rsidRPr="00B63561">
        <w:rPr>
          <w:szCs w:val="22"/>
        </w:rPr>
        <w:t xml:space="preserve">opis předmětu etapy, </w:t>
      </w:r>
      <w:r>
        <w:rPr>
          <w:szCs w:val="22"/>
        </w:rPr>
        <w:t>h</w:t>
      </w:r>
      <w:r w:rsidRPr="00B63561">
        <w:rPr>
          <w:szCs w:val="22"/>
        </w:rPr>
        <w:t>lavní zjištění a výsledky dané etapy a v</w:t>
      </w:r>
      <w:r>
        <w:rPr>
          <w:szCs w:val="22"/>
        </w:rPr>
        <w:t> případě II. etapy</w:t>
      </w:r>
      <w:r w:rsidRPr="00B63561">
        <w:rPr>
          <w:szCs w:val="22"/>
        </w:rPr>
        <w:t xml:space="preserve"> </w:t>
      </w:r>
      <w:r>
        <w:rPr>
          <w:szCs w:val="22"/>
        </w:rPr>
        <w:t xml:space="preserve">také </w:t>
      </w:r>
      <w:r w:rsidRPr="00B63561">
        <w:rPr>
          <w:szCs w:val="22"/>
        </w:rPr>
        <w:t xml:space="preserve">závěry a </w:t>
      </w:r>
      <w:r>
        <w:rPr>
          <w:szCs w:val="22"/>
        </w:rPr>
        <w:t>e</w:t>
      </w:r>
      <w:r w:rsidRPr="00B63561">
        <w:rPr>
          <w:szCs w:val="22"/>
        </w:rPr>
        <w:t>valuační doporučení.</w:t>
      </w:r>
    </w:p>
    <w:tbl>
      <w:tblPr>
        <w:tblW w:w="5000" w:type="pct"/>
        <w:tblCellMar>
          <w:left w:w="0" w:type="dxa"/>
          <w:right w:w="0" w:type="dxa"/>
        </w:tblCellMar>
        <w:tblLook w:val="04A0" w:firstRow="1" w:lastRow="0" w:firstColumn="1" w:lastColumn="0" w:noHBand="0" w:noVBand="1"/>
      </w:tblPr>
      <w:tblGrid>
        <w:gridCol w:w="2710"/>
        <w:gridCol w:w="1701"/>
        <w:gridCol w:w="4706"/>
      </w:tblGrid>
      <w:tr w:rsidR="00E15769" w:rsidRPr="00E83942" w14:paraId="19C06FB1" w14:textId="77777777" w:rsidTr="009F2A1D">
        <w:trPr>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15" w:type="dxa"/>
              <w:left w:w="15" w:type="dxa"/>
              <w:bottom w:w="30" w:type="dxa"/>
              <w:right w:w="30" w:type="dxa"/>
            </w:tcMar>
            <w:vAlign w:val="center"/>
          </w:tcPr>
          <w:p w14:paraId="27524226" w14:textId="77777777" w:rsidR="00E15769" w:rsidRPr="00E15769" w:rsidRDefault="00E15769" w:rsidP="00EB1579">
            <w:pPr>
              <w:spacing w:before="30" w:after="0" w:line="240" w:lineRule="auto"/>
              <w:jc w:val="center"/>
              <w:rPr>
                <w:rFonts w:ascii="Arial" w:eastAsia="Arial" w:hAnsi="Arial" w:cs="Arial"/>
                <w:b/>
                <w:bCs/>
                <w:i/>
                <w:sz w:val="20"/>
              </w:rPr>
            </w:pPr>
            <w:r w:rsidRPr="00E15769">
              <w:rPr>
                <w:rFonts w:ascii="Arial" w:eastAsia="Arial" w:hAnsi="Arial" w:cs="Arial"/>
                <w:b/>
                <w:bCs/>
                <w:i/>
                <w:sz w:val="20"/>
              </w:rPr>
              <w:t>Číslo a název etapy</w:t>
            </w:r>
          </w:p>
        </w:tc>
      </w:tr>
      <w:tr w:rsidR="00E15769" w:rsidRPr="00E83942" w14:paraId="5BFFF469" w14:textId="77777777" w:rsidTr="00E15769">
        <w:trPr>
          <w:tblHeader/>
        </w:trPr>
        <w:tc>
          <w:tcPr>
            <w:tcW w:w="1486"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15" w:type="dxa"/>
              <w:left w:w="15" w:type="dxa"/>
              <w:bottom w:w="30" w:type="dxa"/>
              <w:right w:w="30" w:type="dxa"/>
            </w:tcMar>
            <w:vAlign w:val="center"/>
          </w:tcPr>
          <w:p w14:paraId="0689A282" w14:textId="50014DB5" w:rsidR="00E15769" w:rsidRPr="00E15769" w:rsidRDefault="00E15769" w:rsidP="00E15769">
            <w:pPr>
              <w:spacing w:after="0" w:line="240" w:lineRule="auto"/>
              <w:jc w:val="left"/>
              <w:rPr>
                <w:rFonts w:ascii="Arial" w:eastAsia="Arial" w:hAnsi="Arial" w:cs="Arial"/>
                <w:b/>
                <w:bCs/>
                <w:color w:val="000000"/>
                <w:sz w:val="20"/>
              </w:rPr>
            </w:pPr>
            <w:r w:rsidRPr="00E15769">
              <w:rPr>
                <w:rFonts w:ascii="Arial" w:eastAsia="Arial" w:hAnsi="Arial" w:cs="Arial"/>
                <w:b/>
                <w:color w:val="000000"/>
                <w:sz w:val="20"/>
              </w:rPr>
              <w:t>P</w:t>
            </w:r>
            <w:r w:rsidR="00B63561">
              <w:rPr>
                <w:rFonts w:ascii="Arial" w:eastAsia="Arial" w:hAnsi="Arial" w:cs="Arial"/>
                <w:b/>
                <w:color w:val="000000"/>
                <w:sz w:val="20"/>
              </w:rPr>
              <w:t>opis p</w:t>
            </w:r>
            <w:r w:rsidRPr="00E15769">
              <w:rPr>
                <w:rFonts w:ascii="Arial" w:eastAsia="Arial" w:hAnsi="Arial" w:cs="Arial"/>
                <w:b/>
                <w:color w:val="000000"/>
                <w:sz w:val="20"/>
              </w:rPr>
              <w:t>ředmět</w:t>
            </w:r>
            <w:r w:rsidR="00B63561">
              <w:rPr>
                <w:rFonts w:ascii="Arial" w:eastAsia="Arial" w:hAnsi="Arial" w:cs="Arial"/>
                <w:b/>
                <w:color w:val="000000"/>
                <w:sz w:val="20"/>
              </w:rPr>
              <w:t>u</w:t>
            </w:r>
            <w:r w:rsidRPr="00E15769">
              <w:rPr>
                <w:rFonts w:ascii="Arial" w:eastAsia="Arial" w:hAnsi="Arial" w:cs="Arial"/>
                <w:b/>
                <w:color w:val="000000"/>
                <w:sz w:val="20"/>
              </w:rPr>
              <w:t xml:space="preserve"> etapy</w:t>
            </w:r>
          </w:p>
        </w:tc>
        <w:tc>
          <w:tcPr>
            <w:tcW w:w="351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30" w:type="dxa"/>
              <w:right w:w="30" w:type="dxa"/>
            </w:tcMar>
          </w:tcPr>
          <w:p w14:paraId="692C1A75" w14:textId="77777777" w:rsidR="00E15769" w:rsidRPr="00E15769" w:rsidRDefault="00E15769" w:rsidP="00E15769">
            <w:pPr>
              <w:spacing w:after="0" w:line="240" w:lineRule="auto"/>
              <w:jc w:val="left"/>
              <w:rPr>
                <w:rFonts w:ascii="Arial" w:eastAsia="Arial" w:hAnsi="Arial" w:cs="Arial"/>
                <w:b/>
                <w:bCs/>
                <w:color w:val="000000"/>
                <w:sz w:val="20"/>
              </w:rPr>
            </w:pPr>
          </w:p>
        </w:tc>
      </w:tr>
      <w:tr w:rsidR="00E15769" w:rsidRPr="00E83942" w14:paraId="282F381B" w14:textId="77777777" w:rsidTr="00E15769">
        <w:trPr>
          <w:tblHeader/>
        </w:trPr>
        <w:tc>
          <w:tcPr>
            <w:tcW w:w="1486"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15" w:type="dxa"/>
              <w:left w:w="15" w:type="dxa"/>
              <w:bottom w:w="30" w:type="dxa"/>
              <w:right w:w="30" w:type="dxa"/>
            </w:tcMar>
            <w:vAlign w:val="center"/>
          </w:tcPr>
          <w:p w14:paraId="05504E4B" w14:textId="77777777" w:rsidR="00E15769" w:rsidRPr="00E15769" w:rsidRDefault="00E15769" w:rsidP="00E15769">
            <w:pPr>
              <w:spacing w:after="0" w:line="240" w:lineRule="auto"/>
              <w:jc w:val="left"/>
              <w:rPr>
                <w:rFonts w:ascii="Arial" w:eastAsia="Arial" w:hAnsi="Arial" w:cs="Arial"/>
                <w:b/>
                <w:bCs/>
                <w:color w:val="000000"/>
                <w:sz w:val="20"/>
              </w:rPr>
            </w:pPr>
            <w:r w:rsidRPr="00E15769">
              <w:rPr>
                <w:rFonts w:ascii="Arial" w:eastAsia="Arial" w:hAnsi="Arial" w:cs="Arial"/>
                <w:b/>
                <w:color w:val="000000"/>
                <w:sz w:val="20"/>
              </w:rPr>
              <w:t>Hlavní zjištění a výsledky</w:t>
            </w:r>
          </w:p>
        </w:tc>
        <w:tc>
          <w:tcPr>
            <w:tcW w:w="351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30" w:type="dxa"/>
              <w:right w:w="30" w:type="dxa"/>
            </w:tcMar>
          </w:tcPr>
          <w:p w14:paraId="74D8472B" w14:textId="77777777" w:rsidR="00E15769" w:rsidRPr="00E15769" w:rsidRDefault="00E15769" w:rsidP="00E15769">
            <w:pPr>
              <w:spacing w:after="0" w:line="240" w:lineRule="auto"/>
              <w:jc w:val="left"/>
              <w:rPr>
                <w:rFonts w:ascii="Arial" w:eastAsia="Arial" w:hAnsi="Arial" w:cs="Arial"/>
                <w:b/>
                <w:bCs/>
                <w:color w:val="000000"/>
                <w:sz w:val="20"/>
              </w:rPr>
            </w:pPr>
          </w:p>
        </w:tc>
      </w:tr>
      <w:tr w:rsidR="00E15769" w:rsidRPr="00E83942" w14:paraId="3CBF86F3" w14:textId="77777777" w:rsidTr="00E15769">
        <w:tc>
          <w:tcPr>
            <w:tcW w:w="2419" w:type="pct"/>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15" w:type="dxa"/>
              <w:left w:w="15" w:type="dxa"/>
              <w:bottom w:w="30" w:type="dxa"/>
              <w:right w:w="30" w:type="dxa"/>
            </w:tcMar>
          </w:tcPr>
          <w:p w14:paraId="36882479" w14:textId="77777777" w:rsidR="00E15769" w:rsidRPr="00E15769" w:rsidRDefault="00E15769" w:rsidP="006F0D21">
            <w:pPr>
              <w:spacing w:after="0" w:line="240" w:lineRule="auto"/>
              <w:jc w:val="left"/>
              <w:rPr>
                <w:rFonts w:ascii="Arial" w:eastAsia="Arial" w:hAnsi="Arial" w:cs="Arial"/>
                <w:color w:val="000000"/>
                <w:sz w:val="20"/>
              </w:rPr>
            </w:pPr>
            <w:r w:rsidRPr="00E15769">
              <w:rPr>
                <w:rFonts w:ascii="Arial" w:eastAsia="Arial" w:hAnsi="Arial" w:cs="Arial"/>
                <w:b/>
                <w:bCs/>
                <w:color w:val="000000"/>
                <w:sz w:val="20"/>
              </w:rPr>
              <w:t>Závěry</w:t>
            </w:r>
          </w:p>
        </w:tc>
        <w:tc>
          <w:tcPr>
            <w:tcW w:w="2581"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15" w:type="dxa"/>
              <w:left w:w="15" w:type="dxa"/>
              <w:bottom w:w="30" w:type="dxa"/>
              <w:right w:w="30" w:type="dxa"/>
            </w:tcMar>
          </w:tcPr>
          <w:p w14:paraId="1FEC066F" w14:textId="77777777" w:rsidR="00E15769" w:rsidRPr="00E15769" w:rsidRDefault="00E15769" w:rsidP="006F0D21">
            <w:pPr>
              <w:spacing w:after="0" w:line="240" w:lineRule="auto"/>
              <w:jc w:val="left"/>
              <w:rPr>
                <w:rFonts w:ascii="Arial" w:eastAsia="Arial" w:hAnsi="Arial" w:cs="Arial"/>
                <w:color w:val="000000"/>
                <w:sz w:val="20"/>
              </w:rPr>
            </w:pPr>
            <w:r w:rsidRPr="00E15769">
              <w:rPr>
                <w:rFonts w:ascii="Arial" w:eastAsia="Arial" w:hAnsi="Arial" w:cs="Arial"/>
                <w:b/>
                <w:bCs/>
                <w:color w:val="000000"/>
                <w:sz w:val="20"/>
              </w:rPr>
              <w:t>Doporučení</w:t>
            </w:r>
          </w:p>
        </w:tc>
      </w:tr>
      <w:tr w:rsidR="00E15769" w:rsidRPr="00E83942" w14:paraId="6D5F1F1E" w14:textId="77777777" w:rsidTr="006F0D21">
        <w:tc>
          <w:tcPr>
            <w:tcW w:w="241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30" w:type="dxa"/>
              <w:right w:w="30" w:type="dxa"/>
            </w:tcMar>
          </w:tcPr>
          <w:p w14:paraId="1AA8DBB7" w14:textId="77777777" w:rsidR="00E15769" w:rsidRPr="00E15769" w:rsidRDefault="00E15769" w:rsidP="006F0D21">
            <w:pPr>
              <w:spacing w:after="0" w:line="240" w:lineRule="auto"/>
              <w:jc w:val="left"/>
              <w:rPr>
                <w:rFonts w:ascii="Arial" w:eastAsia="Arial" w:hAnsi="Arial" w:cs="Arial"/>
                <w:i/>
                <w:color w:val="000000"/>
                <w:sz w:val="20"/>
              </w:rPr>
            </w:pPr>
            <w:r>
              <w:rPr>
                <w:rFonts w:ascii="Arial" w:eastAsia="Arial" w:hAnsi="Arial" w:cs="Arial"/>
                <w:i/>
                <w:color w:val="000000"/>
                <w:sz w:val="20"/>
              </w:rPr>
              <w:t>Z</w:t>
            </w:r>
            <w:r w:rsidRPr="00E15769">
              <w:rPr>
                <w:rFonts w:ascii="Arial" w:eastAsia="Arial" w:hAnsi="Arial" w:cs="Arial"/>
                <w:i/>
                <w:color w:val="000000"/>
                <w:sz w:val="20"/>
              </w:rPr>
              <w:t>ávěr</w:t>
            </w:r>
            <w:r>
              <w:rPr>
                <w:rFonts w:ascii="Arial" w:eastAsia="Arial" w:hAnsi="Arial" w:cs="Arial"/>
                <w:i/>
                <w:color w:val="000000"/>
                <w:sz w:val="20"/>
              </w:rPr>
              <w:t xml:space="preserve"> </w:t>
            </w:r>
            <w:r w:rsidRPr="00E15769">
              <w:rPr>
                <w:rFonts w:ascii="Arial" w:eastAsia="Arial" w:hAnsi="Arial" w:cs="Arial"/>
                <w:i/>
                <w:color w:val="000000"/>
                <w:sz w:val="20"/>
              </w:rPr>
              <w:t>1</w:t>
            </w:r>
          </w:p>
        </w:tc>
        <w:tc>
          <w:tcPr>
            <w:tcW w:w="258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30" w:type="dxa"/>
              <w:right w:w="30" w:type="dxa"/>
            </w:tcMar>
          </w:tcPr>
          <w:p w14:paraId="5B01C13D" w14:textId="77777777" w:rsidR="00E15769" w:rsidRPr="00E15769" w:rsidRDefault="00E15769" w:rsidP="006F0D21">
            <w:pPr>
              <w:spacing w:after="0" w:line="240" w:lineRule="auto"/>
              <w:jc w:val="left"/>
              <w:rPr>
                <w:rFonts w:ascii="Arial" w:eastAsia="Arial" w:hAnsi="Arial" w:cs="Arial"/>
                <w:i/>
                <w:color w:val="000000"/>
                <w:sz w:val="20"/>
              </w:rPr>
            </w:pPr>
            <w:r>
              <w:rPr>
                <w:rFonts w:ascii="Arial" w:eastAsia="Arial" w:hAnsi="Arial" w:cs="Arial"/>
                <w:i/>
                <w:color w:val="000000"/>
                <w:sz w:val="20"/>
              </w:rPr>
              <w:t>D</w:t>
            </w:r>
            <w:r w:rsidRPr="00E15769">
              <w:rPr>
                <w:rFonts w:ascii="Arial" w:eastAsia="Arial" w:hAnsi="Arial" w:cs="Arial"/>
                <w:i/>
                <w:color w:val="000000"/>
                <w:sz w:val="20"/>
              </w:rPr>
              <w:t>oporučení</w:t>
            </w:r>
            <w:r>
              <w:rPr>
                <w:rFonts w:ascii="Arial" w:eastAsia="Arial" w:hAnsi="Arial" w:cs="Arial"/>
                <w:i/>
                <w:color w:val="000000"/>
                <w:sz w:val="20"/>
              </w:rPr>
              <w:t xml:space="preserve"> </w:t>
            </w:r>
            <w:r w:rsidRPr="00E15769">
              <w:rPr>
                <w:rFonts w:ascii="Arial" w:eastAsia="Arial" w:hAnsi="Arial" w:cs="Arial"/>
                <w:i/>
                <w:color w:val="000000"/>
                <w:sz w:val="20"/>
              </w:rPr>
              <w:t>1</w:t>
            </w:r>
          </w:p>
        </w:tc>
      </w:tr>
      <w:tr w:rsidR="00E15769" w:rsidRPr="00E83942" w14:paraId="3C88DDB3" w14:textId="77777777" w:rsidTr="00E15769">
        <w:tc>
          <w:tcPr>
            <w:tcW w:w="241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30" w:type="dxa"/>
              <w:right w:w="30" w:type="dxa"/>
            </w:tcMar>
          </w:tcPr>
          <w:p w14:paraId="7539B98E" w14:textId="77777777" w:rsidR="00E15769" w:rsidRPr="00E15769" w:rsidRDefault="00E15769" w:rsidP="00EB1579">
            <w:pPr>
              <w:spacing w:after="0" w:line="240" w:lineRule="auto"/>
              <w:jc w:val="left"/>
              <w:rPr>
                <w:rFonts w:ascii="Arial" w:eastAsia="Arial" w:hAnsi="Arial" w:cs="Arial"/>
                <w:i/>
                <w:color w:val="000000"/>
                <w:sz w:val="20"/>
              </w:rPr>
            </w:pPr>
            <w:r>
              <w:rPr>
                <w:rFonts w:ascii="Arial" w:eastAsia="Arial" w:hAnsi="Arial" w:cs="Arial"/>
                <w:i/>
                <w:color w:val="000000"/>
                <w:sz w:val="20"/>
              </w:rPr>
              <w:t>Z</w:t>
            </w:r>
            <w:r w:rsidRPr="00E15769">
              <w:rPr>
                <w:rFonts w:ascii="Arial" w:eastAsia="Arial" w:hAnsi="Arial" w:cs="Arial"/>
                <w:i/>
                <w:color w:val="000000"/>
                <w:sz w:val="20"/>
              </w:rPr>
              <w:t>ávěr</w:t>
            </w:r>
            <w:r>
              <w:rPr>
                <w:rFonts w:ascii="Arial" w:eastAsia="Arial" w:hAnsi="Arial" w:cs="Arial"/>
                <w:i/>
                <w:color w:val="000000"/>
                <w:sz w:val="20"/>
              </w:rPr>
              <w:t xml:space="preserve"> n</w:t>
            </w:r>
          </w:p>
        </w:tc>
        <w:tc>
          <w:tcPr>
            <w:tcW w:w="258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30" w:type="dxa"/>
              <w:right w:w="30" w:type="dxa"/>
            </w:tcMar>
          </w:tcPr>
          <w:p w14:paraId="42907FEF" w14:textId="77777777" w:rsidR="00E15769" w:rsidRPr="00E15769" w:rsidRDefault="00E15769" w:rsidP="00EB1579">
            <w:pPr>
              <w:spacing w:after="0" w:line="240" w:lineRule="auto"/>
              <w:jc w:val="left"/>
              <w:rPr>
                <w:rFonts w:ascii="Arial" w:eastAsia="Arial" w:hAnsi="Arial" w:cs="Arial"/>
                <w:i/>
                <w:color w:val="000000"/>
                <w:sz w:val="20"/>
              </w:rPr>
            </w:pPr>
            <w:r>
              <w:rPr>
                <w:rFonts w:ascii="Arial" w:eastAsia="Arial" w:hAnsi="Arial" w:cs="Arial"/>
                <w:i/>
                <w:color w:val="000000"/>
                <w:sz w:val="20"/>
              </w:rPr>
              <w:t>D</w:t>
            </w:r>
            <w:r w:rsidRPr="00E15769">
              <w:rPr>
                <w:rFonts w:ascii="Arial" w:eastAsia="Arial" w:hAnsi="Arial" w:cs="Arial"/>
                <w:i/>
                <w:color w:val="000000"/>
                <w:sz w:val="20"/>
              </w:rPr>
              <w:t>oporučení</w:t>
            </w:r>
            <w:r>
              <w:rPr>
                <w:rFonts w:ascii="Arial" w:eastAsia="Arial" w:hAnsi="Arial" w:cs="Arial"/>
                <w:i/>
                <w:color w:val="000000"/>
                <w:sz w:val="20"/>
              </w:rPr>
              <w:t xml:space="preserve"> n</w:t>
            </w:r>
          </w:p>
        </w:tc>
      </w:tr>
    </w:tbl>
    <w:p w14:paraId="69ADE8C0" w14:textId="37F624B3" w:rsidR="00ED6977" w:rsidRPr="006464B6" w:rsidRDefault="00450DB5" w:rsidP="00ED6977">
      <w:pPr>
        <w:rPr>
          <w:szCs w:val="22"/>
        </w:rPr>
      </w:pPr>
      <w:r>
        <w:rPr>
          <w:szCs w:val="22"/>
        </w:rPr>
        <w:t>Pokud o to zadavatel požádá (minimálně v předstihu 10 pracovních dnů), provede d</w:t>
      </w:r>
      <w:r w:rsidR="00ED6977" w:rsidRPr="006464B6">
        <w:rPr>
          <w:szCs w:val="22"/>
        </w:rPr>
        <w:t xml:space="preserve">odavatel </w:t>
      </w:r>
      <w:r>
        <w:rPr>
          <w:szCs w:val="22"/>
        </w:rPr>
        <w:t>prezentaci</w:t>
      </w:r>
      <w:r w:rsidR="00ED6977" w:rsidRPr="006464B6">
        <w:rPr>
          <w:szCs w:val="22"/>
        </w:rPr>
        <w:t xml:space="preserve"> ZZ</w:t>
      </w:r>
      <w:r>
        <w:rPr>
          <w:szCs w:val="22"/>
        </w:rPr>
        <w:t xml:space="preserve">. </w:t>
      </w:r>
      <w:r w:rsidR="00F83443">
        <w:rPr>
          <w:szCs w:val="22"/>
        </w:rPr>
        <w:t>Dodavatel zašle zadavateli návrh prezentace</w:t>
      </w:r>
      <w:r>
        <w:rPr>
          <w:szCs w:val="22"/>
        </w:rPr>
        <w:t xml:space="preserve"> (formát .ppt či .pptx)</w:t>
      </w:r>
      <w:r w:rsidR="00F83443">
        <w:rPr>
          <w:szCs w:val="22"/>
        </w:rPr>
        <w:t xml:space="preserve"> dva pracovní dny před jejím představením v sídle zadavatele.</w:t>
      </w:r>
    </w:p>
    <w:p w14:paraId="4FC70DF4" w14:textId="77777777" w:rsidR="00ED6977" w:rsidRPr="006464B6" w:rsidRDefault="00ED6977" w:rsidP="00ED6977">
      <w:pPr>
        <w:rPr>
          <w:szCs w:val="22"/>
        </w:rPr>
      </w:pPr>
      <w:r w:rsidRPr="006464B6">
        <w:rPr>
          <w:szCs w:val="22"/>
        </w:rPr>
        <w:t>Předpokládá se průběžná komunikace dodavatele se zadavatelem a dalšími relevantními subjekty v rozsahu: písemné (e-mailové) hlášení dodavatele o aktuálně prováděných pracích, dále o pracích, které byly v minulých 10 pracovních dnech odvedeny, a které práce budou v následujících 10 pracovních dnech zahájeny jedenkrát za 10 pracovních dnů</w:t>
      </w:r>
      <w:r w:rsidR="009F1646">
        <w:rPr>
          <w:szCs w:val="22"/>
        </w:rPr>
        <w:t>,</w:t>
      </w:r>
      <w:r w:rsidRPr="006464B6">
        <w:rPr>
          <w:szCs w:val="22"/>
        </w:rPr>
        <w:t xml:space="preserve"> a </w:t>
      </w:r>
      <w:r w:rsidR="009F1646">
        <w:rPr>
          <w:szCs w:val="22"/>
        </w:rPr>
        <w:t xml:space="preserve">v případě potřeby </w:t>
      </w:r>
      <w:r w:rsidRPr="006464B6">
        <w:rPr>
          <w:szCs w:val="22"/>
        </w:rPr>
        <w:t xml:space="preserve">osobní konzultace </w:t>
      </w:r>
      <w:r w:rsidRPr="006464B6">
        <w:rPr>
          <w:szCs w:val="22"/>
        </w:rPr>
        <w:lastRenderedPageBreak/>
        <w:t>pro vyjasnění nejasností, odstranění nedostatků, doplnění nebo vypořádání připomínek zadavatele k vyhotoveným výstupům.</w:t>
      </w:r>
    </w:p>
    <w:p w14:paraId="226F1B51" w14:textId="77777777" w:rsidR="00ED6977" w:rsidRDefault="00ED6977" w:rsidP="00ED6977">
      <w:pPr>
        <w:rPr>
          <w:szCs w:val="22"/>
        </w:rPr>
      </w:pPr>
      <w:r w:rsidRPr="006464B6">
        <w:rPr>
          <w:szCs w:val="22"/>
        </w:rPr>
        <w:t>Dodavatel dále zpracuje zápisy ze všech jednání se zadavatelem či dalšími subjekty a zašle je do 3 pracovních dnů zadavateli.</w:t>
      </w:r>
    </w:p>
    <w:sectPr w:rsidR="00ED6977" w:rsidSect="006965D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3BEBB" w14:textId="77777777" w:rsidR="009A046D" w:rsidRDefault="009A046D" w:rsidP="00534361">
      <w:pPr>
        <w:spacing w:after="0" w:line="240" w:lineRule="auto"/>
      </w:pPr>
      <w:r>
        <w:separator/>
      </w:r>
    </w:p>
  </w:endnote>
  <w:endnote w:type="continuationSeparator" w:id="0">
    <w:p w14:paraId="606F3269" w14:textId="77777777" w:rsidR="009A046D" w:rsidRDefault="009A046D" w:rsidP="0053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02582" w14:textId="77777777" w:rsidR="006478C3" w:rsidRDefault="006478C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74032"/>
      <w:docPartObj>
        <w:docPartGallery w:val="Page Numbers (Bottom of Page)"/>
        <w:docPartUnique/>
      </w:docPartObj>
    </w:sdtPr>
    <w:sdtEndPr/>
    <w:sdtContent>
      <w:sdt>
        <w:sdtPr>
          <w:id w:val="98381352"/>
          <w:docPartObj>
            <w:docPartGallery w:val="Page Numbers (Top of Page)"/>
            <w:docPartUnique/>
          </w:docPartObj>
        </w:sdtPr>
        <w:sdtEndPr/>
        <w:sdtContent>
          <w:p w14:paraId="0B5FDF93" w14:textId="77777777" w:rsidR="008A0D56" w:rsidRDefault="003C5322" w:rsidP="008A0D56">
            <w:pPr>
              <w:pStyle w:val="Zpat"/>
              <w:jc w:val="center"/>
            </w:pPr>
            <w:r>
              <w:fldChar w:fldCharType="begin"/>
            </w:r>
            <w:r>
              <w:instrText>PAGE</w:instrText>
            </w:r>
            <w:r>
              <w:fldChar w:fldCharType="separate"/>
            </w:r>
            <w:r w:rsidR="006478C3">
              <w:rPr>
                <w:noProof/>
              </w:rPr>
              <w:t>4</w:t>
            </w:r>
            <w:r>
              <w:rPr>
                <w:noProof/>
              </w:rPr>
              <w:fldChar w:fldCharType="end"/>
            </w:r>
            <w:r w:rsidR="008A0D56" w:rsidRPr="008A0D56">
              <w:t>/</w:t>
            </w:r>
            <w:r>
              <w:fldChar w:fldCharType="begin"/>
            </w:r>
            <w:r>
              <w:instrText>NUMPAGES</w:instrText>
            </w:r>
            <w:r>
              <w:fldChar w:fldCharType="separate"/>
            </w:r>
            <w:r w:rsidR="006478C3">
              <w:rPr>
                <w:noProof/>
              </w:rPr>
              <w:t>4</w:t>
            </w:r>
            <w:r>
              <w:rPr>
                <w:noProof/>
              </w:rPr>
              <w:fldChar w:fldCharType="end"/>
            </w:r>
          </w:p>
        </w:sdtContent>
      </w:sdt>
    </w:sdtContent>
  </w:sdt>
  <w:p w14:paraId="7810CFA2" w14:textId="77777777" w:rsidR="008A0D56" w:rsidRDefault="008A0D5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03B59" w14:textId="77777777" w:rsidR="006478C3" w:rsidRDefault="006478C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60C7A" w14:textId="77777777" w:rsidR="009A046D" w:rsidRDefault="009A046D" w:rsidP="00534361">
      <w:pPr>
        <w:spacing w:after="0" w:line="240" w:lineRule="auto"/>
      </w:pPr>
      <w:r>
        <w:separator/>
      </w:r>
    </w:p>
  </w:footnote>
  <w:footnote w:type="continuationSeparator" w:id="0">
    <w:p w14:paraId="3BE09C54" w14:textId="77777777" w:rsidR="009A046D" w:rsidRDefault="009A046D" w:rsidP="00534361">
      <w:pPr>
        <w:spacing w:after="0" w:line="240" w:lineRule="auto"/>
      </w:pPr>
      <w:r>
        <w:continuationSeparator/>
      </w:r>
    </w:p>
  </w:footnote>
  <w:footnote w:id="1">
    <w:p w14:paraId="3832A6BC" w14:textId="77777777" w:rsidR="00534361" w:rsidRPr="00AE31E1" w:rsidRDefault="00534361" w:rsidP="00534361">
      <w:pPr>
        <w:pStyle w:val="Textpoznpodarou"/>
      </w:pPr>
      <w:r>
        <w:rPr>
          <w:rStyle w:val="Znakapoznpodarou"/>
          <w:rFonts w:eastAsiaTheme="majorEastAsia"/>
        </w:rPr>
        <w:footnoteRef/>
      </w:r>
      <w:r>
        <w:t xml:space="preserve"> Za normostranu je považován t</w:t>
      </w:r>
      <w:r w:rsidRPr="00AE31E1">
        <w:t>ext obsahující 1800 znaků včetně mezer a včetně poznámek pod čarou.</w:t>
      </w:r>
    </w:p>
  </w:footnote>
  <w:footnote w:id="2">
    <w:p w14:paraId="5C7C7FF1" w14:textId="77777777" w:rsidR="0010367B" w:rsidRPr="005D6F6F" w:rsidRDefault="0010367B" w:rsidP="0010367B">
      <w:pPr>
        <w:pStyle w:val="Textpoznpodarou"/>
      </w:pPr>
      <w:r>
        <w:rPr>
          <w:rStyle w:val="Znakapoznpodarou"/>
          <w:rFonts w:eastAsiaTheme="majorEastAsia"/>
        </w:rPr>
        <w:footnoteRef/>
      </w:r>
      <w:r>
        <w:t xml:space="preserve"> Příklad</w:t>
      </w:r>
      <w:r w:rsidRPr="005D6F6F">
        <w:t>: Bude-li vyhodnocena určitá část metodiky jako nadmíru složitá, konkrétním optimalizačním opatřením není pouhé konstatování nezbytnosti metodiku zjednodušit, ale přesné vymezení částí metodiky, kterou je doporučováno upravit a návrh této úpravy.</w:t>
      </w:r>
    </w:p>
  </w:footnote>
  <w:footnote w:id="3">
    <w:p w14:paraId="2F452196" w14:textId="77777777" w:rsidR="0010367B" w:rsidRDefault="0010367B" w:rsidP="0010367B">
      <w:pPr>
        <w:pStyle w:val="Textpoznpodarou"/>
      </w:pPr>
      <w:r>
        <w:rPr>
          <w:rStyle w:val="Znakapoznpodarou"/>
        </w:rPr>
        <w:footnoteRef/>
      </w:r>
      <w:r>
        <w:t xml:space="preserve"> Může jít např. o činnosti s nízkou přidanou hodnotou a vysokou zátěží pro jejich vykonavatele, o práci vykonávanou znovu, protože napoprvé nebyla vykonána správně, duplicitní činnosti vykonávané více lidmi, řešení problémů místo příčin, organizování a navštěvování nepotřebných jednání, apod.</w:t>
      </w:r>
    </w:p>
  </w:footnote>
  <w:footnote w:id="4">
    <w:p w14:paraId="0A263397" w14:textId="77777777" w:rsidR="0010367B" w:rsidRDefault="0010367B" w:rsidP="0010367B">
      <w:pPr>
        <w:pStyle w:val="Textpoznpodarou"/>
      </w:pPr>
      <w:r>
        <w:rPr>
          <w:rStyle w:val="Znakapoznpodarou"/>
        </w:rPr>
        <w:footnoteRef/>
      </w:r>
      <w:r>
        <w:t xml:space="preserve"> Dodavatel může k této části využít poznatky z analýzy</w:t>
      </w:r>
      <w:r w:rsidRPr="00697592">
        <w:rPr>
          <w:i/>
          <w:szCs w:val="22"/>
        </w:rPr>
        <w:t xml:space="preserve"> New assessment of ESIF administrative costs and burden</w:t>
      </w:r>
      <w:r>
        <w:rPr>
          <w:szCs w:val="22"/>
        </w:rPr>
        <w:t>, Evropská komise 2018</w:t>
      </w:r>
      <w:r w:rsidRPr="00671050">
        <w:rPr>
          <w:szCs w:val="22"/>
        </w:rPr>
        <w:t xml:space="preserve"> </w:t>
      </w:r>
      <w:r>
        <w:rPr>
          <w:szCs w:val="22"/>
        </w:rPr>
        <w:t xml:space="preserve">(dostupné </w:t>
      </w:r>
      <w:hyperlink r:id="rId1" w:history="1">
        <w:r w:rsidRPr="00A71A64">
          <w:rPr>
            <w:rStyle w:val="Hypertextovodkaz"/>
            <w:szCs w:val="22"/>
          </w:rPr>
          <w:t>zde</w:t>
        </w:r>
      </w:hyperlink>
      <w:r>
        <w:rPr>
          <w:szCs w:val="22"/>
        </w:rPr>
        <w:t>).</w:t>
      </w:r>
    </w:p>
  </w:footnote>
  <w:footnote w:id="5">
    <w:p w14:paraId="7695CEE4" w14:textId="77777777" w:rsidR="0010367B" w:rsidRDefault="0010367B" w:rsidP="0010367B">
      <w:pPr>
        <w:pStyle w:val="Textpoznpodarou"/>
      </w:pPr>
      <w:r>
        <w:rPr>
          <w:rStyle w:val="Znakapoznpodarou"/>
        </w:rPr>
        <w:footnoteRef/>
      </w:r>
      <w:r>
        <w:t xml:space="preserve"> </w:t>
      </w:r>
      <w:r w:rsidRPr="00E83942">
        <w:t>Dojde k předání všech pracovních výstupů zadavateli (např. anonymizovaná data z analýz, dotazníků či polostrukturovaných rozhovorů, příp. oponentury k etapám realizace projektu, doplňující stanoviska k připomínkám členů Pracovní skupiny evaluace OPPIK apod.).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A4C7D" w14:textId="77777777" w:rsidR="006478C3" w:rsidRDefault="006478C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F5B5B" w14:textId="77777777" w:rsidR="006478C3" w:rsidRDefault="006478C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69EB6" w14:textId="08EED167" w:rsidR="006478C3" w:rsidRPr="00B44548" w:rsidRDefault="006478C3" w:rsidP="006478C3">
    <w:pPr>
      <w:jc w:val="right"/>
    </w:pPr>
    <w:r w:rsidRPr="00B44548">
      <w:rPr>
        <w:b/>
        <w:bCs/>
        <w:sz w:val="20"/>
        <w:szCs w:val="18"/>
      </w:rPr>
      <w:t xml:space="preserve">Příloha č. </w:t>
    </w:r>
    <w:r>
      <w:rPr>
        <w:b/>
        <w:bCs/>
        <w:sz w:val="20"/>
        <w:szCs w:val="18"/>
      </w:rPr>
      <w:t>1</w:t>
    </w:r>
    <w:bookmarkStart w:id="1" w:name="_GoBack"/>
    <w:bookmarkEnd w:id="1"/>
    <w:r w:rsidRPr="00B44548">
      <w:rPr>
        <w:b/>
        <w:bCs/>
        <w:sz w:val="20"/>
        <w:szCs w:val="18"/>
      </w:rPr>
      <w:t xml:space="preserve"> </w:t>
    </w:r>
    <w:r>
      <w:rPr>
        <w:sz w:val="20"/>
        <w:szCs w:val="18"/>
      </w:rPr>
      <w:t>Smlouvy</w:t>
    </w:r>
    <w:r w:rsidRPr="00B44548">
      <w:rPr>
        <w:sz w:val="20"/>
        <w:szCs w:val="18"/>
      </w:rPr>
      <w:t xml:space="preserve"> </w:t>
    </w:r>
    <w:r>
      <w:rPr>
        <w:rFonts w:ascii="Calibri" w:hAnsi="Calibri"/>
        <w:sz w:val="20"/>
      </w:rPr>
      <w:t xml:space="preserve">o dílo </w:t>
    </w:r>
    <w:r w:rsidRPr="003F1077">
      <w:rPr>
        <w:rFonts w:ascii="Calibri" w:hAnsi="Calibri"/>
        <w:sz w:val="20"/>
      </w:rPr>
      <w:t>č. 09/2019/61100</w:t>
    </w:r>
  </w:p>
  <w:p w14:paraId="4A9880DD" w14:textId="77777777" w:rsidR="006965DA" w:rsidRPr="006478C3" w:rsidRDefault="006965DA" w:rsidP="006478C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9CA"/>
    <w:multiLevelType w:val="hybridMultilevel"/>
    <w:tmpl w:val="08727E20"/>
    <w:lvl w:ilvl="0" w:tplc="04050017">
      <w:start w:val="1"/>
      <w:numFmt w:val="lowerLetter"/>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1A33F8"/>
    <w:multiLevelType w:val="multilevel"/>
    <w:tmpl w:val="DCE02F5A"/>
    <w:numStyleLink w:val="Styl4"/>
  </w:abstractNum>
  <w:abstractNum w:abstractNumId="2" w15:restartNumberingAfterBreak="0">
    <w:nsid w:val="036864E0"/>
    <w:multiLevelType w:val="hybridMultilevel"/>
    <w:tmpl w:val="362EF3BE"/>
    <w:lvl w:ilvl="0" w:tplc="0405000F">
      <w:start w:val="1"/>
      <w:numFmt w:val="decimal"/>
      <w:lvlText w:val="%1."/>
      <w:lvlJc w:val="left"/>
      <w:pPr>
        <w:ind w:left="720" w:hanging="360"/>
      </w:pPr>
    </w:lvl>
    <w:lvl w:ilvl="1" w:tplc="604800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3C18A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777627"/>
    <w:multiLevelType w:val="multilevel"/>
    <w:tmpl w:val="DCE02F5A"/>
    <w:numStyleLink w:val="Styl4"/>
  </w:abstractNum>
  <w:abstractNum w:abstractNumId="5" w15:restartNumberingAfterBreak="0">
    <w:nsid w:val="0DF52F1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D00A9"/>
    <w:multiLevelType w:val="multilevel"/>
    <w:tmpl w:val="DCE02F5A"/>
    <w:numStyleLink w:val="Styl4"/>
  </w:abstractNum>
  <w:abstractNum w:abstractNumId="7" w15:restartNumberingAfterBreak="0">
    <w:nsid w:val="135B3A11"/>
    <w:multiLevelType w:val="hybridMultilevel"/>
    <w:tmpl w:val="BA9EC418"/>
    <w:lvl w:ilvl="0" w:tplc="20C2F3C6">
      <w:start w:val="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777FE3"/>
    <w:multiLevelType w:val="hybridMultilevel"/>
    <w:tmpl w:val="59208E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C26AA4"/>
    <w:multiLevelType w:val="multilevel"/>
    <w:tmpl w:val="C5C241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9DA79ED"/>
    <w:multiLevelType w:val="multilevel"/>
    <w:tmpl w:val="DCE02F5A"/>
    <w:numStyleLink w:val="Styl4"/>
  </w:abstractNum>
  <w:abstractNum w:abstractNumId="11" w15:restartNumberingAfterBreak="0">
    <w:nsid w:val="243075C6"/>
    <w:multiLevelType w:val="multilevel"/>
    <w:tmpl w:val="FC68A90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2AD4380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D462088"/>
    <w:multiLevelType w:val="multilevel"/>
    <w:tmpl w:val="DCE02F5A"/>
    <w:numStyleLink w:val="Styl4"/>
  </w:abstractNum>
  <w:abstractNum w:abstractNumId="14" w15:restartNumberingAfterBreak="0">
    <w:nsid w:val="31651D10"/>
    <w:multiLevelType w:val="multilevel"/>
    <w:tmpl w:val="DCE02F5A"/>
    <w:numStyleLink w:val="Styl4"/>
  </w:abstractNum>
  <w:abstractNum w:abstractNumId="15" w15:restartNumberingAfterBreak="0">
    <w:nsid w:val="337833B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8C51D0"/>
    <w:multiLevelType w:val="hybridMultilevel"/>
    <w:tmpl w:val="59208E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340045"/>
    <w:multiLevelType w:val="multilevel"/>
    <w:tmpl w:val="DCE02F5A"/>
    <w:numStyleLink w:val="Styl4"/>
  </w:abstractNum>
  <w:abstractNum w:abstractNumId="18" w15:restartNumberingAfterBreak="0">
    <w:nsid w:val="3E3D6D5E"/>
    <w:multiLevelType w:val="hybridMultilevel"/>
    <w:tmpl w:val="72C0B618"/>
    <w:lvl w:ilvl="0" w:tplc="0405000F">
      <w:start w:val="1"/>
      <w:numFmt w:val="decimal"/>
      <w:lvlText w:val="%1."/>
      <w:lvlJc w:val="left"/>
      <w:pPr>
        <w:ind w:left="720" w:hanging="360"/>
      </w:pPr>
    </w:lvl>
    <w:lvl w:ilvl="1" w:tplc="604800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8649B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176806"/>
    <w:multiLevelType w:val="hybridMultilevel"/>
    <w:tmpl w:val="E2BCC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8175BA"/>
    <w:multiLevelType w:val="hybridMultilevel"/>
    <w:tmpl w:val="6BB80A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D3771C"/>
    <w:multiLevelType w:val="hybridMultilevel"/>
    <w:tmpl w:val="59208E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192DAF"/>
    <w:multiLevelType w:val="hybridMultilevel"/>
    <w:tmpl w:val="BDFCF30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35677E"/>
    <w:multiLevelType w:val="hybridMultilevel"/>
    <w:tmpl w:val="362EF3BE"/>
    <w:lvl w:ilvl="0" w:tplc="0405000F">
      <w:start w:val="1"/>
      <w:numFmt w:val="decimal"/>
      <w:lvlText w:val="%1."/>
      <w:lvlJc w:val="left"/>
      <w:pPr>
        <w:ind w:left="720" w:hanging="360"/>
      </w:pPr>
    </w:lvl>
    <w:lvl w:ilvl="1" w:tplc="604800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074C5C"/>
    <w:multiLevelType w:val="multilevel"/>
    <w:tmpl w:val="DCE02F5A"/>
    <w:numStyleLink w:val="Styl4"/>
  </w:abstractNum>
  <w:abstractNum w:abstractNumId="26" w15:restartNumberingAfterBreak="0">
    <w:nsid w:val="5EBB6A20"/>
    <w:multiLevelType w:val="hybridMultilevel"/>
    <w:tmpl w:val="362EF3BE"/>
    <w:lvl w:ilvl="0" w:tplc="0405000F">
      <w:start w:val="1"/>
      <w:numFmt w:val="decimal"/>
      <w:lvlText w:val="%1."/>
      <w:lvlJc w:val="left"/>
      <w:pPr>
        <w:ind w:left="720" w:hanging="360"/>
      </w:pPr>
    </w:lvl>
    <w:lvl w:ilvl="1" w:tplc="604800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A1607B"/>
    <w:multiLevelType w:val="hybridMultilevel"/>
    <w:tmpl w:val="2D9C3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8257CC"/>
    <w:multiLevelType w:val="hybridMultilevel"/>
    <w:tmpl w:val="014E47FC"/>
    <w:lvl w:ilvl="0" w:tplc="0ABC3EF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B04A88"/>
    <w:multiLevelType w:val="multilevel"/>
    <w:tmpl w:val="DCE02F5A"/>
    <w:numStyleLink w:val="Styl4"/>
  </w:abstractNum>
  <w:abstractNum w:abstractNumId="30" w15:restartNumberingAfterBreak="0">
    <w:nsid w:val="67087094"/>
    <w:multiLevelType w:val="hybridMultilevel"/>
    <w:tmpl w:val="362EF3BE"/>
    <w:lvl w:ilvl="0" w:tplc="0405000F">
      <w:start w:val="1"/>
      <w:numFmt w:val="decimal"/>
      <w:lvlText w:val="%1."/>
      <w:lvlJc w:val="left"/>
      <w:pPr>
        <w:ind w:left="720" w:hanging="360"/>
      </w:pPr>
    </w:lvl>
    <w:lvl w:ilvl="1" w:tplc="604800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3E7EF5"/>
    <w:multiLevelType w:val="multilevel"/>
    <w:tmpl w:val="DCE02F5A"/>
    <w:styleLink w:val="Styl4"/>
    <w:lvl w:ilvl="0">
      <w:start w:val="1"/>
      <w:numFmt w:val="decimal"/>
      <w:lvlText w:val="%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C4D691A"/>
    <w:multiLevelType w:val="multilevel"/>
    <w:tmpl w:val="DCE02F5A"/>
    <w:numStyleLink w:val="Styl4"/>
  </w:abstractNum>
  <w:abstractNum w:abstractNumId="33" w15:restartNumberingAfterBreak="0">
    <w:nsid w:val="7DF97B81"/>
    <w:multiLevelType w:val="multilevel"/>
    <w:tmpl w:val="DCE02F5A"/>
    <w:lvl w:ilvl="0">
      <w:start w:val="1"/>
      <w:numFmt w:val="decimal"/>
      <w:lvlText w:val="%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2"/>
  </w:num>
  <w:num w:numId="2">
    <w:abstractNumId w:val="8"/>
  </w:num>
  <w:num w:numId="3">
    <w:abstractNumId w:val="2"/>
  </w:num>
  <w:num w:numId="4">
    <w:abstractNumId w:val="16"/>
  </w:num>
  <w:num w:numId="5">
    <w:abstractNumId w:val="30"/>
  </w:num>
  <w:num w:numId="6">
    <w:abstractNumId w:val="18"/>
  </w:num>
  <w:num w:numId="7">
    <w:abstractNumId w:val="24"/>
  </w:num>
  <w:num w:numId="8">
    <w:abstractNumId w:val="26"/>
  </w:num>
  <w:num w:numId="9">
    <w:abstractNumId w:val="11"/>
  </w:num>
  <w:num w:numId="10">
    <w:abstractNumId w:val="7"/>
  </w:num>
  <w:num w:numId="11">
    <w:abstractNumId w:val="28"/>
  </w:num>
  <w:num w:numId="12">
    <w:abstractNumId w:val="31"/>
  </w:num>
  <w:num w:numId="13">
    <w:abstractNumId w:val="25"/>
  </w:num>
  <w:num w:numId="14">
    <w:abstractNumId w:val="14"/>
  </w:num>
  <w:num w:numId="15">
    <w:abstractNumId w:val="13"/>
  </w:num>
  <w:num w:numId="16">
    <w:abstractNumId w:val="17"/>
  </w:num>
  <w:num w:numId="17">
    <w:abstractNumId w:val="33"/>
  </w:num>
  <w:num w:numId="18">
    <w:abstractNumId w:val="10"/>
  </w:num>
  <w:num w:numId="19">
    <w:abstractNumId w:val="29"/>
  </w:num>
  <w:num w:numId="20">
    <w:abstractNumId w:val="1"/>
  </w:num>
  <w:num w:numId="21">
    <w:abstractNumId w:val="32"/>
  </w:num>
  <w:num w:numId="22">
    <w:abstractNumId w:val="4"/>
  </w:num>
  <w:num w:numId="23">
    <w:abstractNumId w:val="6"/>
  </w:num>
  <w:num w:numId="24">
    <w:abstractNumId w:val="23"/>
  </w:num>
  <w:num w:numId="25">
    <w:abstractNumId w:val="19"/>
  </w:num>
  <w:num w:numId="26">
    <w:abstractNumId w:val="15"/>
  </w:num>
  <w:num w:numId="27">
    <w:abstractNumId w:val="12"/>
  </w:num>
  <w:num w:numId="28">
    <w:abstractNumId w:val="3"/>
  </w:num>
  <w:num w:numId="29">
    <w:abstractNumId w:val="27"/>
  </w:num>
  <w:num w:numId="30">
    <w:abstractNumId w:val="9"/>
  </w:num>
  <w:num w:numId="31">
    <w:abstractNumId w:val="21"/>
  </w:num>
  <w:num w:numId="32">
    <w:abstractNumId w:val="20"/>
  </w:num>
  <w:num w:numId="33">
    <w:abstractNumId w:val="5"/>
  </w:num>
  <w:num w:numId="34">
    <w:abstractNumId w:val="11"/>
  </w:num>
  <w:num w:numId="35">
    <w:abstractNumId w:val="1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2"/>
  </w:compat>
  <w:rsids>
    <w:rsidRoot w:val="00534361"/>
    <w:rsid w:val="00001547"/>
    <w:rsid w:val="00014125"/>
    <w:rsid w:val="00017530"/>
    <w:rsid w:val="0002040B"/>
    <w:rsid w:val="0003639A"/>
    <w:rsid w:val="0004492D"/>
    <w:rsid w:val="00060075"/>
    <w:rsid w:val="00060675"/>
    <w:rsid w:val="00063BF8"/>
    <w:rsid w:val="00076077"/>
    <w:rsid w:val="000846F0"/>
    <w:rsid w:val="00091D24"/>
    <w:rsid w:val="00093153"/>
    <w:rsid w:val="000A025E"/>
    <w:rsid w:val="000A78C0"/>
    <w:rsid w:val="000A7CCA"/>
    <w:rsid w:val="000B5FB5"/>
    <w:rsid w:val="000C7F65"/>
    <w:rsid w:val="000E3CDD"/>
    <w:rsid w:val="000E45D2"/>
    <w:rsid w:val="000E562D"/>
    <w:rsid w:val="000E5FA6"/>
    <w:rsid w:val="000F61FE"/>
    <w:rsid w:val="0010367B"/>
    <w:rsid w:val="00104EDF"/>
    <w:rsid w:val="00116979"/>
    <w:rsid w:val="0013456D"/>
    <w:rsid w:val="00144074"/>
    <w:rsid w:val="0015475A"/>
    <w:rsid w:val="00165534"/>
    <w:rsid w:val="00192D14"/>
    <w:rsid w:val="001B1A58"/>
    <w:rsid w:val="001B4CDA"/>
    <w:rsid w:val="001C14EB"/>
    <w:rsid w:val="001D659F"/>
    <w:rsid w:val="001E3C36"/>
    <w:rsid w:val="001F1936"/>
    <w:rsid w:val="001F2C33"/>
    <w:rsid w:val="001F613B"/>
    <w:rsid w:val="0020419B"/>
    <w:rsid w:val="0021082C"/>
    <w:rsid w:val="00211A4A"/>
    <w:rsid w:val="00213EBE"/>
    <w:rsid w:val="0021628E"/>
    <w:rsid w:val="00221772"/>
    <w:rsid w:val="00232C76"/>
    <w:rsid w:val="002369B1"/>
    <w:rsid w:val="002440A0"/>
    <w:rsid w:val="00253575"/>
    <w:rsid w:val="00260062"/>
    <w:rsid w:val="0026124F"/>
    <w:rsid w:val="00261772"/>
    <w:rsid w:val="00282534"/>
    <w:rsid w:val="002A0772"/>
    <w:rsid w:val="002A421E"/>
    <w:rsid w:val="002B2D09"/>
    <w:rsid w:val="002F2CA1"/>
    <w:rsid w:val="00304E7A"/>
    <w:rsid w:val="00315967"/>
    <w:rsid w:val="00320544"/>
    <w:rsid w:val="003359E6"/>
    <w:rsid w:val="0035118D"/>
    <w:rsid w:val="0036309D"/>
    <w:rsid w:val="00367257"/>
    <w:rsid w:val="00371435"/>
    <w:rsid w:val="00382B81"/>
    <w:rsid w:val="003B54AA"/>
    <w:rsid w:val="003C328B"/>
    <w:rsid w:val="003C4301"/>
    <w:rsid w:val="003C5322"/>
    <w:rsid w:val="003C6ECA"/>
    <w:rsid w:val="003D2635"/>
    <w:rsid w:val="003F690B"/>
    <w:rsid w:val="00401DA1"/>
    <w:rsid w:val="00412C04"/>
    <w:rsid w:val="00413F41"/>
    <w:rsid w:val="00414552"/>
    <w:rsid w:val="004272F9"/>
    <w:rsid w:val="00450D96"/>
    <w:rsid w:val="00450DB5"/>
    <w:rsid w:val="00452C32"/>
    <w:rsid w:val="004640A6"/>
    <w:rsid w:val="004652AC"/>
    <w:rsid w:val="0048276D"/>
    <w:rsid w:val="004A3A53"/>
    <w:rsid w:val="004A45E1"/>
    <w:rsid w:val="004B50A6"/>
    <w:rsid w:val="004C1B69"/>
    <w:rsid w:val="004D3149"/>
    <w:rsid w:val="004E60D7"/>
    <w:rsid w:val="004F5F8E"/>
    <w:rsid w:val="00514CF5"/>
    <w:rsid w:val="00516E4C"/>
    <w:rsid w:val="00523CD2"/>
    <w:rsid w:val="0052436C"/>
    <w:rsid w:val="00534361"/>
    <w:rsid w:val="00535663"/>
    <w:rsid w:val="0056156D"/>
    <w:rsid w:val="00581485"/>
    <w:rsid w:val="0058252A"/>
    <w:rsid w:val="00582C59"/>
    <w:rsid w:val="0058397A"/>
    <w:rsid w:val="0059382C"/>
    <w:rsid w:val="005A6A8B"/>
    <w:rsid w:val="005B16C8"/>
    <w:rsid w:val="005C0625"/>
    <w:rsid w:val="005D33B5"/>
    <w:rsid w:val="005F0A46"/>
    <w:rsid w:val="00602E0D"/>
    <w:rsid w:val="00610878"/>
    <w:rsid w:val="00610C32"/>
    <w:rsid w:val="00634ED7"/>
    <w:rsid w:val="006464B6"/>
    <w:rsid w:val="006478C3"/>
    <w:rsid w:val="006573FC"/>
    <w:rsid w:val="006660CC"/>
    <w:rsid w:val="00671050"/>
    <w:rsid w:val="00680261"/>
    <w:rsid w:val="006965DA"/>
    <w:rsid w:val="00697592"/>
    <w:rsid w:val="006A6BEE"/>
    <w:rsid w:val="006C17A8"/>
    <w:rsid w:val="006C37CF"/>
    <w:rsid w:val="006D15B0"/>
    <w:rsid w:val="006E55A0"/>
    <w:rsid w:val="006F1F2F"/>
    <w:rsid w:val="006F5154"/>
    <w:rsid w:val="0070368C"/>
    <w:rsid w:val="00703DC6"/>
    <w:rsid w:val="00706BD3"/>
    <w:rsid w:val="00715677"/>
    <w:rsid w:val="0073242D"/>
    <w:rsid w:val="00743D49"/>
    <w:rsid w:val="00746D2A"/>
    <w:rsid w:val="00772BC5"/>
    <w:rsid w:val="007965AE"/>
    <w:rsid w:val="007B1A6A"/>
    <w:rsid w:val="007C7772"/>
    <w:rsid w:val="007D5B35"/>
    <w:rsid w:val="007E0503"/>
    <w:rsid w:val="007E4DE1"/>
    <w:rsid w:val="00803A35"/>
    <w:rsid w:val="00805A1C"/>
    <w:rsid w:val="0081244F"/>
    <w:rsid w:val="00821BA5"/>
    <w:rsid w:val="00851CF7"/>
    <w:rsid w:val="008559EA"/>
    <w:rsid w:val="00856D1D"/>
    <w:rsid w:val="008745A4"/>
    <w:rsid w:val="00886849"/>
    <w:rsid w:val="008877B1"/>
    <w:rsid w:val="0089370F"/>
    <w:rsid w:val="00894A0E"/>
    <w:rsid w:val="008A0D56"/>
    <w:rsid w:val="008A64CF"/>
    <w:rsid w:val="008B1766"/>
    <w:rsid w:val="008C6A78"/>
    <w:rsid w:val="008C6D6D"/>
    <w:rsid w:val="008D128E"/>
    <w:rsid w:val="008D1CB7"/>
    <w:rsid w:val="008E6BD9"/>
    <w:rsid w:val="008F4782"/>
    <w:rsid w:val="0090083D"/>
    <w:rsid w:val="00900B30"/>
    <w:rsid w:val="00926EB9"/>
    <w:rsid w:val="009309D7"/>
    <w:rsid w:val="00941C7B"/>
    <w:rsid w:val="009741F8"/>
    <w:rsid w:val="009812FB"/>
    <w:rsid w:val="00985F1A"/>
    <w:rsid w:val="00986CCC"/>
    <w:rsid w:val="0099357B"/>
    <w:rsid w:val="0099614D"/>
    <w:rsid w:val="009A046D"/>
    <w:rsid w:val="009A08D7"/>
    <w:rsid w:val="009A1914"/>
    <w:rsid w:val="009C496A"/>
    <w:rsid w:val="009C5622"/>
    <w:rsid w:val="009D6058"/>
    <w:rsid w:val="009F1646"/>
    <w:rsid w:val="009F2A1D"/>
    <w:rsid w:val="00A27AF6"/>
    <w:rsid w:val="00A40B0A"/>
    <w:rsid w:val="00A433C7"/>
    <w:rsid w:val="00A448DA"/>
    <w:rsid w:val="00A6273C"/>
    <w:rsid w:val="00A71A64"/>
    <w:rsid w:val="00A71FBA"/>
    <w:rsid w:val="00A72431"/>
    <w:rsid w:val="00A83F98"/>
    <w:rsid w:val="00AA4DCB"/>
    <w:rsid w:val="00AB0ACA"/>
    <w:rsid w:val="00AB0F94"/>
    <w:rsid w:val="00AB7998"/>
    <w:rsid w:val="00AC51E5"/>
    <w:rsid w:val="00AE31E1"/>
    <w:rsid w:val="00AF0111"/>
    <w:rsid w:val="00B1416C"/>
    <w:rsid w:val="00B320D0"/>
    <w:rsid w:val="00B40774"/>
    <w:rsid w:val="00B44548"/>
    <w:rsid w:val="00B46D93"/>
    <w:rsid w:val="00B52FC4"/>
    <w:rsid w:val="00B55A65"/>
    <w:rsid w:val="00B61972"/>
    <w:rsid w:val="00B63561"/>
    <w:rsid w:val="00B656DB"/>
    <w:rsid w:val="00B66AEA"/>
    <w:rsid w:val="00B976E4"/>
    <w:rsid w:val="00BA1837"/>
    <w:rsid w:val="00BB2C31"/>
    <w:rsid w:val="00BC25E9"/>
    <w:rsid w:val="00BD2717"/>
    <w:rsid w:val="00BE0C02"/>
    <w:rsid w:val="00BE30AC"/>
    <w:rsid w:val="00C0649A"/>
    <w:rsid w:val="00C31A23"/>
    <w:rsid w:val="00C77D4C"/>
    <w:rsid w:val="00C84D5C"/>
    <w:rsid w:val="00C94DDA"/>
    <w:rsid w:val="00CA0490"/>
    <w:rsid w:val="00CA6C81"/>
    <w:rsid w:val="00CB4127"/>
    <w:rsid w:val="00CC3ED9"/>
    <w:rsid w:val="00CD485D"/>
    <w:rsid w:val="00D0010E"/>
    <w:rsid w:val="00D343B6"/>
    <w:rsid w:val="00D36DE1"/>
    <w:rsid w:val="00D41508"/>
    <w:rsid w:val="00D47036"/>
    <w:rsid w:val="00D758CB"/>
    <w:rsid w:val="00D822B6"/>
    <w:rsid w:val="00D83DFF"/>
    <w:rsid w:val="00D85EE4"/>
    <w:rsid w:val="00D9292A"/>
    <w:rsid w:val="00D9375A"/>
    <w:rsid w:val="00DB3174"/>
    <w:rsid w:val="00DB5368"/>
    <w:rsid w:val="00DC0902"/>
    <w:rsid w:val="00DF251D"/>
    <w:rsid w:val="00E00305"/>
    <w:rsid w:val="00E1005C"/>
    <w:rsid w:val="00E15769"/>
    <w:rsid w:val="00E170DE"/>
    <w:rsid w:val="00E4509A"/>
    <w:rsid w:val="00E651C1"/>
    <w:rsid w:val="00E66EA5"/>
    <w:rsid w:val="00E80D9F"/>
    <w:rsid w:val="00E83942"/>
    <w:rsid w:val="00E94D8E"/>
    <w:rsid w:val="00E967F9"/>
    <w:rsid w:val="00EB1579"/>
    <w:rsid w:val="00EB2232"/>
    <w:rsid w:val="00EC6ACA"/>
    <w:rsid w:val="00ED6977"/>
    <w:rsid w:val="00F07EFF"/>
    <w:rsid w:val="00F33406"/>
    <w:rsid w:val="00F35FA5"/>
    <w:rsid w:val="00F42641"/>
    <w:rsid w:val="00F61E3A"/>
    <w:rsid w:val="00F75585"/>
    <w:rsid w:val="00F8007E"/>
    <w:rsid w:val="00F8147E"/>
    <w:rsid w:val="00F83443"/>
    <w:rsid w:val="00F84BA7"/>
    <w:rsid w:val="00F91426"/>
    <w:rsid w:val="00F9529E"/>
    <w:rsid w:val="00FB2E66"/>
    <w:rsid w:val="00FC1A93"/>
    <w:rsid w:val="00FC4D7F"/>
    <w:rsid w:val="00FD0C36"/>
    <w:rsid w:val="00FD411B"/>
    <w:rsid w:val="00FF01D8"/>
    <w:rsid w:val="00FF27CE"/>
    <w:rsid w:val="00FF4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16D83"/>
  <w15:docId w15:val="{09A8FC19-B009-4FF3-88A9-742CF412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4361"/>
    <w:pPr>
      <w:overflowPunct w:val="0"/>
      <w:autoSpaceDE w:val="0"/>
      <w:autoSpaceDN w:val="0"/>
      <w:adjustRightInd w:val="0"/>
      <w:spacing w:after="90" w:line="340" w:lineRule="exact"/>
      <w:jc w:val="both"/>
      <w:textAlignment w:val="baseline"/>
    </w:pPr>
    <w:rPr>
      <w:rFonts w:asciiTheme="minorHAnsi" w:hAnsiTheme="minorHAnsi"/>
      <w:sz w:val="22"/>
    </w:rPr>
  </w:style>
  <w:style w:type="paragraph" w:styleId="Nadpis1">
    <w:name w:val="heading 1"/>
    <w:basedOn w:val="Normln"/>
    <w:next w:val="Normln"/>
    <w:link w:val="Nadpis1Char"/>
    <w:uiPriority w:val="9"/>
    <w:qFormat/>
    <w:rsid w:val="005C0625"/>
    <w:pPr>
      <w:keepNext/>
      <w:keepLines/>
      <w:numPr>
        <w:numId w:val="9"/>
      </w:numPr>
      <w:spacing w:before="360" w:after="12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5C0625"/>
    <w:pPr>
      <w:keepNext/>
      <w:keepLines/>
      <w:numPr>
        <w:ilvl w:val="1"/>
        <w:numId w:val="9"/>
      </w:numPr>
      <w:spacing w:before="240" w:after="12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5C0625"/>
    <w:pPr>
      <w:keepNext/>
      <w:keepLines/>
      <w:numPr>
        <w:ilvl w:val="2"/>
        <w:numId w:val="9"/>
      </w:numPr>
      <w:spacing w:before="180"/>
      <w:outlineLvl w:val="2"/>
    </w:pPr>
    <w:rPr>
      <w:rFonts w:eastAsiaTheme="majorEastAsia" w:cstheme="majorBidi"/>
      <w:b/>
      <w:color w:val="000000" w:themeColor="text1"/>
      <w:szCs w:val="24"/>
    </w:rPr>
  </w:style>
  <w:style w:type="paragraph" w:styleId="Nadpis4">
    <w:name w:val="heading 4"/>
    <w:basedOn w:val="Normln"/>
    <w:next w:val="Normln"/>
    <w:link w:val="Nadpis4Char"/>
    <w:uiPriority w:val="9"/>
    <w:unhideWhenUsed/>
    <w:qFormat/>
    <w:rsid w:val="005C0625"/>
    <w:pPr>
      <w:keepNext/>
      <w:keepLines/>
      <w:numPr>
        <w:ilvl w:val="3"/>
        <w:numId w:val="9"/>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5C0625"/>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C0625"/>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C0625"/>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C0625"/>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C0625"/>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5"/>
    <w:qFormat/>
    <w:rsid w:val="00534361"/>
    <w:pPr>
      <w:ind w:left="720"/>
      <w:contextualSpacing/>
    </w:pPr>
  </w:style>
  <w:style w:type="paragraph" w:styleId="Textpoznpodarou">
    <w:name w:val="footnote text"/>
    <w:basedOn w:val="Normln"/>
    <w:link w:val="TextpoznpodarouChar"/>
    <w:uiPriority w:val="99"/>
    <w:semiHidden/>
    <w:unhideWhenUsed/>
    <w:rsid w:val="00534361"/>
    <w:pPr>
      <w:spacing w:after="0" w:line="240" w:lineRule="auto"/>
    </w:pPr>
    <w:rPr>
      <w:sz w:val="20"/>
    </w:rPr>
  </w:style>
  <w:style w:type="character" w:customStyle="1" w:styleId="TextpoznpodarouChar">
    <w:name w:val="Text pozn. pod čarou Char"/>
    <w:basedOn w:val="Standardnpsmoodstavce"/>
    <w:link w:val="Textpoznpodarou"/>
    <w:uiPriority w:val="99"/>
    <w:semiHidden/>
    <w:rsid w:val="00534361"/>
    <w:rPr>
      <w:rFonts w:asciiTheme="minorHAnsi" w:hAnsiTheme="minorHAnsi"/>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basedOn w:val="Standardnpsmoodstavce"/>
    <w:uiPriority w:val="99"/>
    <w:unhideWhenUsed/>
    <w:rsid w:val="00534361"/>
    <w:rPr>
      <w:vertAlign w:val="superscript"/>
    </w:rPr>
  </w:style>
  <w:style w:type="character" w:styleId="Hypertextovodkaz">
    <w:name w:val="Hyperlink"/>
    <w:basedOn w:val="Standardnpsmoodstavce"/>
    <w:uiPriority w:val="99"/>
    <w:unhideWhenUsed/>
    <w:rsid w:val="00534361"/>
    <w:rPr>
      <w:color w:val="0563C1" w:themeColor="hyperlink"/>
      <w:u w:val="single"/>
    </w:rPr>
  </w:style>
  <w:style w:type="character" w:customStyle="1" w:styleId="Nadpis1Char">
    <w:name w:val="Nadpis 1 Char"/>
    <w:basedOn w:val="Standardnpsmoodstavce"/>
    <w:link w:val="Nadpis1"/>
    <w:uiPriority w:val="9"/>
    <w:rsid w:val="005C0625"/>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5C06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5C0625"/>
    <w:rPr>
      <w:rFonts w:asciiTheme="minorHAnsi" w:eastAsiaTheme="majorEastAsia" w:hAnsiTheme="minorHAnsi" w:cstheme="majorBidi"/>
      <w:b/>
      <w:color w:val="000000" w:themeColor="text1"/>
      <w:sz w:val="22"/>
      <w:szCs w:val="24"/>
    </w:rPr>
  </w:style>
  <w:style w:type="character" w:customStyle="1" w:styleId="Nadpis4Char">
    <w:name w:val="Nadpis 4 Char"/>
    <w:basedOn w:val="Standardnpsmoodstavce"/>
    <w:link w:val="Nadpis4"/>
    <w:uiPriority w:val="9"/>
    <w:rsid w:val="005C0625"/>
    <w:rPr>
      <w:rFonts w:asciiTheme="majorHAnsi" w:eastAsiaTheme="majorEastAsia" w:hAnsiTheme="majorHAnsi" w:cstheme="majorBidi"/>
      <w:i/>
      <w:iCs/>
      <w:color w:val="2E74B5" w:themeColor="accent1" w:themeShade="BF"/>
      <w:sz w:val="22"/>
    </w:rPr>
  </w:style>
  <w:style w:type="character" w:customStyle="1" w:styleId="Nadpis5Char">
    <w:name w:val="Nadpis 5 Char"/>
    <w:basedOn w:val="Standardnpsmoodstavce"/>
    <w:link w:val="Nadpis5"/>
    <w:uiPriority w:val="9"/>
    <w:rsid w:val="005C0625"/>
    <w:rPr>
      <w:rFonts w:asciiTheme="majorHAnsi" w:eastAsiaTheme="majorEastAsia" w:hAnsiTheme="majorHAnsi" w:cstheme="majorBidi"/>
      <w:color w:val="2E74B5" w:themeColor="accent1" w:themeShade="BF"/>
      <w:sz w:val="22"/>
    </w:rPr>
  </w:style>
  <w:style w:type="character" w:customStyle="1" w:styleId="Nadpis6Char">
    <w:name w:val="Nadpis 6 Char"/>
    <w:basedOn w:val="Standardnpsmoodstavce"/>
    <w:link w:val="Nadpis6"/>
    <w:uiPriority w:val="9"/>
    <w:semiHidden/>
    <w:rsid w:val="005C0625"/>
    <w:rPr>
      <w:rFonts w:asciiTheme="majorHAnsi" w:eastAsiaTheme="majorEastAsia" w:hAnsiTheme="majorHAnsi" w:cstheme="majorBidi"/>
      <w:color w:val="1F4D78" w:themeColor="accent1" w:themeShade="7F"/>
      <w:sz w:val="22"/>
    </w:rPr>
  </w:style>
  <w:style w:type="character" w:customStyle="1" w:styleId="Nadpis7Char">
    <w:name w:val="Nadpis 7 Char"/>
    <w:basedOn w:val="Standardnpsmoodstavce"/>
    <w:link w:val="Nadpis7"/>
    <w:uiPriority w:val="9"/>
    <w:semiHidden/>
    <w:rsid w:val="005C0625"/>
    <w:rPr>
      <w:rFonts w:asciiTheme="majorHAnsi" w:eastAsiaTheme="majorEastAsia" w:hAnsiTheme="majorHAnsi" w:cstheme="majorBidi"/>
      <w:i/>
      <w:iCs/>
      <w:color w:val="1F4D78" w:themeColor="accent1" w:themeShade="7F"/>
      <w:sz w:val="22"/>
    </w:rPr>
  </w:style>
  <w:style w:type="character" w:customStyle="1" w:styleId="Nadpis8Char">
    <w:name w:val="Nadpis 8 Char"/>
    <w:basedOn w:val="Standardnpsmoodstavce"/>
    <w:link w:val="Nadpis8"/>
    <w:uiPriority w:val="9"/>
    <w:semiHidden/>
    <w:rsid w:val="005C062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C0625"/>
    <w:rPr>
      <w:rFonts w:asciiTheme="majorHAnsi" w:eastAsiaTheme="majorEastAsia" w:hAnsiTheme="majorHAnsi" w:cstheme="majorBidi"/>
      <w:i/>
      <w:iCs/>
      <w:color w:val="272727" w:themeColor="text1" w:themeTint="D8"/>
      <w:sz w:val="21"/>
      <w:szCs w:val="21"/>
    </w:rPr>
  </w:style>
  <w:style w:type="character" w:styleId="Sledovanodkaz">
    <w:name w:val="FollowedHyperlink"/>
    <w:basedOn w:val="Standardnpsmoodstavce"/>
    <w:uiPriority w:val="99"/>
    <w:semiHidden/>
    <w:unhideWhenUsed/>
    <w:rsid w:val="002F2CA1"/>
    <w:rPr>
      <w:color w:val="954F72" w:themeColor="followedHyperlink"/>
      <w:u w:val="single"/>
    </w:rPr>
  </w:style>
  <w:style w:type="character" w:styleId="Odkaznakoment">
    <w:name w:val="annotation reference"/>
    <w:basedOn w:val="Standardnpsmoodstavce"/>
    <w:uiPriority w:val="99"/>
    <w:semiHidden/>
    <w:unhideWhenUsed/>
    <w:rsid w:val="004272F9"/>
    <w:rPr>
      <w:sz w:val="16"/>
      <w:szCs w:val="16"/>
    </w:rPr>
  </w:style>
  <w:style w:type="paragraph" w:styleId="Textkomente">
    <w:name w:val="annotation text"/>
    <w:basedOn w:val="Normln"/>
    <w:link w:val="TextkomenteChar"/>
    <w:uiPriority w:val="99"/>
    <w:semiHidden/>
    <w:unhideWhenUsed/>
    <w:rsid w:val="004272F9"/>
    <w:pPr>
      <w:spacing w:line="240" w:lineRule="auto"/>
    </w:pPr>
    <w:rPr>
      <w:sz w:val="20"/>
    </w:rPr>
  </w:style>
  <w:style w:type="character" w:customStyle="1" w:styleId="TextkomenteChar">
    <w:name w:val="Text komentáře Char"/>
    <w:basedOn w:val="Standardnpsmoodstavce"/>
    <w:link w:val="Textkomente"/>
    <w:uiPriority w:val="99"/>
    <w:semiHidden/>
    <w:rsid w:val="004272F9"/>
    <w:rPr>
      <w:rFonts w:asciiTheme="minorHAnsi" w:hAnsiTheme="minorHAnsi"/>
    </w:rPr>
  </w:style>
  <w:style w:type="paragraph" w:styleId="Pedmtkomente">
    <w:name w:val="annotation subject"/>
    <w:basedOn w:val="Textkomente"/>
    <w:next w:val="Textkomente"/>
    <w:link w:val="PedmtkomenteChar"/>
    <w:uiPriority w:val="99"/>
    <w:semiHidden/>
    <w:unhideWhenUsed/>
    <w:rsid w:val="004272F9"/>
    <w:rPr>
      <w:b/>
      <w:bCs/>
    </w:rPr>
  </w:style>
  <w:style w:type="character" w:customStyle="1" w:styleId="PedmtkomenteChar">
    <w:name w:val="Předmět komentáře Char"/>
    <w:basedOn w:val="TextkomenteChar"/>
    <w:link w:val="Pedmtkomente"/>
    <w:uiPriority w:val="99"/>
    <w:semiHidden/>
    <w:rsid w:val="004272F9"/>
    <w:rPr>
      <w:rFonts w:asciiTheme="minorHAnsi" w:hAnsiTheme="minorHAnsi"/>
      <w:b/>
      <w:bCs/>
    </w:rPr>
  </w:style>
  <w:style w:type="paragraph" w:styleId="Textbubliny">
    <w:name w:val="Balloon Text"/>
    <w:basedOn w:val="Normln"/>
    <w:link w:val="TextbublinyChar"/>
    <w:uiPriority w:val="99"/>
    <w:semiHidden/>
    <w:unhideWhenUsed/>
    <w:rsid w:val="004272F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72F9"/>
    <w:rPr>
      <w:rFonts w:ascii="Segoe UI" w:hAnsi="Segoe UI" w:cs="Segoe UI"/>
      <w:sz w:val="18"/>
      <w:szCs w:val="18"/>
    </w:rPr>
  </w:style>
  <w:style w:type="paragraph" w:customStyle="1" w:styleId="Default">
    <w:name w:val="Default"/>
    <w:rsid w:val="009C496A"/>
    <w:pPr>
      <w:autoSpaceDE w:val="0"/>
      <w:autoSpaceDN w:val="0"/>
      <w:adjustRightInd w:val="0"/>
    </w:pPr>
    <w:rPr>
      <w:color w:val="000000"/>
      <w:sz w:val="24"/>
      <w:szCs w:val="24"/>
    </w:rPr>
  </w:style>
  <w:style w:type="numbering" w:customStyle="1" w:styleId="Styl4">
    <w:name w:val="Styl4"/>
    <w:uiPriority w:val="99"/>
    <w:rsid w:val="0015475A"/>
    <w:pPr>
      <w:numPr>
        <w:numId w:val="12"/>
      </w:numPr>
    </w:pPr>
  </w:style>
  <w:style w:type="table" w:styleId="Mkatabulky">
    <w:name w:val="Table Grid"/>
    <w:basedOn w:val="Normlntabulka"/>
    <w:uiPriority w:val="59"/>
    <w:rsid w:val="00154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qFormat/>
    <w:rsid w:val="0015475A"/>
    <w:pPr>
      <w:overflowPunct/>
      <w:autoSpaceDE/>
      <w:autoSpaceDN/>
      <w:adjustRightInd/>
      <w:spacing w:before="120" w:after="120" w:line="276" w:lineRule="auto"/>
      <w:textAlignment w:val="auto"/>
    </w:pPr>
    <w:rPr>
      <w:rFonts w:ascii="Arial" w:hAnsi="Arial" w:cs="Arial"/>
      <w:sz w:val="20"/>
    </w:rPr>
  </w:style>
  <w:style w:type="paragraph" w:styleId="Zhlav">
    <w:name w:val="header"/>
    <w:basedOn w:val="Normln"/>
    <w:link w:val="ZhlavChar"/>
    <w:uiPriority w:val="99"/>
    <w:unhideWhenUsed/>
    <w:rsid w:val="008A0D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0D56"/>
    <w:rPr>
      <w:rFonts w:asciiTheme="minorHAnsi" w:hAnsiTheme="minorHAnsi"/>
      <w:sz w:val="22"/>
    </w:rPr>
  </w:style>
  <w:style w:type="paragraph" w:styleId="Zpat">
    <w:name w:val="footer"/>
    <w:basedOn w:val="Normln"/>
    <w:link w:val="ZpatChar"/>
    <w:uiPriority w:val="99"/>
    <w:unhideWhenUsed/>
    <w:rsid w:val="008A0D56"/>
    <w:pPr>
      <w:tabs>
        <w:tab w:val="center" w:pos="4536"/>
        <w:tab w:val="right" w:pos="9072"/>
      </w:tabs>
      <w:spacing w:after="0" w:line="240" w:lineRule="auto"/>
    </w:pPr>
  </w:style>
  <w:style w:type="character" w:customStyle="1" w:styleId="ZpatChar">
    <w:name w:val="Zápatí Char"/>
    <w:basedOn w:val="Standardnpsmoodstavce"/>
    <w:link w:val="Zpat"/>
    <w:uiPriority w:val="99"/>
    <w:rsid w:val="008A0D56"/>
    <w:rPr>
      <w:rFonts w:asciiTheme="minorHAnsi" w:hAnsiTheme="minorHAnsi"/>
      <w:sz w:val="22"/>
    </w:rPr>
  </w:style>
  <w:style w:type="character" w:customStyle="1" w:styleId="UnresolvedMention">
    <w:name w:val="Unresolved Mention"/>
    <w:basedOn w:val="Standardnpsmoodstavce"/>
    <w:uiPriority w:val="99"/>
    <w:semiHidden/>
    <w:unhideWhenUsed/>
    <w:rsid w:val="00367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8382">
      <w:bodyDiv w:val="1"/>
      <w:marLeft w:val="0"/>
      <w:marRight w:val="0"/>
      <w:marTop w:val="0"/>
      <w:marBottom w:val="0"/>
      <w:divBdr>
        <w:top w:val="none" w:sz="0" w:space="0" w:color="auto"/>
        <w:left w:val="none" w:sz="0" w:space="0" w:color="auto"/>
        <w:bottom w:val="none" w:sz="0" w:space="0" w:color="auto"/>
        <w:right w:val="none" w:sz="0" w:space="0" w:color="auto"/>
      </w:divBdr>
    </w:div>
    <w:div w:id="38256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gional_policy/en/information/publications/studies/2018/new-assessment-of-esif-administrative-costs-and-burden"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FA8CC-EF14-483B-AC84-89A0A5734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4ACE8679.dotm</Template>
  <TotalTime>3399</TotalTime>
  <Pages>4</Pages>
  <Words>1167</Words>
  <Characters>6888</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Ptáčník Martin</dc:creator>
  <cp:lastModifiedBy>Václav Špetlík</cp:lastModifiedBy>
  <cp:revision>141</cp:revision>
  <dcterms:created xsi:type="dcterms:W3CDTF">2019-02-06T12:48:00Z</dcterms:created>
  <dcterms:modified xsi:type="dcterms:W3CDTF">2019-11-19T07:54:00Z</dcterms:modified>
</cp:coreProperties>
</file>