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382DF8">
        <w:rPr>
          <w:rFonts w:ascii="Times New Roman" w:hAnsi="Times New Roman" w:cs="Times New Roman"/>
          <w:b/>
          <w:sz w:val="28"/>
          <w:szCs w:val="28"/>
        </w:rPr>
        <w:t xml:space="preserve"> 89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382DF8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Unikont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Group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Služeb 609, 108 00 Praha 10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Radkem Bukovským, jednatelem společnosti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41193113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CZ</w:t>
      </w:r>
      <w:r w:rsidR="00382DF8">
        <w:rPr>
          <w:rFonts w:ascii="Times New Roman" w:hAnsi="Times New Roman" w:cs="Times New Roman"/>
          <w:sz w:val="24"/>
          <w:szCs w:val="24"/>
        </w:rPr>
        <w:t>41193113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2DF8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382DF8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382DF8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2202320001/5500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BE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382DF8">
        <w:rPr>
          <w:rFonts w:ascii="Times New Roman" w:hAnsi="Times New Roman" w:cs="Times New Roman"/>
          <w:sz w:val="24"/>
          <w:szCs w:val="24"/>
        </w:rPr>
        <w:t>kupní smlouvy</w:t>
      </w:r>
      <w:r w:rsidRPr="002836BE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>
        <w:rPr>
          <w:rFonts w:ascii="Times New Roman" w:hAnsi="Times New Roman" w:cs="Times New Roman"/>
          <w:sz w:val="24"/>
          <w:szCs w:val="24"/>
        </w:rPr>
        <w:t>/046/18</w:t>
      </w:r>
      <w:r w:rsidRPr="002836BE">
        <w:rPr>
          <w:rFonts w:ascii="Times New Roman" w:hAnsi="Times New Roman" w:cs="Times New Roman"/>
          <w:sz w:val="24"/>
          <w:szCs w:val="24"/>
        </w:rPr>
        <w:t xml:space="preserve"> dne </w:t>
      </w:r>
      <w:r w:rsidR="00382DF8">
        <w:rPr>
          <w:rFonts w:ascii="Times New Roman" w:hAnsi="Times New Roman" w:cs="Times New Roman"/>
          <w:sz w:val="24"/>
          <w:szCs w:val="24"/>
        </w:rPr>
        <w:br/>
        <w:t xml:space="preserve">17. 4. 2018 na základě které se prodávající zavazuje dodat kupujícímu použitý stroj HAKO </w:t>
      </w:r>
      <w:proofErr w:type="spellStart"/>
      <w:r w:rsidR="00382DF8">
        <w:rPr>
          <w:rFonts w:ascii="Times New Roman" w:hAnsi="Times New Roman" w:cs="Times New Roman"/>
          <w:sz w:val="24"/>
          <w:szCs w:val="24"/>
        </w:rPr>
        <w:t>Citymaster</w:t>
      </w:r>
      <w:proofErr w:type="spellEnd"/>
      <w:r w:rsidR="00382DF8">
        <w:rPr>
          <w:rFonts w:ascii="Times New Roman" w:hAnsi="Times New Roman" w:cs="Times New Roman"/>
          <w:sz w:val="24"/>
          <w:szCs w:val="24"/>
        </w:rPr>
        <w:t xml:space="preserve"> 2 000. </w:t>
      </w:r>
    </w:p>
    <w:p w:rsidR="007F4DBC" w:rsidRPr="002836BE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BE">
        <w:rPr>
          <w:rFonts w:ascii="Times New Roman" w:hAnsi="Times New Roman" w:cs="Times New Roman"/>
          <w:sz w:val="24"/>
          <w:szCs w:val="24"/>
        </w:rPr>
        <w:t xml:space="preserve">Smlouva je uzavřena na dobu </w:t>
      </w:r>
      <w:r w:rsidR="00382DF8">
        <w:rPr>
          <w:rFonts w:ascii="Times New Roman" w:hAnsi="Times New Roman" w:cs="Times New Roman"/>
          <w:sz w:val="24"/>
          <w:szCs w:val="24"/>
        </w:rPr>
        <w:t>určitou, kdy prodávající je povinen dodat zboží kupujícímu do místa dodání zboží nejpozději do 14 dnů od podpisu smlouvy, tj. od 17. 4. 2018.</w:t>
      </w:r>
      <w:r w:rsidRPr="002836BE">
        <w:rPr>
          <w:rFonts w:ascii="Times New Roman" w:hAnsi="Times New Roman" w:cs="Times New Roman"/>
          <w:sz w:val="24"/>
          <w:szCs w:val="24"/>
        </w:rPr>
        <w:t xml:space="preserve"> </w:t>
      </w:r>
      <w:r w:rsidR="00382DF8">
        <w:rPr>
          <w:rFonts w:ascii="Times New Roman" w:hAnsi="Times New Roman" w:cs="Times New Roman"/>
          <w:sz w:val="24"/>
          <w:szCs w:val="24"/>
        </w:rPr>
        <w:t>Kupní smlouva</w:t>
      </w:r>
      <w:r w:rsidRPr="002836BE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382DF8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provedly smluvnímu partnerovi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s.r.o.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dílo. K úhradě těchto služeb ze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s.r.o.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dílo.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382DF8">
        <w:rPr>
          <w:rFonts w:ascii="Times New Roman" w:hAnsi="Times New Roman" w:cs="Times New Roman"/>
          <w:sz w:val="24"/>
          <w:szCs w:val="24"/>
        </w:rPr>
        <w:t>Technickými službami města Liberce a.s.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proofErr w:type="spellStart"/>
      <w:r w:rsidR="00382DF8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382DF8">
        <w:rPr>
          <w:rFonts w:ascii="Times New Roman" w:hAnsi="Times New Roman" w:cs="Times New Roman"/>
          <w:sz w:val="24"/>
          <w:szCs w:val="24"/>
        </w:rPr>
        <w:t xml:space="preserve"> Group s.r.o</w:t>
      </w:r>
      <w:r>
        <w:rPr>
          <w:rFonts w:ascii="Times New Roman" w:hAnsi="Times New Roman" w:cs="Times New Roman"/>
          <w:sz w:val="24"/>
          <w:szCs w:val="24"/>
        </w:rPr>
        <w:t>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Liberce </w:t>
      </w:r>
      <w:proofErr w:type="gramStart"/>
      <w:r>
        <w:rPr>
          <w:rFonts w:ascii="Times New Roman" w:hAnsi="Times New Roman" w:cs="Times New Roman"/>
          <w:sz w:val="24"/>
          <w:szCs w:val="24"/>
        </w:rPr>
        <w:t>a.s..</w:t>
      </w:r>
      <w:proofErr w:type="gramEnd"/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E6044F">
        <w:rPr>
          <w:rFonts w:ascii="Times New Roman" w:hAnsi="Times New Roman" w:cs="Times New Roman"/>
          <w:sz w:val="24"/>
          <w:szCs w:val="24"/>
        </w:rPr>
        <w:t>11. 11. 2019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proofErr w:type="spellStart"/>
      <w:r w:rsidR="00E6044F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E6044F">
        <w:rPr>
          <w:rFonts w:ascii="Times New Roman" w:hAnsi="Times New Roman" w:cs="Times New Roman"/>
          <w:sz w:val="24"/>
          <w:szCs w:val="24"/>
        </w:rPr>
        <w:t xml:space="preserve"> Group s.r.o.</w:t>
      </w:r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382DF8"/>
    <w:rsid w:val="007F4DBC"/>
    <w:rsid w:val="00E6044F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59C8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3</cp:revision>
  <dcterms:created xsi:type="dcterms:W3CDTF">2019-11-07T07:26:00Z</dcterms:created>
  <dcterms:modified xsi:type="dcterms:W3CDTF">2019-11-07T12:19:00Z</dcterms:modified>
</cp:coreProperties>
</file>