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04" w:rsidRDefault="00716B04" w:rsidP="00716B04">
      <w:pPr>
        <w:spacing w:before="240" w:after="120"/>
        <w:jc w:val="center"/>
        <w:rPr>
          <w:b/>
          <w:color w:val="000000"/>
        </w:rPr>
      </w:pPr>
      <w:r>
        <w:rPr>
          <w:b/>
          <w:color w:val="000000"/>
        </w:rPr>
        <w:t>Údržba programového vybavení</w:t>
      </w:r>
    </w:p>
    <w:p w:rsidR="00716B04" w:rsidRDefault="00716B04" w:rsidP="00716B04">
      <w:pPr>
        <w:spacing w:before="240" w:after="240"/>
        <w:rPr>
          <w:b/>
          <w:color w:val="000000"/>
        </w:rPr>
      </w:pPr>
      <w:r>
        <w:rPr>
          <w:b/>
          <w:color w:val="000000"/>
        </w:rPr>
        <w:t>1. Výklad pojmů</w:t>
      </w:r>
    </w:p>
    <w:p w:rsidR="00716B04" w:rsidRDefault="00716B04" w:rsidP="00716B04">
      <w:pPr>
        <w:rPr>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31"/>
        <w:gridCol w:w="5963"/>
      </w:tblGrid>
      <w:tr w:rsidR="00716B04" w:rsidTr="00716B04">
        <w:trPr>
          <w:trHeight w:val="454"/>
          <w:jc w:val="center"/>
        </w:trPr>
        <w:tc>
          <w:tcPr>
            <w:tcW w:w="3831"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716B04" w:rsidRDefault="00716B04">
            <w:pPr>
              <w:jc w:val="center"/>
              <w:rPr>
                <w:b/>
                <w:color w:val="000000"/>
                <w:sz w:val="20"/>
              </w:rPr>
            </w:pPr>
            <w:r>
              <w:rPr>
                <w:b/>
                <w:color w:val="000000"/>
                <w:sz w:val="20"/>
              </w:rPr>
              <w:t>Pojem</w:t>
            </w:r>
          </w:p>
        </w:tc>
        <w:tc>
          <w:tcPr>
            <w:tcW w:w="5963"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716B04" w:rsidRDefault="00716B04">
            <w:pPr>
              <w:jc w:val="center"/>
              <w:rPr>
                <w:b/>
                <w:color w:val="000000"/>
                <w:sz w:val="20"/>
              </w:rPr>
            </w:pPr>
            <w:r>
              <w:rPr>
                <w:b/>
                <w:color w:val="000000"/>
                <w:sz w:val="20"/>
              </w:rPr>
              <w:t>Význam</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rPr>
            </w:pPr>
            <w:r>
              <w:rPr>
                <w:i/>
                <w:color w:val="000000"/>
              </w:rPr>
              <w:t>PIS</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komplexní systém pro vedení personální a platové agendy dodaný Poskytovatelem</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SW</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všechny jednotlivé programové produkty/moduly PIS dodané Poskytovatelem</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Aktualizovaná verze SW</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poslední verze SW určená Poskytovatelem k distribuci</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Upgrade</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poskytnutí nové verze SW, která zpravidla řeší dodání dalších/nových funkcionalit</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Update</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vyšší verze SW, která zpravidla řeší větší množství problémů současně</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rPr>
            </w:pPr>
            <w:r>
              <w:rPr>
                <w:i/>
                <w:color w:val="000000"/>
              </w:rPr>
              <w:t>HW</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 xml:space="preserve">fyzicky existující prostředky Objednatele, na kterých je provozován </w:t>
            </w:r>
            <w:proofErr w:type="gramStart"/>
            <w:r>
              <w:rPr>
                <w:color w:val="000000"/>
                <w:sz w:val="20"/>
              </w:rPr>
              <w:t>PIS</w:t>
            </w:r>
            <w:proofErr w:type="gramEnd"/>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Havárie</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 xml:space="preserve">stav IS, který neumožňuje provoz základních funkcí systému, znemožňuje jeho využívání nebo závažným způsobem porušuje bezpečnostní požadavky </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Závada</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takové chování SW, které je odlišné od vlastností uvedených v oficiální dokumentaci k SW, případně nemožnost provozovat SW podle dokumentovaných vlastností a postupů (stav, který umožňuje provoz základních funkcí s omezením)</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iCs/>
                <w:color w:val="000000"/>
                <w:sz w:val="20"/>
              </w:rPr>
            </w:pPr>
            <w:r>
              <w:rPr>
                <w:i/>
                <w:color w:val="000000"/>
                <w:sz w:val="20"/>
              </w:rPr>
              <w:t>Maximální doba odezvy</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doba, ve které musí Poskytovatel reagovat na nahlášení incidentu, včetně návrhu dalšího postupu a specifikace nutné součinnosti ze strany Objednatele</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Limitní doba zahájení servisního zásahu</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doba, ve které musí být zahájeny řízené činnosti vedoucí k odstranění incidentu (tj. vedoucí ke zprovoznění systému); je počítána od doby odezvy</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Limitní doba odstranění incidentu</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doba, ve které dojde buď k úplnému odstranění incidentu, anebo alespoň ke snížení jeho závažnosti; je počítána od doby odezvy</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Doba měsíční uzávěrky platů</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období od 1. do 10. dne aktuálního měsíce</w:t>
            </w:r>
          </w:p>
        </w:tc>
      </w:tr>
      <w:tr w:rsidR="00716B04" w:rsidTr="00716B04">
        <w:trPr>
          <w:trHeight w:val="340"/>
          <w:jc w:val="center"/>
        </w:trPr>
        <w:tc>
          <w:tcPr>
            <w:tcW w:w="3831" w:type="dxa"/>
            <w:tcBorders>
              <w:top w:val="single" w:sz="4" w:space="0" w:color="auto"/>
              <w:left w:val="single" w:sz="4" w:space="0" w:color="auto"/>
              <w:bottom w:val="single" w:sz="4" w:space="0" w:color="auto"/>
              <w:right w:val="single" w:sz="4" w:space="0" w:color="auto"/>
            </w:tcBorders>
            <w:vAlign w:val="center"/>
            <w:hideMark/>
          </w:tcPr>
          <w:p w:rsidR="00716B04" w:rsidRDefault="00716B04">
            <w:pPr>
              <w:ind w:left="209"/>
              <w:jc w:val="left"/>
              <w:rPr>
                <w:i/>
                <w:color w:val="000000"/>
                <w:sz w:val="20"/>
              </w:rPr>
            </w:pPr>
            <w:r>
              <w:rPr>
                <w:i/>
                <w:color w:val="000000"/>
                <w:sz w:val="20"/>
              </w:rPr>
              <w:t>Požadavek na službu</w:t>
            </w:r>
          </w:p>
        </w:tc>
        <w:tc>
          <w:tcPr>
            <w:tcW w:w="596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jc w:val="left"/>
              <w:rPr>
                <w:color w:val="000000"/>
                <w:sz w:val="20"/>
              </w:rPr>
            </w:pPr>
            <w:r>
              <w:rPr>
                <w:color w:val="000000"/>
                <w:sz w:val="20"/>
              </w:rPr>
              <w:t>požadavek, který si vyžádá práci zaměstnance Poskytovatele na úpravu funkce</w:t>
            </w:r>
          </w:p>
        </w:tc>
      </w:tr>
    </w:tbl>
    <w:p w:rsidR="00716B04" w:rsidRDefault="00716B04" w:rsidP="00716B04">
      <w:pPr>
        <w:rPr>
          <w:color w:val="000000"/>
        </w:rPr>
      </w:pPr>
    </w:p>
    <w:p w:rsidR="00716B04" w:rsidRDefault="00716B04" w:rsidP="00716B04">
      <w:pPr>
        <w:spacing w:before="240" w:after="240"/>
        <w:rPr>
          <w:b/>
          <w:color w:val="000000"/>
        </w:rPr>
      </w:pPr>
      <w:r>
        <w:rPr>
          <w:b/>
          <w:bCs/>
          <w:color w:val="000000"/>
        </w:rPr>
        <w:t>2. Podmínky pro poskytování údržby</w:t>
      </w:r>
    </w:p>
    <w:p w:rsidR="00716B04" w:rsidRDefault="00716B04" w:rsidP="00716B04">
      <w:pPr>
        <w:spacing w:after="120"/>
        <w:rPr>
          <w:color w:val="000000"/>
        </w:rPr>
      </w:pPr>
      <w:r>
        <w:rPr>
          <w:color w:val="000000"/>
        </w:rPr>
        <w:t>Pro řádné poskytování údržby programového vybavení ze strany Poskytovatele musí být splněny základní podmínky:</w:t>
      </w:r>
    </w:p>
    <w:p w:rsidR="00716B04" w:rsidRDefault="00716B04" w:rsidP="00716B04">
      <w:pPr>
        <w:numPr>
          <w:ilvl w:val="0"/>
          <w:numId w:val="1"/>
        </w:numPr>
        <w:ind w:left="709" w:hanging="349"/>
        <w:rPr>
          <w:color w:val="000000"/>
        </w:rPr>
      </w:pPr>
      <w:r>
        <w:rPr>
          <w:color w:val="000000"/>
        </w:rPr>
        <w:t>Objednatel bude spravovat PIS v souladu s předanou dokumentací.</w:t>
      </w:r>
    </w:p>
    <w:p w:rsidR="00716B04" w:rsidRDefault="00716B04" w:rsidP="00716B04">
      <w:pPr>
        <w:numPr>
          <w:ilvl w:val="0"/>
          <w:numId w:val="1"/>
        </w:numPr>
        <w:ind w:left="709" w:hanging="349"/>
        <w:rPr>
          <w:color w:val="000000"/>
        </w:rPr>
      </w:pPr>
      <w:r>
        <w:rPr>
          <w:color w:val="000000"/>
        </w:rPr>
        <w:t xml:space="preserve">Objednatel umožní vzdálený přístup k </w:t>
      </w:r>
      <w:proofErr w:type="gramStart"/>
      <w:r>
        <w:rPr>
          <w:color w:val="000000"/>
        </w:rPr>
        <w:t>PIS</w:t>
      </w:r>
      <w:proofErr w:type="gramEnd"/>
      <w:r>
        <w:rPr>
          <w:color w:val="000000"/>
        </w:rPr>
        <w:t>, vždy pro konkrétní případ na žádost Poskytovatele.</w:t>
      </w:r>
    </w:p>
    <w:p w:rsidR="00716B04" w:rsidRDefault="00716B04" w:rsidP="00716B04">
      <w:pPr>
        <w:numPr>
          <w:ilvl w:val="0"/>
          <w:numId w:val="1"/>
        </w:numPr>
        <w:ind w:left="709" w:hanging="349"/>
        <w:rPr>
          <w:color w:val="000000"/>
        </w:rPr>
      </w:pPr>
      <w:r>
        <w:rPr>
          <w:color w:val="000000"/>
        </w:rPr>
        <w:t>Objednatel poskytne Poskytovateli na své náklady potřebnou podporu při poskytování služeb, zejména součinnost svých zaměstnanců.</w:t>
      </w:r>
    </w:p>
    <w:p w:rsidR="00716B04" w:rsidRDefault="00716B04" w:rsidP="00716B04">
      <w:pPr>
        <w:numPr>
          <w:ilvl w:val="0"/>
          <w:numId w:val="1"/>
        </w:numPr>
        <w:ind w:left="709" w:hanging="349"/>
        <w:rPr>
          <w:color w:val="000000"/>
        </w:rPr>
      </w:pPr>
      <w:r>
        <w:rPr>
          <w:color w:val="000000"/>
        </w:rPr>
        <w:t>Objednatel zajistí pracovníkům Poskytovatele pracoviště pro řádné poskytnutí služeb, pokud bude poskytování služeb probíhat v sídle Objednatele.</w:t>
      </w:r>
    </w:p>
    <w:p w:rsidR="00716B04" w:rsidRDefault="00716B04" w:rsidP="00716B04">
      <w:pPr>
        <w:numPr>
          <w:ilvl w:val="0"/>
          <w:numId w:val="1"/>
        </w:numPr>
        <w:spacing w:after="120"/>
        <w:ind w:left="709" w:hanging="352"/>
        <w:rPr>
          <w:color w:val="000000"/>
        </w:rPr>
      </w:pPr>
      <w:r>
        <w:rPr>
          <w:color w:val="000000"/>
        </w:rPr>
        <w:t>O veškerých činnostech, které jsou prováděny na HW a SW vybavení počítačů, a které mohou ovlivnit funkčnost PIS, bude Poskytovatel předem informován.</w:t>
      </w:r>
    </w:p>
    <w:p w:rsidR="00716B04" w:rsidRDefault="00716B04" w:rsidP="00716B04">
      <w:pPr>
        <w:rPr>
          <w:color w:val="000000"/>
        </w:rPr>
      </w:pPr>
    </w:p>
    <w:p w:rsidR="00716B04" w:rsidRDefault="00716B04" w:rsidP="00716B04">
      <w:pPr>
        <w:keepNext/>
        <w:spacing w:before="240" w:after="240"/>
        <w:rPr>
          <w:b/>
          <w:color w:val="000000"/>
        </w:rPr>
      </w:pPr>
      <w:r>
        <w:rPr>
          <w:b/>
          <w:bCs/>
          <w:color w:val="000000"/>
        </w:rPr>
        <w:lastRenderedPageBreak/>
        <w:t>3. Vzdálené připojení</w:t>
      </w:r>
    </w:p>
    <w:p w:rsidR="00716B04" w:rsidRDefault="00716B04" w:rsidP="00716B04">
      <w:pPr>
        <w:numPr>
          <w:ilvl w:val="0"/>
          <w:numId w:val="2"/>
        </w:numPr>
        <w:spacing w:after="120"/>
        <w:ind w:left="425" w:hanging="357"/>
        <w:rPr>
          <w:color w:val="000000"/>
        </w:rPr>
      </w:pPr>
      <w:r>
        <w:rPr>
          <w:color w:val="000000"/>
        </w:rPr>
        <w:t>Poskytovatel bude poskytovat služby aplikační správy při zajištění vzdáleného přístupu, které bude akceptováno Smluvními stranami, a to jak z hlediska bezpečnosti, tak z hlediska rychlosti a stability.</w:t>
      </w:r>
    </w:p>
    <w:p w:rsidR="00716B04" w:rsidRDefault="00716B04" w:rsidP="00716B04">
      <w:pPr>
        <w:numPr>
          <w:ilvl w:val="0"/>
          <w:numId w:val="2"/>
        </w:numPr>
        <w:spacing w:after="120"/>
        <w:ind w:left="425" w:hanging="357"/>
        <w:rPr>
          <w:color w:val="000000"/>
        </w:rPr>
      </w:pPr>
      <w:r>
        <w:rPr>
          <w:color w:val="000000"/>
        </w:rPr>
        <w:t>Smluvní strany jsou povinny udržovat v rámci své interní sítě všechny hardwarové a softwarové prostředky v takovém stavu, aby bylo možno ze strany Poskytovatele navazovat bezproblémové vzdálené připojení.</w:t>
      </w:r>
    </w:p>
    <w:p w:rsidR="00716B04" w:rsidRDefault="00716B04" w:rsidP="00716B04">
      <w:pPr>
        <w:keepNext/>
        <w:spacing w:before="240" w:after="240"/>
        <w:rPr>
          <w:b/>
          <w:bCs/>
          <w:color w:val="000000"/>
        </w:rPr>
      </w:pPr>
      <w:r>
        <w:rPr>
          <w:b/>
          <w:bCs/>
          <w:color w:val="000000"/>
        </w:rPr>
        <w:t xml:space="preserve">4. Hot </w:t>
      </w:r>
      <w:proofErr w:type="gramStart"/>
      <w:r>
        <w:rPr>
          <w:b/>
          <w:bCs/>
          <w:color w:val="000000"/>
        </w:rPr>
        <w:t>line</w:t>
      </w:r>
      <w:proofErr w:type="gramEnd"/>
    </w:p>
    <w:p w:rsidR="00716B04" w:rsidRDefault="00716B04" w:rsidP="00716B04">
      <w:pPr>
        <w:numPr>
          <w:ilvl w:val="0"/>
          <w:numId w:val="3"/>
        </w:numPr>
        <w:spacing w:after="120"/>
        <w:ind w:left="426"/>
        <w:rPr>
          <w:color w:val="000000"/>
        </w:rPr>
      </w:pPr>
      <w:r>
        <w:rPr>
          <w:color w:val="000000"/>
        </w:rPr>
        <w:t>Poskytovatel je povinen provádět veškerou komunikaci s Objednatelem v českém jazyce.</w:t>
      </w:r>
    </w:p>
    <w:p w:rsidR="00716B04" w:rsidRDefault="00716B04" w:rsidP="00716B04">
      <w:pPr>
        <w:numPr>
          <w:ilvl w:val="0"/>
          <w:numId w:val="3"/>
        </w:numPr>
        <w:spacing w:after="120"/>
        <w:ind w:left="426"/>
        <w:rPr>
          <w:color w:val="000000"/>
        </w:rPr>
      </w:pPr>
      <w:r>
        <w:rPr>
          <w:color w:val="000000"/>
        </w:rPr>
        <w:t xml:space="preserve">Služba Hot </w:t>
      </w:r>
      <w:proofErr w:type="gramStart"/>
      <w:r>
        <w:rPr>
          <w:color w:val="000000"/>
        </w:rPr>
        <w:t>line slouží</w:t>
      </w:r>
      <w:proofErr w:type="gramEnd"/>
      <w:r>
        <w:rPr>
          <w:color w:val="000000"/>
        </w:rPr>
        <w:t xml:space="preserve"> pro technickou podporu v českém jazyce při řešení problémů na straně Objednatele, souvisejících s provozem a funkčností systému (výpadek systému, závažný problém znemožňující práci některým nebo všem uživatelům systému). Dále slouží pro hlášení incidentů vážnějšího charakteru, které je z pohledu Objednatele nutno řešit neprodleně formou servisního zásahu.</w:t>
      </w:r>
    </w:p>
    <w:p w:rsidR="00716B04" w:rsidRDefault="00716B04" w:rsidP="00716B04">
      <w:pPr>
        <w:numPr>
          <w:ilvl w:val="0"/>
          <w:numId w:val="3"/>
        </w:numPr>
        <w:spacing w:after="120"/>
        <w:ind w:left="426"/>
        <w:rPr>
          <w:color w:val="000000"/>
        </w:rPr>
      </w:pPr>
      <w:r>
        <w:rPr>
          <w:color w:val="000000"/>
        </w:rPr>
        <w:t xml:space="preserve">Služba Hot line je poskytována oprávněným osobám Objednatele uvedených v odstavci 7 bodu 4 </w:t>
      </w:r>
      <w:proofErr w:type="gramStart"/>
      <w:r>
        <w:rPr>
          <w:color w:val="000000"/>
        </w:rPr>
        <w:t>této</w:t>
      </w:r>
      <w:proofErr w:type="gramEnd"/>
      <w:r>
        <w:rPr>
          <w:color w:val="000000"/>
        </w:rPr>
        <w:t xml:space="preserve"> přílohy prostřednictvím telefonu 236 072 290 (pro agendu docházka a personalistika) a prostřednictvím telefonu 236 072 310 (pro agendu mezd a platů)  nebo prostřednictvím emailové adresy </w:t>
      </w:r>
      <w:hyperlink r:id="rId7" w:history="1">
        <w:r>
          <w:rPr>
            <w:rStyle w:val="Hypertextovodkaz"/>
          </w:rPr>
          <w:t>hotline.okbase@oksystem.cz</w:t>
        </w:r>
      </w:hyperlink>
      <w:r>
        <w:t xml:space="preserve"> </w:t>
      </w:r>
      <w:r>
        <w:rPr>
          <w:color w:val="000000"/>
        </w:rPr>
        <w:t>Poskytovatele.</w:t>
      </w:r>
    </w:p>
    <w:p w:rsidR="00716B04" w:rsidRDefault="00716B04" w:rsidP="00716B04">
      <w:pPr>
        <w:numPr>
          <w:ilvl w:val="0"/>
          <w:numId w:val="3"/>
        </w:numPr>
        <w:spacing w:after="120"/>
        <w:ind w:left="426"/>
        <w:rPr>
          <w:color w:val="000000"/>
        </w:rPr>
      </w:pPr>
      <w:r>
        <w:rPr>
          <w:color w:val="000000"/>
        </w:rPr>
        <w:t xml:space="preserve">Doba poskytování služby Hot </w:t>
      </w:r>
      <w:proofErr w:type="gramStart"/>
      <w:r>
        <w:rPr>
          <w:color w:val="000000"/>
        </w:rPr>
        <w:t>line</w:t>
      </w:r>
      <w:proofErr w:type="gramEnd"/>
      <w:r>
        <w:rPr>
          <w:color w:val="000000"/>
        </w:rPr>
        <w:t xml:space="preserve"> v pracovních dnech v rozmezí od 8:00 do 17:00 hod.</w:t>
      </w:r>
    </w:p>
    <w:p w:rsidR="00716B04" w:rsidRDefault="00716B04" w:rsidP="00716B04">
      <w:pPr>
        <w:numPr>
          <w:ilvl w:val="0"/>
          <w:numId w:val="3"/>
        </w:numPr>
        <w:spacing w:after="120"/>
        <w:ind w:left="426"/>
        <w:rPr>
          <w:color w:val="000000"/>
        </w:rPr>
      </w:pPr>
      <w:proofErr w:type="gramStart"/>
      <w:r>
        <w:rPr>
          <w:color w:val="000000"/>
        </w:rPr>
        <w:t>Pracovník Hot</w:t>
      </w:r>
      <w:proofErr w:type="gramEnd"/>
      <w:r>
        <w:rPr>
          <w:color w:val="000000"/>
        </w:rPr>
        <w:t xml:space="preserve"> line, hlášení incidentu zaznamená, a potvrdí ho Objednateli e-mailem, a to ve lhůtách uvedených v následujících tabulkách:</w:t>
      </w:r>
    </w:p>
    <w:p w:rsidR="00716B04" w:rsidRDefault="00716B04" w:rsidP="00716B04">
      <w:pPr>
        <w:rPr>
          <w:color w:val="000000"/>
          <w:sz w:val="16"/>
        </w:rPr>
      </w:pPr>
    </w:p>
    <w:p w:rsidR="00716B04" w:rsidRDefault="00716B04" w:rsidP="00716B04">
      <w:pPr>
        <w:pStyle w:val="Odstavecsmezerou"/>
        <w:ind w:left="426"/>
        <w:rPr>
          <w:color w:val="000000"/>
        </w:rPr>
      </w:pPr>
      <w:r>
        <w:rPr>
          <w:color w:val="000000"/>
        </w:rPr>
        <w:t>Reakční doby po nahlášení incidentu: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050"/>
        <w:gridCol w:w="2407"/>
        <w:gridCol w:w="2675"/>
      </w:tblGrid>
      <w:tr w:rsidR="00716B04" w:rsidTr="00716B04">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center"/>
              <w:rPr>
                <w:rFonts w:eastAsia="MS Mincho"/>
                <w:i/>
                <w:color w:val="000000"/>
                <w:sz w:val="20"/>
              </w:rPr>
            </w:pPr>
            <w:r>
              <w:rPr>
                <w:rFonts w:eastAsia="MS Mincho"/>
                <w:i/>
                <w:color w:val="000000"/>
                <w:sz w:val="20"/>
              </w:rPr>
              <w:t>Druh Incidentu</w:t>
            </w:r>
          </w:p>
        </w:tc>
        <w:tc>
          <w:tcPr>
            <w:tcW w:w="2050"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center"/>
              <w:rPr>
                <w:rFonts w:eastAsia="MS Mincho"/>
                <w:i/>
                <w:color w:val="000000"/>
                <w:sz w:val="20"/>
              </w:rPr>
            </w:pPr>
            <w:r>
              <w:rPr>
                <w:rFonts w:eastAsia="MS Mincho"/>
                <w:i/>
                <w:color w:val="000000"/>
                <w:sz w:val="20"/>
              </w:rPr>
              <w:t>Maximální doba odezvy</w:t>
            </w:r>
          </w:p>
        </w:tc>
        <w:tc>
          <w:tcPr>
            <w:tcW w:w="2407"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center"/>
              <w:rPr>
                <w:rFonts w:eastAsia="MS Mincho"/>
                <w:i/>
                <w:color w:val="000000"/>
                <w:sz w:val="20"/>
              </w:rPr>
            </w:pPr>
            <w:r>
              <w:rPr>
                <w:rFonts w:eastAsia="MS Mincho"/>
                <w:i/>
                <w:color w:val="000000"/>
                <w:sz w:val="20"/>
              </w:rPr>
              <w:t>Limitní doba zahájení servisního zásahu</w:t>
            </w:r>
          </w:p>
        </w:tc>
        <w:tc>
          <w:tcPr>
            <w:tcW w:w="2675"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center"/>
              <w:rPr>
                <w:rFonts w:eastAsia="MS Mincho"/>
                <w:i/>
                <w:color w:val="000000"/>
                <w:sz w:val="20"/>
              </w:rPr>
            </w:pPr>
            <w:r>
              <w:rPr>
                <w:rFonts w:eastAsia="MS Mincho"/>
                <w:i/>
                <w:color w:val="000000"/>
                <w:sz w:val="20"/>
              </w:rPr>
              <w:t>Limitní doba odstranění incidentu</w:t>
            </w:r>
          </w:p>
        </w:tc>
      </w:tr>
      <w:tr w:rsidR="00716B04" w:rsidTr="00716B04">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i/>
                <w:color w:val="000000"/>
                <w:sz w:val="20"/>
              </w:rPr>
            </w:pPr>
            <w:r>
              <w:rPr>
                <w:rFonts w:eastAsia="MS Mincho"/>
                <w:i/>
                <w:color w:val="000000"/>
                <w:sz w:val="20"/>
              </w:rPr>
              <w:t>Havárie</w:t>
            </w:r>
          </w:p>
        </w:tc>
        <w:tc>
          <w:tcPr>
            <w:tcW w:w="2050"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2 pracovní hodiny</w:t>
            </w:r>
          </w:p>
        </w:tc>
        <w:tc>
          <w:tcPr>
            <w:tcW w:w="2407"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 xml:space="preserve">4 pracovní hodiny </w:t>
            </w:r>
          </w:p>
        </w:tc>
        <w:tc>
          <w:tcPr>
            <w:tcW w:w="2675"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18 pracovních hodin</w:t>
            </w:r>
          </w:p>
        </w:tc>
      </w:tr>
      <w:tr w:rsidR="00716B04" w:rsidTr="00716B04">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i/>
                <w:color w:val="000000"/>
                <w:sz w:val="20"/>
              </w:rPr>
            </w:pPr>
            <w:r>
              <w:rPr>
                <w:rFonts w:eastAsia="MS Mincho"/>
                <w:i/>
                <w:color w:val="000000"/>
                <w:sz w:val="20"/>
              </w:rPr>
              <w:t>Závada</w:t>
            </w:r>
          </w:p>
        </w:tc>
        <w:tc>
          <w:tcPr>
            <w:tcW w:w="2050"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4 pracovní hodiny</w:t>
            </w:r>
          </w:p>
        </w:tc>
        <w:tc>
          <w:tcPr>
            <w:tcW w:w="2407"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18 pracovních hodin</w:t>
            </w:r>
          </w:p>
        </w:tc>
        <w:tc>
          <w:tcPr>
            <w:tcW w:w="2675"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40 pracovních hodin</w:t>
            </w:r>
          </w:p>
        </w:tc>
      </w:tr>
    </w:tbl>
    <w:p w:rsidR="00716B04" w:rsidRDefault="00716B04" w:rsidP="00716B04">
      <w:pPr>
        <w:widowControl w:val="0"/>
        <w:ind w:right="45"/>
        <w:rPr>
          <w:rFonts w:eastAsia="MS Mincho"/>
          <w:color w:val="000000"/>
          <w:sz w:val="16"/>
        </w:rPr>
      </w:pPr>
    </w:p>
    <w:p w:rsidR="00716B04" w:rsidRDefault="00716B04" w:rsidP="00716B04">
      <w:pPr>
        <w:pStyle w:val="Odstavecsmezerou"/>
        <w:ind w:left="426"/>
        <w:rPr>
          <w:color w:val="000000"/>
        </w:rPr>
      </w:pPr>
      <w:r>
        <w:rPr>
          <w:color w:val="000000"/>
        </w:rPr>
        <w:t>Reakční doby po nahlášení incidentu v době měsíční uzávěrky platů: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050"/>
        <w:gridCol w:w="2407"/>
        <w:gridCol w:w="2675"/>
      </w:tblGrid>
      <w:tr w:rsidR="00716B04" w:rsidTr="00716B04">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center"/>
              <w:rPr>
                <w:rFonts w:eastAsia="MS Mincho"/>
                <w:i/>
                <w:color w:val="000000"/>
                <w:sz w:val="20"/>
              </w:rPr>
            </w:pPr>
            <w:r>
              <w:rPr>
                <w:rFonts w:eastAsia="MS Mincho"/>
                <w:i/>
                <w:color w:val="000000"/>
                <w:sz w:val="20"/>
              </w:rPr>
              <w:t>Druh Incidentu</w:t>
            </w:r>
          </w:p>
        </w:tc>
        <w:tc>
          <w:tcPr>
            <w:tcW w:w="2050"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center"/>
              <w:rPr>
                <w:rFonts w:eastAsia="MS Mincho"/>
                <w:i/>
                <w:color w:val="000000"/>
                <w:sz w:val="20"/>
              </w:rPr>
            </w:pPr>
            <w:r>
              <w:rPr>
                <w:rFonts w:eastAsia="MS Mincho"/>
                <w:i/>
                <w:color w:val="000000"/>
                <w:sz w:val="20"/>
              </w:rPr>
              <w:t>Maximální doba odezvy</w:t>
            </w:r>
          </w:p>
        </w:tc>
        <w:tc>
          <w:tcPr>
            <w:tcW w:w="2407"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center"/>
              <w:rPr>
                <w:rFonts w:eastAsia="MS Mincho"/>
                <w:i/>
                <w:color w:val="000000"/>
                <w:sz w:val="20"/>
              </w:rPr>
            </w:pPr>
            <w:r>
              <w:rPr>
                <w:rFonts w:eastAsia="MS Mincho"/>
                <w:i/>
                <w:color w:val="000000"/>
                <w:sz w:val="20"/>
              </w:rPr>
              <w:t>Limitní doba zahájení servisního zásahu</w:t>
            </w:r>
          </w:p>
        </w:tc>
        <w:tc>
          <w:tcPr>
            <w:tcW w:w="2675"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center"/>
              <w:rPr>
                <w:rFonts w:eastAsia="MS Mincho"/>
                <w:i/>
                <w:color w:val="000000"/>
                <w:sz w:val="20"/>
              </w:rPr>
            </w:pPr>
            <w:r>
              <w:rPr>
                <w:rFonts w:eastAsia="MS Mincho"/>
                <w:i/>
                <w:color w:val="000000"/>
                <w:sz w:val="20"/>
              </w:rPr>
              <w:t>Limitní doba odstranění incidentu</w:t>
            </w:r>
          </w:p>
        </w:tc>
      </w:tr>
      <w:tr w:rsidR="00716B04" w:rsidTr="00716B04">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i/>
                <w:color w:val="000000"/>
                <w:sz w:val="20"/>
              </w:rPr>
            </w:pPr>
            <w:r>
              <w:rPr>
                <w:rFonts w:eastAsia="MS Mincho"/>
                <w:i/>
                <w:color w:val="000000"/>
                <w:sz w:val="20"/>
              </w:rPr>
              <w:t>Havárie</w:t>
            </w:r>
          </w:p>
        </w:tc>
        <w:tc>
          <w:tcPr>
            <w:tcW w:w="2050"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1 pracovní hodina</w:t>
            </w:r>
          </w:p>
        </w:tc>
        <w:tc>
          <w:tcPr>
            <w:tcW w:w="2407"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 xml:space="preserve">2 pracovní hodiny </w:t>
            </w:r>
          </w:p>
        </w:tc>
        <w:tc>
          <w:tcPr>
            <w:tcW w:w="2675"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9 pracovních hodin</w:t>
            </w:r>
          </w:p>
        </w:tc>
      </w:tr>
      <w:tr w:rsidR="00716B04" w:rsidTr="00716B04">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i/>
                <w:color w:val="000000"/>
                <w:sz w:val="20"/>
              </w:rPr>
            </w:pPr>
            <w:r>
              <w:rPr>
                <w:rFonts w:eastAsia="MS Mincho"/>
                <w:i/>
                <w:color w:val="000000"/>
                <w:sz w:val="20"/>
              </w:rPr>
              <w:t>Závada</w:t>
            </w:r>
          </w:p>
        </w:tc>
        <w:tc>
          <w:tcPr>
            <w:tcW w:w="2050"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2 pracovní hodiny</w:t>
            </w:r>
          </w:p>
        </w:tc>
        <w:tc>
          <w:tcPr>
            <w:tcW w:w="2407"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4 pracovní hodiny</w:t>
            </w:r>
          </w:p>
        </w:tc>
        <w:tc>
          <w:tcPr>
            <w:tcW w:w="2675" w:type="dxa"/>
            <w:tcBorders>
              <w:top w:val="single" w:sz="4" w:space="0" w:color="auto"/>
              <w:left w:val="single" w:sz="4" w:space="0" w:color="auto"/>
              <w:bottom w:val="single" w:sz="4" w:space="0" w:color="auto"/>
              <w:right w:val="single" w:sz="4" w:space="0" w:color="auto"/>
            </w:tcBorders>
            <w:vAlign w:val="center"/>
            <w:hideMark/>
          </w:tcPr>
          <w:p w:rsidR="00716B04" w:rsidRDefault="00716B04">
            <w:pPr>
              <w:widowControl w:val="0"/>
              <w:spacing w:before="60" w:after="60"/>
              <w:ind w:right="45"/>
              <w:jc w:val="left"/>
              <w:rPr>
                <w:rFonts w:eastAsia="MS Mincho"/>
                <w:color w:val="000000"/>
                <w:sz w:val="20"/>
              </w:rPr>
            </w:pPr>
            <w:r>
              <w:rPr>
                <w:rFonts w:eastAsia="MS Mincho"/>
                <w:color w:val="000000"/>
                <w:sz w:val="20"/>
              </w:rPr>
              <w:t>27 pracovních hodin</w:t>
            </w:r>
          </w:p>
        </w:tc>
      </w:tr>
    </w:tbl>
    <w:p w:rsidR="00716B04" w:rsidRDefault="00716B04" w:rsidP="00716B04">
      <w:pPr>
        <w:rPr>
          <w:color w:val="000000"/>
          <w:sz w:val="16"/>
        </w:rPr>
      </w:pPr>
    </w:p>
    <w:p w:rsidR="00716B04" w:rsidRDefault="00716B04" w:rsidP="00716B04">
      <w:pPr>
        <w:numPr>
          <w:ilvl w:val="0"/>
          <w:numId w:val="3"/>
        </w:numPr>
        <w:spacing w:after="120"/>
        <w:ind w:left="426"/>
        <w:rPr>
          <w:color w:val="000000"/>
        </w:rPr>
      </w:pPr>
      <w:r>
        <w:rPr>
          <w:color w:val="000000"/>
        </w:rPr>
        <w:t>Součástí hlášení incidentu je určení jeho priority, které provede Objednatel. Tato prvotní priorita může být následně změněna dohodou mezi odpovědnými pracovníky obou Smluvních stran. V případě požadavků (incidentů) takového charakteru, že lze incident řešit telefonicky bez nutnosti dalších konzultací, Poskytovatel tak učiní bez prodlení.</w:t>
      </w:r>
    </w:p>
    <w:p w:rsidR="00716B04" w:rsidRDefault="00716B04" w:rsidP="00716B04">
      <w:pPr>
        <w:numPr>
          <w:ilvl w:val="0"/>
          <w:numId w:val="3"/>
        </w:numPr>
        <w:ind w:left="426"/>
        <w:rPr>
          <w:color w:val="000000"/>
        </w:rPr>
      </w:pPr>
      <w:r>
        <w:rPr>
          <w:color w:val="000000"/>
        </w:rPr>
        <w:t>Služba bude poskytována pouze oprávněným zaměstnancům Objednatele uvedených v následujících tabulkách:</w:t>
      </w:r>
    </w:p>
    <w:p w:rsidR="00716B04" w:rsidRDefault="00716B04" w:rsidP="00716B04">
      <w:pPr>
        <w:rPr>
          <w:color w:val="000000"/>
          <w:sz w:val="16"/>
        </w:rPr>
      </w:pPr>
    </w:p>
    <w:p w:rsidR="00716B04" w:rsidRDefault="00716B04" w:rsidP="00716B04">
      <w:pPr>
        <w:pStyle w:val="Odstavecsmezerou"/>
        <w:ind w:left="426"/>
        <w:rPr>
          <w:color w:val="000000"/>
        </w:rPr>
      </w:pPr>
      <w:r>
        <w:rPr>
          <w:color w:val="000000"/>
        </w:rPr>
        <w:t>Seznam oprávněných osob pro uživatele 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8"/>
        <w:gridCol w:w="3019"/>
        <w:gridCol w:w="3024"/>
      </w:tblGrid>
      <w:tr w:rsidR="00716B04" w:rsidTr="00716B04">
        <w:trPr>
          <w:trHeight w:hRule="exact" w:val="346"/>
          <w:jc w:val="center"/>
        </w:trPr>
        <w:tc>
          <w:tcPr>
            <w:tcW w:w="2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B04" w:rsidRDefault="00716B04">
            <w:pPr>
              <w:jc w:val="center"/>
              <w:rPr>
                <w:i/>
                <w:color w:val="000000"/>
                <w:sz w:val="20"/>
              </w:rPr>
            </w:pPr>
            <w:r>
              <w:rPr>
                <w:i/>
                <w:color w:val="000000"/>
                <w:sz w:val="20"/>
              </w:rPr>
              <w:t>Oprávněná osoba</w:t>
            </w:r>
          </w:p>
        </w:tc>
        <w:tc>
          <w:tcPr>
            <w:tcW w:w="3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B04" w:rsidRDefault="00716B04">
            <w:pPr>
              <w:jc w:val="center"/>
              <w:rPr>
                <w:i/>
                <w:color w:val="000000"/>
                <w:sz w:val="20"/>
              </w:rPr>
            </w:pPr>
            <w:r>
              <w:rPr>
                <w:i/>
                <w:color w:val="000000"/>
                <w:sz w:val="20"/>
              </w:rPr>
              <w:t>Telefon</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B04" w:rsidRDefault="00716B04">
            <w:pPr>
              <w:jc w:val="center"/>
              <w:rPr>
                <w:i/>
                <w:color w:val="000000"/>
                <w:sz w:val="20"/>
              </w:rPr>
            </w:pPr>
            <w:r>
              <w:rPr>
                <w:i/>
                <w:color w:val="000000"/>
                <w:sz w:val="20"/>
              </w:rPr>
              <w:t>E-mail</w:t>
            </w:r>
          </w:p>
        </w:tc>
      </w:tr>
      <w:tr w:rsidR="00716B04" w:rsidTr="00716B04">
        <w:trPr>
          <w:trHeight w:hRule="exact" w:val="331"/>
          <w:jc w:val="center"/>
        </w:trPr>
        <w:tc>
          <w:tcPr>
            <w:tcW w:w="2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B04" w:rsidRDefault="00ED4031">
            <w:pPr>
              <w:jc w:val="center"/>
              <w:rPr>
                <w:color w:val="000000"/>
                <w:sz w:val="20"/>
              </w:rPr>
            </w:pPr>
            <w:proofErr w:type="spellStart"/>
            <w:r w:rsidRPr="00ED4031">
              <w:rPr>
                <w:color w:val="000000"/>
                <w:sz w:val="20"/>
                <w:highlight w:val="black"/>
              </w:rPr>
              <w:t>xxxxxxxxxxxxx</w:t>
            </w:r>
            <w:proofErr w:type="spellEnd"/>
          </w:p>
        </w:tc>
        <w:tc>
          <w:tcPr>
            <w:tcW w:w="3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B04" w:rsidRPr="00ED4031" w:rsidRDefault="00ED4031">
            <w:pPr>
              <w:jc w:val="center"/>
              <w:rPr>
                <w:color w:val="000000"/>
                <w:sz w:val="20"/>
                <w:highlight w:val="black"/>
              </w:rPr>
            </w:pPr>
            <w:proofErr w:type="spellStart"/>
            <w:r w:rsidRPr="00ED4031">
              <w:rPr>
                <w:color w:val="000000"/>
                <w:sz w:val="20"/>
                <w:highlight w:val="black"/>
              </w:rPr>
              <w:t>xxxxxxxxxxxxxx</w:t>
            </w:r>
            <w:proofErr w:type="spellEnd"/>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B04" w:rsidRPr="00ED4031" w:rsidRDefault="00ED4031">
            <w:pPr>
              <w:jc w:val="center"/>
              <w:rPr>
                <w:color w:val="000000"/>
                <w:sz w:val="20"/>
                <w:highlight w:val="black"/>
              </w:rPr>
            </w:pPr>
            <w:proofErr w:type="spellStart"/>
            <w:r w:rsidRPr="00ED4031">
              <w:rPr>
                <w:color w:val="000000"/>
                <w:sz w:val="20"/>
                <w:highlight w:val="black"/>
              </w:rPr>
              <w:t>xxxxxxxxxxxxxx</w:t>
            </w:r>
            <w:proofErr w:type="spellEnd"/>
          </w:p>
        </w:tc>
      </w:tr>
      <w:tr w:rsidR="00716B04" w:rsidTr="00716B04">
        <w:trPr>
          <w:trHeight w:hRule="exact" w:val="326"/>
          <w:jc w:val="center"/>
        </w:trPr>
        <w:tc>
          <w:tcPr>
            <w:tcW w:w="2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B04" w:rsidRDefault="00ED4031">
            <w:pPr>
              <w:jc w:val="center"/>
              <w:rPr>
                <w:color w:val="000000"/>
                <w:sz w:val="20"/>
              </w:rPr>
            </w:pPr>
            <w:proofErr w:type="spellStart"/>
            <w:r w:rsidRPr="00ED4031">
              <w:rPr>
                <w:color w:val="000000"/>
                <w:sz w:val="20"/>
                <w:highlight w:val="black"/>
              </w:rPr>
              <w:t>xxxxxxxxxxxxxxxx</w:t>
            </w:r>
            <w:proofErr w:type="spellEnd"/>
          </w:p>
        </w:tc>
        <w:tc>
          <w:tcPr>
            <w:tcW w:w="30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B04" w:rsidRPr="00ED4031" w:rsidRDefault="00ED4031">
            <w:pPr>
              <w:jc w:val="center"/>
              <w:rPr>
                <w:color w:val="000000"/>
                <w:sz w:val="20"/>
                <w:highlight w:val="black"/>
              </w:rPr>
            </w:pPr>
            <w:proofErr w:type="spellStart"/>
            <w:r w:rsidRPr="00ED4031">
              <w:rPr>
                <w:color w:val="000000"/>
                <w:sz w:val="20"/>
                <w:highlight w:val="black"/>
              </w:rPr>
              <w:t>xxxxxxxxxxxxxx</w:t>
            </w:r>
            <w:proofErr w:type="spellEnd"/>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B04" w:rsidRPr="00ED4031" w:rsidRDefault="00ED4031">
            <w:pPr>
              <w:jc w:val="center"/>
              <w:rPr>
                <w:color w:val="000000"/>
                <w:sz w:val="20"/>
                <w:highlight w:val="black"/>
              </w:rPr>
            </w:pPr>
            <w:proofErr w:type="spellStart"/>
            <w:r w:rsidRPr="00ED4031">
              <w:rPr>
                <w:color w:val="000000"/>
                <w:sz w:val="20"/>
                <w:highlight w:val="black"/>
              </w:rPr>
              <w:t>xxxxxxxxxxxxx</w:t>
            </w:r>
            <w:proofErr w:type="spellEnd"/>
          </w:p>
        </w:tc>
      </w:tr>
    </w:tbl>
    <w:p w:rsidR="00716B04" w:rsidRDefault="00716B04" w:rsidP="00716B04">
      <w:pPr>
        <w:pStyle w:val="Odstavecsmezerou"/>
        <w:ind w:left="426"/>
        <w:rPr>
          <w:color w:val="000000"/>
        </w:rPr>
      </w:pPr>
    </w:p>
    <w:p w:rsidR="00716B04" w:rsidRDefault="00716B04" w:rsidP="00716B04">
      <w:pPr>
        <w:pStyle w:val="Odstavecsmezerou"/>
        <w:keepNext/>
        <w:ind w:left="425"/>
        <w:rPr>
          <w:color w:val="000000"/>
        </w:rPr>
      </w:pPr>
      <w:r>
        <w:rPr>
          <w:color w:val="000000"/>
        </w:rPr>
        <w:t>Seznam oprávněných osob pro systémové požadavky (IT):</w:t>
      </w:r>
    </w:p>
    <w:tbl>
      <w:tblPr>
        <w:tblW w:w="0" w:type="auto"/>
        <w:jc w:val="center"/>
        <w:tblLayout w:type="fixed"/>
        <w:tblCellMar>
          <w:left w:w="0" w:type="dxa"/>
          <w:right w:w="0" w:type="dxa"/>
        </w:tblCellMar>
        <w:tblLook w:val="04A0" w:firstRow="1" w:lastRow="0" w:firstColumn="1" w:lastColumn="0" w:noHBand="0" w:noVBand="1"/>
      </w:tblPr>
      <w:tblGrid>
        <w:gridCol w:w="3034"/>
        <w:gridCol w:w="3019"/>
        <w:gridCol w:w="3024"/>
      </w:tblGrid>
      <w:tr w:rsidR="00716B04" w:rsidTr="00716B04">
        <w:trPr>
          <w:trHeight w:hRule="exact" w:val="341"/>
          <w:jc w:val="center"/>
        </w:trPr>
        <w:tc>
          <w:tcPr>
            <w:tcW w:w="3034" w:type="dxa"/>
            <w:tcBorders>
              <w:top w:val="single" w:sz="4" w:space="0" w:color="auto"/>
              <w:left w:val="single" w:sz="4" w:space="0" w:color="auto"/>
              <w:bottom w:val="nil"/>
              <w:right w:val="nil"/>
            </w:tcBorders>
            <w:shd w:val="clear" w:color="auto" w:fill="FFFFFF"/>
            <w:vAlign w:val="center"/>
            <w:hideMark/>
          </w:tcPr>
          <w:p w:rsidR="00716B04" w:rsidRDefault="00716B04">
            <w:pPr>
              <w:jc w:val="center"/>
              <w:rPr>
                <w:rFonts w:eastAsia="Calibri" w:cs="Arial"/>
                <w:color w:val="000000"/>
                <w:szCs w:val="22"/>
                <w:lang w:eastAsia="en-US"/>
              </w:rPr>
            </w:pPr>
            <w:r>
              <w:rPr>
                <w:rFonts w:eastAsia="Calibri" w:cs="Arial"/>
                <w:color w:val="000000"/>
                <w:szCs w:val="22"/>
                <w:lang w:eastAsia="en-US"/>
              </w:rPr>
              <w:t>Oprávněná osoba</w:t>
            </w:r>
          </w:p>
        </w:tc>
        <w:tc>
          <w:tcPr>
            <w:tcW w:w="3019" w:type="dxa"/>
            <w:tcBorders>
              <w:top w:val="single" w:sz="4" w:space="0" w:color="auto"/>
              <w:left w:val="single" w:sz="4" w:space="0" w:color="auto"/>
              <w:bottom w:val="nil"/>
              <w:right w:val="nil"/>
            </w:tcBorders>
            <w:shd w:val="clear" w:color="auto" w:fill="FFFFFF"/>
            <w:vAlign w:val="center"/>
            <w:hideMark/>
          </w:tcPr>
          <w:p w:rsidR="00716B04" w:rsidRDefault="00716B04">
            <w:pPr>
              <w:jc w:val="center"/>
              <w:rPr>
                <w:rFonts w:eastAsia="Calibri" w:cs="Arial"/>
                <w:color w:val="000000"/>
                <w:szCs w:val="22"/>
                <w:lang w:eastAsia="en-US"/>
              </w:rPr>
            </w:pPr>
            <w:r>
              <w:rPr>
                <w:rFonts w:eastAsia="Calibri" w:cs="Arial"/>
                <w:color w:val="000000"/>
                <w:szCs w:val="22"/>
                <w:lang w:eastAsia="en-US"/>
              </w:rPr>
              <w:t>Telefon</w:t>
            </w:r>
          </w:p>
        </w:tc>
        <w:tc>
          <w:tcPr>
            <w:tcW w:w="3024" w:type="dxa"/>
            <w:tcBorders>
              <w:top w:val="single" w:sz="4" w:space="0" w:color="auto"/>
              <w:left w:val="single" w:sz="4" w:space="0" w:color="auto"/>
              <w:bottom w:val="nil"/>
              <w:right w:val="single" w:sz="4" w:space="0" w:color="auto"/>
            </w:tcBorders>
            <w:shd w:val="clear" w:color="auto" w:fill="FFFFFF"/>
            <w:vAlign w:val="center"/>
            <w:hideMark/>
          </w:tcPr>
          <w:p w:rsidR="00716B04" w:rsidRDefault="00716B04">
            <w:pPr>
              <w:jc w:val="center"/>
              <w:rPr>
                <w:rFonts w:eastAsia="Calibri" w:cs="Arial"/>
                <w:color w:val="000000"/>
                <w:szCs w:val="22"/>
                <w:lang w:eastAsia="en-US"/>
              </w:rPr>
            </w:pPr>
            <w:r>
              <w:rPr>
                <w:rFonts w:eastAsia="Calibri" w:cs="Arial"/>
                <w:color w:val="000000"/>
                <w:szCs w:val="22"/>
                <w:lang w:eastAsia="en-US"/>
              </w:rPr>
              <w:t>E-mail</w:t>
            </w:r>
          </w:p>
        </w:tc>
      </w:tr>
      <w:tr w:rsidR="00716B04" w:rsidTr="00716B04">
        <w:trPr>
          <w:trHeight w:hRule="exact" w:val="331"/>
          <w:jc w:val="center"/>
        </w:trPr>
        <w:tc>
          <w:tcPr>
            <w:tcW w:w="3034" w:type="dxa"/>
            <w:tcBorders>
              <w:top w:val="single" w:sz="4" w:space="0" w:color="auto"/>
              <w:left w:val="single" w:sz="4" w:space="0" w:color="auto"/>
              <w:bottom w:val="nil"/>
              <w:right w:val="nil"/>
            </w:tcBorders>
            <w:shd w:val="clear" w:color="auto" w:fill="FFFFFF"/>
            <w:vAlign w:val="center"/>
            <w:hideMark/>
          </w:tcPr>
          <w:p w:rsidR="00716B04" w:rsidRDefault="00ED4031">
            <w:pPr>
              <w:jc w:val="center"/>
              <w:rPr>
                <w:color w:val="000000"/>
                <w:sz w:val="20"/>
              </w:rPr>
            </w:pPr>
            <w:proofErr w:type="spellStart"/>
            <w:r w:rsidRPr="00ED4031">
              <w:rPr>
                <w:color w:val="000000"/>
                <w:highlight w:val="black"/>
              </w:rPr>
              <w:t>xxxxxxxxxxxxxxx</w:t>
            </w:r>
            <w:proofErr w:type="spellEnd"/>
          </w:p>
        </w:tc>
        <w:tc>
          <w:tcPr>
            <w:tcW w:w="3019" w:type="dxa"/>
            <w:tcBorders>
              <w:top w:val="single" w:sz="4" w:space="0" w:color="auto"/>
              <w:left w:val="single" w:sz="4" w:space="0" w:color="auto"/>
              <w:bottom w:val="nil"/>
              <w:right w:val="nil"/>
            </w:tcBorders>
            <w:shd w:val="clear" w:color="auto" w:fill="FFFFFF"/>
            <w:vAlign w:val="center"/>
            <w:hideMark/>
          </w:tcPr>
          <w:p w:rsidR="00716B04" w:rsidRDefault="00ED4031">
            <w:pPr>
              <w:jc w:val="center"/>
              <w:rPr>
                <w:color w:val="000000"/>
                <w:sz w:val="20"/>
              </w:rPr>
            </w:pPr>
            <w:proofErr w:type="spellStart"/>
            <w:r w:rsidRPr="00ED4031">
              <w:rPr>
                <w:color w:val="000000"/>
                <w:highlight w:val="black"/>
              </w:rPr>
              <w:t>xxxxxxxxxxxxxxxx</w:t>
            </w:r>
            <w:proofErr w:type="spellEnd"/>
          </w:p>
        </w:tc>
        <w:tc>
          <w:tcPr>
            <w:tcW w:w="3024" w:type="dxa"/>
            <w:tcBorders>
              <w:top w:val="single" w:sz="4" w:space="0" w:color="auto"/>
              <w:left w:val="single" w:sz="4" w:space="0" w:color="auto"/>
              <w:bottom w:val="nil"/>
              <w:right w:val="single" w:sz="4" w:space="0" w:color="auto"/>
            </w:tcBorders>
            <w:shd w:val="clear" w:color="auto" w:fill="FFFFFF"/>
            <w:vAlign w:val="center"/>
            <w:hideMark/>
          </w:tcPr>
          <w:p w:rsidR="00716B04" w:rsidRDefault="00ED4031">
            <w:pPr>
              <w:jc w:val="center"/>
              <w:rPr>
                <w:color w:val="000000"/>
                <w:sz w:val="20"/>
              </w:rPr>
            </w:pPr>
            <w:proofErr w:type="spellStart"/>
            <w:r w:rsidRPr="00ED4031">
              <w:rPr>
                <w:color w:val="000000"/>
                <w:sz w:val="20"/>
                <w:highlight w:val="black"/>
              </w:rPr>
              <w:t>xxxxxxxxxxxxxxxxxxxx</w:t>
            </w:r>
            <w:bookmarkStart w:id="0" w:name="_GoBack"/>
            <w:bookmarkEnd w:id="0"/>
            <w:proofErr w:type="spellEnd"/>
          </w:p>
        </w:tc>
      </w:tr>
      <w:tr w:rsidR="00716B04" w:rsidTr="00716B04">
        <w:trPr>
          <w:trHeight w:hRule="exact" w:val="341"/>
          <w:jc w:val="center"/>
        </w:trPr>
        <w:tc>
          <w:tcPr>
            <w:tcW w:w="3034" w:type="dxa"/>
            <w:tcBorders>
              <w:top w:val="single" w:sz="4" w:space="0" w:color="auto"/>
              <w:left w:val="single" w:sz="4" w:space="0" w:color="auto"/>
              <w:bottom w:val="single" w:sz="4" w:space="0" w:color="auto"/>
              <w:right w:val="nil"/>
            </w:tcBorders>
            <w:shd w:val="clear" w:color="auto" w:fill="FFFFFF"/>
            <w:vAlign w:val="center"/>
          </w:tcPr>
          <w:p w:rsidR="00716B04" w:rsidRDefault="00716B04">
            <w:pPr>
              <w:jc w:val="center"/>
              <w:rPr>
                <w:color w:val="000000"/>
                <w:sz w:val="20"/>
                <w:highlight w:val="yellow"/>
              </w:rPr>
            </w:pPr>
          </w:p>
        </w:tc>
        <w:tc>
          <w:tcPr>
            <w:tcW w:w="3019" w:type="dxa"/>
            <w:tcBorders>
              <w:top w:val="single" w:sz="4" w:space="0" w:color="auto"/>
              <w:left w:val="single" w:sz="4" w:space="0" w:color="auto"/>
              <w:bottom w:val="single" w:sz="4" w:space="0" w:color="auto"/>
              <w:right w:val="nil"/>
            </w:tcBorders>
            <w:shd w:val="clear" w:color="auto" w:fill="FFFFFF"/>
            <w:vAlign w:val="center"/>
          </w:tcPr>
          <w:p w:rsidR="00716B04" w:rsidRDefault="00716B04">
            <w:pPr>
              <w:jc w:val="center"/>
              <w:rPr>
                <w:color w:val="000000"/>
                <w:sz w:val="20"/>
                <w:highlight w:val="yellow"/>
              </w:rPr>
            </w:pP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rsidR="00716B04" w:rsidRDefault="00716B04">
            <w:pPr>
              <w:jc w:val="center"/>
              <w:rPr>
                <w:color w:val="000000"/>
                <w:sz w:val="20"/>
                <w:highlight w:val="yellow"/>
              </w:rPr>
            </w:pPr>
          </w:p>
        </w:tc>
      </w:tr>
    </w:tbl>
    <w:p w:rsidR="00716B04" w:rsidRDefault="00716B04" w:rsidP="00716B04">
      <w:pPr>
        <w:keepNext/>
        <w:spacing w:before="240" w:after="240"/>
        <w:rPr>
          <w:b/>
          <w:bCs/>
          <w:color w:val="000000"/>
        </w:rPr>
      </w:pPr>
      <w:r>
        <w:rPr>
          <w:b/>
          <w:bCs/>
          <w:color w:val="000000"/>
        </w:rPr>
        <w:t>5. Aktualizace PIS</w:t>
      </w:r>
    </w:p>
    <w:p w:rsidR="00716B04" w:rsidRDefault="00716B04" w:rsidP="00716B04">
      <w:pPr>
        <w:numPr>
          <w:ilvl w:val="0"/>
          <w:numId w:val="4"/>
        </w:numPr>
        <w:spacing w:after="120"/>
        <w:ind w:left="426"/>
        <w:rPr>
          <w:color w:val="000000"/>
        </w:rPr>
      </w:pPr>
      <w:r>
        <w:rPr>
          <w:color w:val="000000"/>
        </w:rPr>
        <w:t>Aktualizace PIS budou Poskytovatelem prováděny prostřednictvím vzdáleného připojení. V případě aktualizací, které by svojí povahou mohly ohrozit stabilitu systému, budou Poskytovatelem provedeny formou servisního zásahu v sídle Objednatele.</w:t>
      </w:r>
    </w:p>
    <w:p w:rsidR="00716B04" w:rsidRDefault="00716B04" w:rsidP="00716B04">
      <w:pPr>
        <w:numPr>
          <w:ilvl w:val="0"/>
          <w:numId w:val="4"/>
        </w:numPr>
        <w:spacing w:after="120"/>
        <w:ind w:left="426"/>
        <w:rPr>
          <w:color w:val="000000"/>
        </w:rPr>
      </w:pPr>
      <w:r>
        <w:rPr>
          <w:color w:val="000000"/>
        </w:rPr>
        <w:t>Aktualizace PIS při změnách legislativy budou Poskytovatelem prováděny nejdéle do termínu nabytí účinnosti nových legislativních změn, respektive do prvního pracovního dne termínu následující uzávěrky pro zpracování platů, tak aby zadávané údaje již odpovídaly nové úpravě legislativy.</w:t>
      </w:r>
    </w:p>
    <w:p w:rsidR="00716B04" w:rsidRDefault="00716B04" w:rsidP="00716B04">
      <w:pPr>
        <w:numPr>
          <w:ilvl w:val="0"/>
          <w:numId w:val="4"/>
        </w:numPr>
        <w:spacing w:after="120"/>
        <w:ind w:left="426"/>
        <w:rPr>
          <w:color w:val="000000"/>
        </w:rPr>
      </w:pPr>
      <w:r>
        <w:rPr>
          <w:color w:val="000000"/>
        </w:rPr>
        <w:t>Upozornění na termín provádění aktualizace bude zasíláno všem oprávněným osobám Objednatele uvedených v odstavci 7 bodu 4 této přílohy prostřednictvím emailu.</w:t>
      </w:r>
    </w:p>
    <w:p w:rsidR="00716B04" w:rsidRDefault="00716B04" w:rsidP="00716B04">
      <w:pPr>
        <w:numPr>
          <w:ilvl w:val="0"/>
          <w:numId w:val="4"/>
        </w:numPr>
        <w:spacing w:after="120"/>
        <w:ind w:left="426"/>
        <w:rPr>
          <w:color w:val="000000"/>
        </w:rPr>
      </w:pPr>
      <w:r>
        <w:rPr>
          <w:color w:val="000000"/>
        </w:rPr>
        <w:t>Aktualizované verze SW, upgrady či updaty včetně doprovodné dokumentace budou k dispozici na uživatelských stránkách Poskytovatele ke stažení.</w:t>
      </w:r>
    </w:p>
    <w:p w:rsidR="00716B04" w:rsidRDefault="00716B04" w:rsidP="00716B04">
      <w:pPr>
        <w:pStyle w:val="Odstavecseseznamem"/>
        <w:spacing w:after="60"/>
        <w:ind w:left="284"/>
        <w:rPr>
          <w:color w:val="000000"/>
        </w:rPr>
      </w:pPr>
    </w:p>
    <w:p w:rsidR="00660E2B" w:rsidRPr="00716B04" w:rsidRDefault="00660E2B" w:rsidP="00716B04"/>
    <w:sectPr w:rsidR="00660E2B" w:rsidRPr="00716B04" w:rsidSect="00ED274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53" w:rsidRDefault="00861653" w:rsidP="00406E83">
      <w:r>
        <w:separator/>
      </w:r>
    </w:p>
  </w:endnote>
  <w:endnote w:type="continuationSeparator" w:id="0">
    <w:p w:rsidR="00861653" w:rsidRDefault="00861653" w:rsidP="004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4A" w:rsidRDefault="00ED27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4A" w:rsidRDefault="00ED274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4A" w:rsidRDefault="00ED27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53" w:rsidRDefault="00861653" w:rsidP="00406E83">
      <w:r>
        <w:separator/>
      </w:r>
    </w:p>
  </w:footnote>
  <w:footnote w:type="continuationSeparator" w:id="0">
    <w:p w:rsidR="00861653" w:rsidRDefault="00861653" w:rsidP="00406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4A" w:rsidRDefault="00ED27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E83" w:rsidRPr="00ED274A" w:rsidRDefault="00406E83" w:rsidP="00ED274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4A" w:rsidRDefault="00ED274A" w:rsidP="00ED274A">
    <w:pPr>
      <w:pStyle w:val="Zhlav"/>
    </w:pPr>
    <w:r>
      <w:t>Příloha č. 1 smlouvy</w:t>
    </w:r>
  </w:p>
  <w:p w:rsidR="00ED274A" w:rsidRDefault="00ED27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65D2"/>
    <w:multiLevelType w:val="hybridMultilevel"/>
    <w:tmpl w:val="77BCD358"/>
    <w:lvl w:ilvl="0" w:tplc="DA20A15A">
      <w:start w:val="1"/>
      <w:numFmt w:val="decimal"/>
      <w:lvlText w:val="%1."/>
      <w:lvlJc w:val="left"/>
      <w:pPr>
        <w:ind w:left="1125" w:hanging="76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ADD1E4E"/>
    <w:multiLevelType w:val="hybridMultilevel"/>
    <w:tmpl w:val="E230F6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13D592F"/>
    <w:multiLevelType w:val="hybridMultilevel"/>
    <w:tmpl w:val="962CA4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4FE6CE0"/>
    <w:multiLevelType w:val="hybridMultilevel"/>
    <w:tmpl w:val="C7EE76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83"/>
    <w:rsid w:val="003429EE"/>
    <w:rsid w:val="00406E83"/>
    <w:rsid w:val="00660E2B"/>
    <w:rsid w:val="00716B04"/>
    <w:rsid w:val="00801E9F"/>
    <w:rsid w:val="00861653"/>
    <w:rsid w:val="00A41396"/>
    <w:rsid w:val="00ED274A"/>
    <w:rsid w:val="00ED4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FF45"/>
  <w15:chartTrackingRefBased/>
  <w15:docId w15:val="{B2726AC0-7F87-4D02-A091-08CFE72F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6E83"/>
    <w:pPr>
      <w:spacing w:after="0" w:line="240" w:lineRule="auto"/>
      <w:jc w:val="both"/>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06E83"/>
    <w:pPr>
      <w:ind w:left="720"/>
      <w:contextualSpacing/>
    </w:pPr>
    <w:rPr>
      <w:rFonts w:eastAsia="Calibri" w:cs="Arial"/>
      <w:szCs w:val="22"/>
      <w:lang w:eastAsia="en-US"/>
    </w:rPr>
  </w:style>
  <w:style w:type="paragraph" w:customStyle="1" w:styleId="Odstavecsmezerou">
    <w:name w:val="Odstavec s mezerou"/>
    <w:basedOn w:val="Normln"/>
    <w:qFormat/>
    <w:rsid w:val="00406E83"/>
    <w:pPr>
      <w:spacing w:after="120"/>
    </w:pPr>
    <w:rPr>
      <w:rFonts w:eastAsia="Calibri" w:cs="Arial"/>
      <w:szCs w:val="22"/>
      <w:lang w:eastAsia="en-US"/>
    </w:rPr>
  </w:style>
  <w:style w:type="paragraph" w:styleId="Zhlav">
    <w:name w:val="header"/>
    <w:basedOn w:val="Normln"/>
    <w:link w:val="ZhlavChar"/>
    <w:uiPriority w:val="99"/>
    <w:unhideWhenUsed/>
    <w:rsid w:val="00406E83"/>
    <w:pPr>
      <w:tabs>
        <w:tab w:val="center" w:pos="4536"/>
        <w:tab w:val="right" w:pos="9072"/>
      </w:tabs>
    </w:pPr>
  </w:style>
  <w:style w:type="character" w:customStyle="1" w:styleId="ZhlavChar">
    <w:name w:val="Záhlaví Char"/>
    <w:basedOn w:val="Standardnpsmoodstavce"/>
    <w:link w:val="Zhlav"/>
    <w:uiPriority w:val="99"/>
    <w:rsid w:val="00406E83"/>
    <w:rPr>
      <w:rFonts w:ascii="Arial" w:eastAsia="Times New Roman" w:hAnsi="Arial" w:cs="Times New Roman"/>
      <w:szCs w:val="20"/>
      <w:lang w:eastAsia="cs-CZ"/>
    </w:rPr>
  </w:style>
  <w:style w:type="paragraph" w:styleId="Zpat">
    <w:name w:val="footer"/>
    <w:basedOn w:val="Normln"/>
    <w:link w:val="ZpatChar"/>
    <w:uiPriority w:val="99"/>
    <w:unhideWhenUsed/>
    <w:rsid w:val="00406E83"/>
    <w:pPr>
      <w:tabs>
        <w:tab w:val="center" w:pos="4536"/>
        <w:tab w:val="right" w:pos="9072"/>
      </w:tabs>
    </w:pPr>
  </w:style>
  <w:style w:type="character" w:customStyle="1" w:styleId="ZpatChar">
    <w:name w:val="Zápatí Char"/>
    <w:basedOn w:val="Standardnpsmoodstavce"/>
    <w:link w:val="Zpat"/>
    <w:uiPriority w:val="99"/>
    <w:rsid w:val="00406E83"/>
    <w:rPr>
      <w:rFonts w:ascii="Arial" w:eastAsia="Times New Roman" w:hAnsi="Arial" w:cs="Times New Roman"/>
      <w:szCs w:val="20"/>
      <w:lang w:eastAsia="cs-CZ"/>
    </w:rPr>
  </w:style>
  <w:style w:type="character" w:styleId="Hypertextovodkaz">
    <w:name w:val="Hyperlink"/>
    <w:basedOn w:val="Standardnpsmoodstavce"/>
    <w:uiPriority w:val="99"/>
    <w:semiHidden/>
    <w:unhideWhenUsed/>
    <w:rsid w:val="00716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070106">
      <w:bodyDiv w:val="1"/>
      <w:marLeft w:val="0"/>
      <w:marRight w:val="0"/>
      <w:marTop w:val="0"/>
      <w:marBottom w:val="0"/>
      <w:divBdr>
        <w:top w:val="none" w:sz="0" w:space="0" w:color="auto"/>
        <w:left w:val="none" w:sz="0" w:space="0" w:color="auto"/>
        <w:bottom w:val="none" w:sz="0" w:space="0" w:color="auto"/>
        <w:right w:val="none" w:sz="0" w:space="0" w:color="auto"/>
      </w:divBdr>
    </w:div>
    <w:div w:id="20816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otline.okbase@oksyste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876</Words>
  <Characters>5169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Hrubý Josef, Ing.</dc:creator>
  <cp:keywords/>
  <dc:description/>
  <cp:lastModifiedBy>Hrubý Josef, Ing.</cp:lastModifiedBy>
  <cp:revision>8</cp:revision>
  <dcterms:created xsi:type="dcterms:W3CDTF">2019-10-30T12:15:00Z</dcterms:created>
  <dcterms:modified xsi:type="dcterms:W3CDTF">2019-11-18T10:12:00Z</dcterms:modified>
</cp:coreProperties>
</file>