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693C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750693D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3750693E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750693F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37506940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37506941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7506942" w14:textId="77777777" w:rsidR="00605F71" w:rsidRPr="004D08FA" w:rsidRDefault="00D5028A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proofErr w:type="spellStart"/>
      <w:r w:rsidRPr="004D08FA">
        <w:rPr>
          <w:rFonts w:ascii="Arial" w:hAnsi="Arial" w:cs="Arial"/>
          <w:b/>
          <w:sz w:val="23"/>
          <w:szCs w:val="23"/>
        </w:rPr>
        <w:t>Hypokramed</w:t>
      </w:r>
      <w:proofErr w:type="spellEnd"/>
      <w:r w:rsidRPr="004D08FA">
        <w:rPr>
          <w:rFonts w:ascii="Arial" w:hAnsi="Arial" w:cs="Arial"/>
          <w:b/>
          <w:sz w:val="23"/>
          <w:szCs w:val="23"/>
        </w:rPr>
        <w:t xml:space="preserve"> s.r.o.</w:t>
      </w:r>
    </w:p>
    <w:p w14:paraId="37506943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D5028A">
        <w:rPr>
          <w:rFonts w:ascii="Arial" w:hAnsi="Arial" w:cs="Arial"/>
          <w:sz w:val="23"/>
          <w:szCs w:val="23"/>
        </w:rPr>
        <w:t>496 16 528</w:t>
      </w:r>
    </w:p>
    <w:p w14:paraId="37506944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D5028A">
        <w:rPr>
          <w:rStyle w:val="platne1"/>
          <w:rFonts w:ascii="Arial" w:hAnsi="Arial" w:cs="Arial"/>
          <w:sz w:val="23"/>
          <w:szCs w:val="23"/>
        </w:rPr>
        <w:t>CZ496 16 528</w:t>
      </w:r>
    </w:p>
    <w:p w14:paraId="37506945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D5028A">
        <w:rPr>
          <w:rStyle w:val="platne1"/>
          <w:rFonts w:ascii="Arial" w:hAnsi="Arial" w:cs="Arial"/>
          <w:sz w:val="23"/>
          <w:szCs w:val="23"/>
        </w:rPr>
        <w:t>Plzeňská 113,</w:t>
      </w:r>
      <w:r w:rsidR="009A401F">
        <w:rPr>
          <w:rStyle w:val="platne1"/>
          <w:rFonts w:ascii="Arial" w:hAnsi="Arial" w:cs="Arial"/>
          <w:sz w:val="23"/>
          <w:szCs w:val="23"/>
        </w:rPr>
        <w:t xml:space="preserve"> </w:t>
      </w:r>
      <w:r w:rsidR="00D5028A">
        <w:rPr>
          <w:rStyle w:val="platne1"/>
          <w:rFonts w:ascii="Arial" w:hAnsi="Arial" w:cs="Arial"/>
          <w:sz w:val="23"/>
          <w:szCs w:val="23"/>
        </w:rPr>
        <w:t>Praha 5,150 00</w:t>
      </w:r>
    </w:p>
    <w:p w14:paraId="37506946" w14:textId="77777777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D5028A">
        <w:rPr>
          <w:rStyle w:val="platne1"/>
          <w:rFonts w:ascii="Arial" w:hAnsi="Arial" w:cs="Arial"/>
          <w:sz w:val="23"/>
          <w:szCs w:val="23"/>
        </w:rPr>
        <w:t xml:space="preserve"> v obchodním rejstříku vedeném Městským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D5028A">
        <w:rPr>
          <w:rStyle w:val="platne1"/>
          <w:rFonts w:ascii="Arial" w:hAnsi="Arial" w:cs="Arial"/>
          <w:sz w:val="23"/>
          <w:szCs w:val="23"/>
        </w:rPr>
        <w:t xml:space="preserve"> Praze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oddíl </w:t>
      </w:r>
      <w:r w:rsidR="00D5028A">
        <w:rPr>
          <w:rStyle w:val="platne1"/>
          <w:rFonts w:ascii="Arial" w:hAnsi="Arial" w:cs="Arial"/>
          <w:sz w:val="23"/>
          <w:szCs w:val="23"/>
        </w:rPr>
        <w:t>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D5028A">
        <w:rPr>
          <w:rStyle w:val="platne1"/>
          <w:rFonts w:ascii="Arial" w:hAnsi="Arial" w:cs="Arial"/>
          <w:sz w:val="23"/>
          <w:szCs w:val="23"/>
        </w:rPr>
        <w:t>21313</w:t>
      </w:r>
    </w:p>
    <w:p w14:paraId="37506947" w14:textId="77777777" w:rsidR="00605F71" w:rsidRPr="00A67AE8" w:rsidRDefault="00D5028A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jednající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>
        <w:rPr>
          <w:rStyle w:val="platne1"/>
          <w:rFonts w:ascii="Arial" w:hAnsi="Arial" w:cs="Arial"/>
          <w:sz w:val="23"/>
          <w:szCs w:val="23"/>
        </w:rPr>
        <w:t>Vratislavem Roubalem,</w:t>
      </w:r>
      <w:r w:rsidR="009A401F">
        <w:rPr>
          <w:rStyle w:val="platne1"/>
          <w:rFonts w:ascii="Arial" w:hAnsi="Arial" w:cs="Arial"/>
          <w:sz w:val="23"/>
          <w:szCs w:val="23"/>
        </w:rPr>
        <w:t xml:space="preserve"> </w:t>
      </w:r>
      <w:r>
        <w:rPr>
          <w:rStyle w:val="platne1"/>
          <w:rFonts w:ascii="Arial" w:hAnsi="Arial" w:cs="Arial"/>
          <w:sz w:val="23"/>
          <w:szCs w:val="23"/>
        </w:rPr>
        <w:t>jednatelem</w:t>
      </w:r>
    </w:p>
    <w:p w14:paraId="37506948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D5028A">
        <w:rPr>
          <w:rStyle w:val="platne1"/>
          <w:rFonts w:ascii="Arial" w:hAnsi="Arial" w:cs="Arial"/>
          <w:sz w:val="23"/>
          <w:szCs w:val="23"/>
        </w:rPr>
        <w:t>KB a.s.</w:t>
      </w:r>
    </w:p>
    <w:p w14:paraId="37506949" w14:textId="77777777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D5028A">
        <w:rPr>
          <w:rFonts w:ascii="Arial" w:hAnsi="Arial" w:cs="Arial"/>
          <w:bCs/>
        </w:rPr>
        <w:t>47407-051/0100</w:t>
      </w:r>
    </w:p>
    <w:p w14:paraId="3750694A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750694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3750694C" w14:textId="77777777" w:rsidR="007C7279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E28874D" w14:textId="77777777" w:rsidR="006D6DEE" w:rsidRPr="008D17FE" w:rsidRDefault="006D6DE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75069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3750694E" w14:textId="77777777" w:rsidR="007C7279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3DB71A9" w14:textId="77777777" w:rsidR="006D6DEE" w:rsidRPr="008D17FE" w:rsidRDefault="006D6DE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750694F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37506950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37506951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3750695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37506953" w14:textId="77777777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37506954" w14:textId="77777777" w:rsidR="006260B6" w:rsidRPr="008D17FE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bankovní spojení: Komerční banka, a.s., Brno</w:t>
      </w:r>
    </w:p>
    <w:p w14:paraId="37506955" w14:textId="77777777" w:rsidR="005D0FD1" w:rsidRPr="008D17FE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číslo bankovního účtu: </w:t>
      </w:r>
      <w:r w:rsidR="00330DC4" w:rsidRPr="008D17FE">
        <w:rPr>
          <w:rFonts w:ascii="Arial" w:hAnsi="Arial" w:cs="Arial"/>
          <w:sz w:val="23"/>
          <w:szCs w:val="23"/>
        </w:rPr>
        <w:t>71234621/0100</w:t>
      </w:r>
    </w:p>
    <w:p w14:paraId="37506956" w14:textId="0C6767B6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</w:t>
      </w:r>
      <w:r w:rsidR="009A401F">
        <w:rPr>
          <w:rFonts w:ascii="Arial" w:eastAsia="Times New Roman" w:hAnsi="Arial" w:cs="Arial"/>
          <w:i/>
          <w:sz w:val="23"/>
          <w:szCs w:val="23"/>
          <w:lang w:eastAsia="cs-CZ"/>
        </w:rPr>
        <w:t>.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9A401F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37506957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750695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37506959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750695A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3750695B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4A42E53" w14:textId="77777777" w:rsidR="006D6DEE" w:rsidRDefault="006D6DEE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991D609" w14:textId="77777777" w:rsidR="006D6DEE" w:rsidRDefault="006D6DEE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ACCCD5E" w14:textId="77777777" w:rsidR="006D6DEE" w:rsidRDefault="006D6DEE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DEF6E87" w14:textId="77777777" w:rsidR="006D6DEE" w:rsidRDefault="006D6DEE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750695C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3750695D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3750695E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750695F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7506960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7506961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37506962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37506963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64" w14:textId="77777777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r w:rsidR="00D5028A">
        <w:rPr>
          <w:rFonts w:ascii="Arial" w:hAnsi="Arial" w:cs="Arial"/>
          <w:i/>
          <w:sz w:val="23"/>
          <w:szCs w:val="23"/>
        </w:rPr>
        <w:t>sterilizační kontejnery Typ TVA 34 a PVA 66</w:t>
      </w:r>
      <w:r w:rsidR="008645D8" w:rsidRPr="00AD281B"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37506965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66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37506967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68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37506969" w14:textId="77777777" w:rsidR="009A3D16" w:rsidRPr="008D17FE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3750696A" w14:textId="77777777" w:rsidR="001F13BA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14:paraId="3750696B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750696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3750696D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3750696E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6F" w14:textId="77777777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F86EE5">
        <w:rPr>
          <w:rFonts w:ascii="Arial" w:hAnsi="Arial" w:cs="Arial"/>
          <w:b/>
          <w:sz w:val="23"/>
          <w:szCs w:val="23"/>
        </w:rPr>
        <w:t>8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uzavření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37506970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37506971" w14:textId="77777777" w:rsidR="00DF53D7" w:rsidRPr="00F03C92" w:rsidRDefault="00DF53D7" w:rsidP="00DF53D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03C92">
        <w:rPr>
          <w:rFonts w:ascii="Arial" w:hAnsi="Arial" w:cs="Arial"/>
          <w:sz w:val="22"/>
          <w:szCs w:val="22"/>
        </w:rPr>
        <w:t>Místem dodání Zboží je</w:t>
      </w:r>
      <w:r>
        <w:rPr>
          <w:rFonts w:ascii="Arial" w:hAnsi="Arial" w:cs="Arial"/>
          <w:sz w:val="22"/>
          <w:szCs w:val="22"/>
        </w:rPr>
        <w:t xml:space="preserve"> sklad MTZ, Pracoviště medicíny dospělého věku, FN</w:t>
      </w:r>
      <w:r w:rsidRPr="00F03C92">
        <w:rPr>
          <w:rFonts w:ascii="Arial" w:hAnsi="Arial" w:cs="Arial"/>
          <w:sz w:val="22"/>
          <w:szCs w:val="22"/>
        </w:rPr>
        <w:t xml:space="preserve"> Brno, </w:t>
      </w:r>
      <w:r>
        <w:rPr>
          <w:rFonts w:ascii="Arial" w:hAnsi="Arial" w:cs="Arial"/>
          <w:sz w:val="22"/>
          <w:szCs w:val="22"/>
        </w:rPr>
        <w:t>Jihlavská 20, 625 00</w:t>
      </w:r>
      <w:r w:rsidRPr="00F03C92">
        <w:rPr>
          <w:rFonts w:ascii="Arial" w:hAnsi="Arial" w:cs="Arial"/>
          <w:sz w:val="22"/>
          <w:szCs w:val="22"/>
        </w:rPr>
        <w:t xml:space="preserve"> Brno.</w:t>
      </w:r>
    </w:p>
    <w:p w14:paraId="37506972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37506973" w14:textId="77777777" w:rsidR="00DF53D7" w:rsidRPr="00F03C92" w:rsidRDefault="00DF53D7" w:rsidP="00DF53D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F03C92">
        <w:rPr>
          <w:rFonts w:ascii="Arial" w:hAnsi="Arial" w:cs="Arial"/>
          <w:sz w:val="22"/>
          <w:szCs w:val="22"/>
        </w:rPr>
        <w:t>Prodávající se zavazuje oznámit Kupujícímu k</w:t>
      </w:r>
      <w:r>
        <w:rPr>
          <w:rFonts w:ascii="Arial" w:hAnsi="Arial" w:cs="Arial"/>
          <w:sz w:val="22"/>
          <w:szCs w:val="22"/>
        </w:rPr>
        <w:t>onkrétní termín dodání Zboží tři</w:t>
      </w:r>
      <w:r w:rsidRPr="00F03C92">
        <w:rPr>
          <w:rFonts w:ascii="Arial" w:hAnsi="Arial" w:cs="Arial"/>
          <w:sz w:val="22"/>
          <w:szCs w:val="22"/>
        </w:rPr>
        <w:t xml:space="preserve"> pracovní dny před plánovaným termínem dodání na </w:t>
      </w:r>
      <w:r>
        <w:rPr>
          <w:rFonts w:ascii="Arial" w:hAnsi="Arial" w:cs="Arial"/>
          <w:sz w:val="22"/>
          <w:szCs w:val="22"/>
        </w:rPr>
        <w:t xml:space="preserve">materiálně-technické zásobování FN Brno </w:t>
      </w:r>
      <w:r w:rsidRPr="00F03C92">
        <w:rPr>
          <w:rFonts w:ascii="Arial" w:hAnsi="Arial" w:cs="Arial"/>
          <w:sz w:val="22"/>
          <w:szCs w:val="22"/>
        </w:rPr>
        <w:t xml:space="preserve">paní </w:t>
      </w:r>
      <w:r>
        <w:rPr>
          <w:rFonts w:ascii="Arial" w:hAnsi="Arial" w:cs="Arial"/>
          <w:sz w:val="22"/>
          <w:szCs w:val="22"/>
        </w:rPr>
        <w:t>Vlastě Dvořákové</w:t>
      </w:r>
      <w:r w:rsidRPr="00F03C92">
        <w:rPr>
          <w:rFonts w:ascii="Arial" w:hAnsi="Arial" w:cs="Arial"/>
          <w:sz w:val="22"/>
          <w:szCs w:val="22"/>
        </w:rPr>
        <w:t>, tel.:</w:t>
      </w:r>
      <w:r>
        <w:rPr>
          <w:rFonts w:ascii="Arial" w:hAnsi="Arial" w:cs="Arial"/>
          <w:sz w:val="22"/>
          <w:szCs w:val="22"/>
        </w:rPr>
        <w:t xml:space="preserve"> 532 233 682</w:t>
      </w:r>
      <w:r w:rsidRPr="00F03C92">
        <w:rPr>
          <w:rFonts w:ascii="Arial" w:hAnsi="Arial" w:cs="Arial"/>
          <w:sz w:val="22"/>
          <w:szCs w:val="22"/>
        </w:rPr>
        <w:t xml:space="preserve"> a písemně na 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1A237E">
          <w:rPr>
            <w:rStyle w:val="Hypertextovodkaz"/>
            <w:rFonts w:ascii="Arial" w:hAnsi="Arial" w:cs="Arial"/>
            <w:sz w:val="22"/>
            <w:szCs w:val="22"/>
          </w:rPr>
          <w:t>vdvorakova@fnbrno.cz</w:t>
        </w:r>
      </w:hyperlink>
      <w:r>
        <w:rPr>
          <w:rFonts w:ascii="Arial" w:hAnsi="Arial" w:cs="Arial"/>
          <w:sz w:val="22"/>
          <w:szCs w:val="22"/>
        </w:rPr>
        <w:t xml:space="preserve"> a </w:t>
      </w:r>
      <w:hyperlink r:id="rId13" w:history="1">
        <w:r w:rsidRPr="001A237E">
          <w:rPr>
            <w:rStyle w:val="Hypertextovodkaz"/>
            <w:rFonts w:ascii="Arial" w:hAnsi="Arial" w:cs="Arial"/>
            <w:sz w:val="22"/>
            <w:szCs w:val="22"/>
          </w:rPr>
          <w:t>belaskova.zaneta@fnbrno.cz</w:t>
        </w:r>
      </w:hyperlink>
      <w:r>
        <w:rPr>
          <w:rFonts w:ascii="Arial" w:hAnsi="Arial" w:cs="Arial"/>
          <w:sz w:val="22"/>
          <w:szCs w:val="22"/>
        </w:rPr>
        <w:t>.</w:t>
      </w:r>
      <w:r w:rsidRPr="00F03C92">
        <w:rPr>
          <w:rFonts w:ascii="Arial" w:hAnsi="Arial" w:cs="Arial"/>
          <w:sz w:val="22"/>
          <w:szCs w:val="22"/>
        </w:rPr>
        <w:t xml:space="preserve"> Bez tohoto oznámení není Kupující povinen Zboží převzít.</w:t>
      </w:r>
    </w:p>
    <w:p w14:paraId="37506974" w14:textId="77777777"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37506975" w14:textId="77777777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zkoušce podle zákona č. 307/2002 Sb., o radiační ochraně, ve znění pozdějších předpisů, podléhá), vstupní validace či kalibrace (pouze u Zboží, u nějž je při provozu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vyžadována), ověření přenosu dat do archivu PACS </w:t>
      </w:r>
      <w:proofErr w:type="spellStart"/>
      <w:r w:rsidRPr="002F4EDA">
        <w:rPr>
          <w:rFonts w:ascii="Arial" w:hAnsi="Arial" w:cs="Arial"/>
          <w:sz w:val="22"/>
          <w:szCs w:val="22"/>
        </w:rPr>
        <w:t>Agfa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4EDA">
        <w:rPr>
          <w:rFonts w:ascii="Arial" w:hAnsi="Arial" w:cs="Arial"/>
          <w:sz w:val="22"/>
          <w:szCs w:val="22"/>
        </w:rPr>
        <w:t>Impax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zaměstnance Obchodního oddělení a Oddělení zdravotnické techniky Kupujícího a 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37506976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37506977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37506978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37506979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3750697A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3750697B" w14:textId="77777777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materiálu, náhradních dílů a</w:t>
      </w:r>
      <w:r w:rsidR="00CB6A3D" w:rsidRPr="006C589F">
        <w:rPr>
          <w:rFonts w:ascii="Arial" w:hAnsi="Arial" w:cs="Arial"/>
          <w:sz w:val="22"/>
          <w:szCs w:val="22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</w:rPr>
        <w:t>protokolu o provedení</w:t>
      </w:r>
      <w:r w:rsidR="000C5A3D" w:rsidRPr="006C589F">
        <w:rPr>
          <w:rFonts w:ascii="Arial" w:hAnsi="Arial" w:cs="Arial"/>
          <w:sz w:val="22"/>
          <w:szCs w:val="22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</w:rPr>
        <w:t>, validací)</w:t>
      </w:r>
      <w:r w:rsidR="000C5A3D" w:rsidRPr="006C589F">
        <w:rPr>
          <w:rFonts w:ascii="Arial" w:hAnsi="Arial" w:cs="Arial"/>
          <w:sz w:val="22"/>
          <w:szCs w:val="22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3750697C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7D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7E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3750697F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37506980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81" w14:textId="77777777" w:rsidR="00AF2763" w:rsidRPr="009F2221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37506982" w14:textId="77777777" w:rsidR="009F2221" w:rsidRPr="009F2221" w:rsidRDefault="009F2221" w:rsidP="009F2221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7506983" w14:textId="7602644A" w:rsidR="009F2221" w:rsidRPr="00B0546E" w:rsidRDefault="00F86EE5" w:rsidP="009F2221">
      <w:pPr>
        <w:pStyle w:val="Zkladntext3"/>
        <w:ind w:left="709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Cena za část 3</w:t>
      </w:r>
      <w:r w:rsidR="008B5D24" w:rsidRPr="00B0546E">
        <w:rPr>
          <w:rFonts w:ascii="Arial" w:hAnsi="Arial" w:cs="Arial"/>
          <w:b/>
          <w:sz w:val="23"/>
          <w:szCs w:val="23"/>
        </w:rPr>
        <w:t xml:space="preserve"> </w:t>
      </w:r>
      <w:r w:rsidR="009A401F">
        <w:rPr>
          <w:rFonts w:ascii="Arial" w:hAnsi="Arial" w:cs="Arial"/>
          <w:b/>
          <w:sz w:val="23"/>
          <w:szCs w:val="23"/>
        </w:rPr>
        <w:t>–</w:t>
      </w:r>
      <w:r w:rsidR="009F2221" w:rsidRPr="00B0546E">
        <w:rPr>
          <w:rFonts w:ascii="Arial" w:hAnsi="Arial" w:cs="Arial"/>
          <w:b/>
          <w:sz w:val="23"/>
          <w:szCs w:val="23"/>
        </w:rPr>
        <w:t xml:space="preserve"> </w:t>
      </w:r>
      <w:r w:rsidR="009A401F" w:rsidRPr="006D6DEE">
        <w:rPr>
          <w:rFonts w:ascii="Arial" w:hAnsi="Arial" w:cs="Arial"/>
          <w:sz w:val="23"/>
          <w:szCs w:val="23"/>
        </w:rPr>
        <w:t>21.000,00 Kč bez DPH</w:t>
      </w:r>
      <w:r w:rsidR="009A401F">
        <w:rPr>
          <w:rFonts w:ascii="Arial" w:hAnsi="Arial" w:cs="Arial"/>
          <w:b/>
          <w:sz w:val="23"/>
          <w:szCs w:val="23"/>
        </w:rPr>
        <w:t>, 25.410,00 Kč vč. DPH</w:t>
      </w:r>
    </w:p>
    <w:p w14:paraId="37506984" w14:textId="54CE6D68" w:rsidR="008B5D24" w:rsidRPr="00B0546E" w:rsidRDefault="00F86EE5" w:rsidP="009F2221">
      <w:pPr>
        <w:pStyle w:val="Zkladntext3"/>
        <w:ind w:left="709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Cena za část 5</w:t>
      </w:r>
      <w:r w:rsidR="008B5D24" w:rsidRPr="00B0546E">
        <w:rPr>
          <w:rFonts w:ascii="Arial" w:hAnsi="Arial" w:cs="Arial"/>
          <w:b/>
          <w:sz w:val="23"/>
          <w:szCs w:val="23"/>
        </w:rPr>
        <w:t xml:space="preserve"> </w:t>
      </w:r>
      <w:r w:rsidR="009A401F">
        <w:rPr>
          <w:rFonts w:ascii="Arial" w:hAnsi="Arial" w:cs="Arial"/>
          <w:b/>
          <w:sz w:val="23"/>
          <w:szCs w:val="23"/>
        </w:rPr>
        <w:t xml:space="preserve">– </w:t>
      </w:r>
      <w:r w:rsidR="009A401F" w:rsidRPr="006D6DEE">
        <w:rPr>
          <w:rFonts w:ascii="Arial" w:hAnsi="Arial" w:cs="Arial"/>
          <w:sz w:val="23"/>
          <w:szCs w:val="23"/>
        </w:rPr>
        <w:t>502.297,52 Kč bez DPH</w:t>
      </w:r>
      <w:r w:rsidR="009A401F">
        <w:rPr>
          <w:rFonts w:ascii="Arial" w:hAnsi="Arial" w:cs="Arial"/>
          <w:b/>
          <w:sz w:val="23"/>
          <w:szCs w:val="23"/>
        </w:rPr>
        <w:t>, 607.780,00 Kč vč. DPH</w:t>
      </w:r>
    </w:p>
    <w:p w14:paraId="37506985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FC6465" w:rsidRPr="008D17FE" w14:paraId="3750698A" w14:textId="77777777" w:rsidTr="005766FB">
        <w:tc>
          <w:tcPr>
            <w:tcW w:w="3544" w:type="dxa"/>
            <w:shd w:val="clear" w:color="auto" w:fill="auto"/>
          </w:tcPr>
          <w:p w14:paraId="37506986" w14:textId="77777777" w:rsidR="00FC6465" w:rsidRPr="006F1C5C" w:rsidRDefault="00FC6465" w:rsidP="00B0546E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06987" w14:textId="77777777" w:rsidR="00FC6465" w:rsidRPr="006F1C5C" w:rsidRDefault="00FC6465" w:rsidP="00B0546E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6F1C5C">
              <w:rPr>
                <w:rFonts w:ascii="Arial" w:hAnsi="Arial" w:cs="Arial"/>
                <w:b/>
                <w:sz w:val="20"/>
                <w:szCs w:val="20"/>
              </w:rPr>
              <w:t xml:space="preserve">Cena Zboží </w:t>
            </w:r>
            <w:r w:rsidR="00F86EE5" w:rsidRPr="006F1C5C">
              <w:rPr>
                <w:rFonts w:ascii="Arial" w:hAnsi="Arial" w:cs="Arial"/>
                <w:b/>
                <w:sz w:val="20"/>
                <w:szCs w:val="20"/>
              </w:rPr>
              <w:t>za část 3, 5</w:t>
            </w:r>
            <w:r w:rsidR="00B0546E" w:rsidRPr="006F1C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1C5C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4678" w:type="dxa"/>
            <w:shd w:val="clear" w:color="auto" w:fill="auto"/>
          </w:tcPr>
          <w:p w14:paraId="37506988" w14:textId="542CF8D1" w:rsidR="00FC6465" w:rsidRPr="006F1C5C" w:rsidRDefault="004C36B2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523.29</w:t>
            </w:r>
            <w:r w:rsidR="009A401F">
              <w:rPr>
                <w:rFonts w:ascii="Arial" w:hAnsi="Arial" w:cs="Arial"/>
                <w:b/>
                <w:sz w:val="20"/>
                <w:szCs w:val="20"/>
              </w:rPr>
              <w:t>7,52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6465" w:rsidRPr="006F1C5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  <w:p w14:paraId="37506989" w14:textId="0E4818CF" w:rsidR="00FC6465" w:rsidRPr="006F1C5C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1C5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26D1D">
              <w:rPr>
                <w:rFonts w:ascii="Arial" w:hAnsi="Arial" w:cs="Arial"/>
                <w:b/>
                <w:sz w:val="16"/>
                <w:szCs w:val="20"/>
              </w:rPr>
              <w:t>slovy:</w:t>
            </w:r>
            <w:r w:rsidR="002F4EDA" w:rsidRPr="00D26D1D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D26D1D" w:rsidRPr="00D26D1D">
              <w:rPr>
                <w:rFonts w:ascii="Arial" w:hAnsi="Arial" w:cs="Arial"/>
                <w:b/>
                <w:sz w:val="16"/>
                <w:szCs w:val="20"/>
              </w:rPr>
              <w:t>pětsetdvacettřitisícdvěstědevadesát</w:t>
            </w:r>
            <w:r w:rsidR="009A401F">
              <w:rPr>
                <w:rFonts w:ascii="Arial" w:hAnsi="Arial" w:cs="Arial"/>
                <w:b/>
                <w:sz w:val="16"/>
                <w:szCs w:val="20"/>
              </w:rPr>
              <w:t>sedm</w:t>
            </w:r>
            <w:r w:rsidRPr="00D26D1D">
              <w:rPr>
                <w:rFonts w:ascii="Arial" w:hAnsi="Arial" w:cs="Arial"/>
                <w:b/>
                <w:sz w:val="16"/>
                <w:szCs w:val="20"/>
              </w:rPr>
              <w:t>korun</w:t>
            </w:r>
            <w:proofErr w:type="spellEnd"/>
            <w:r w:rsidR="00605F71" w:rsidRPr="00D26D1D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D26D1D">
              <w:rPr>
                <w:rFonts w:ascii="Arial" w:hAnsi="Arial" w:cs="Arial"/>
                <w:b/>
                <w:sz w:val="16"/>
                <w:szCs w:val="20"/>
              </w:rPr>
              <w:t>českých</w:t>
            </w:r>
            <w:r w:rsidR="009A401F">
              <w:rPr>
                <w:rFonts w:ascii="Arial" w:hAnsi="Arial" w:cs="Arial"/>
                <w:b/>
                <w:sz w:val="16"/>
                <w:szCs w:val="20"/>
              </w:rPr>
              <w:t>apadesátdvahaléřů</w:t>
            </w:r>
            <w:proofErr w:type="spellEnd"/>
            <w:r w:rsidRPr="00D26D1D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FC6465" w:rsidRPr="008D17FE" w14:paraId="3750698F" w14:textId="77777777" w:rsidTr="005766FB">
        <w:tc>
          <w:tcPr>
            <w:tcW w:w="3544" w:type="dxa"/>
            <w:shd w:val="clear" w:color="auto" w:fill="auto"/>
          </w:tcPr>
          <w:p w14:paraId="3750698B" w14:textId="77777777" w:rsidR="00FC6465" w:rsidRPr="006F1C5C" w:rsidRDefault="00FC6465" w:rsidP="00B0546E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0698C" w14:textId="77777777" w:rsidR="00FC6465" w:rsidRPr="006F1C5C" w:rsidRDefault="004C36B2" w:rsidP="00B0546E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DPH 21 </w:t>
            </w:r>
            <w:r w:rsidR="002F4EDA" w:rsidRPr="006F1C5C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FC6465" w:rsidRPr="006F1C5C">
              <w:rPr>
                <w:rFonts w:ascii="Arial" w:hAnsi="Arial" w:cs="Arial"/>
                <w:b/>
                <w:sz w:val="20"/>
                <w:szCs w:val="20"/>
              </w:rPr>
              <w:t xml:space="preserve"> k ceně Zboží</w:t>
            </w:r>
            <w:r w:rsidR="00A03A2C" w:rsidRPr="006F1C5C">
              <w:rPr>
                <w:rFonts w:ascii="Arial" w:hAnsi="Arial" w:cs="Arial"/>
                <w:b/>
                <w:sz w:val="20"/>
                <w:szCs w:val="20"/>
              </w:rPr>
              <w:t xml:space="preserve"> za část 3, 5</w:t>
            </w:r>
          </w:p>
        </w:tc>
        <w:tc>
          <w:tcPr>
            <w:tcW w:w="4678" w:type="dxa"/>
            <w:shd w:val="clear" w:color="auto" w:fill="auto"/>
          </w:tcPr>
          <w:p w14:paraId="3750698D" w14:textId="77777777" w:rsidR="00FC6465" w:rsidRPr="006F1C5C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0698E" w14:textId="77777777" w:rsidR="00FC6465" w:rsidRPr="006F1C5C" w:rsidRDefault="004C36B2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109.892</w:t>
            </w:r>
            <w:r w:rsidR="009A401F">
              <w:rPr>
                <w:rFonts w:ascii="Arial" w:hAnsi="Arial" w:cs="Arial"/>
                <w:b/>
                <w:sz w:val="20"/>
                <w:szCs w:val="20"/>
              </w:rPr>
              <w:t>,48</w:t>
            </w:r>
            <w:r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="00FC6465" w:rsidRPr="006F1C5C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FC6465" w:rsidRPr="008D17FE" w14:paraId="37506995" w14:textId="77777777" w:rsidTr="005766FB">
        <w:tc>
          <w:tcPr>
            <w:tcW w:w="3544" w:type="dxa"/>
            <w:shd w:val="clear" w:color="auto" w:fill="auto"/>
          </w:tcPr>
          <w:p w14:paraId="37506990" w14:textId="77777777" w:rsidR="00FC6465" w:rsidRPr="006F1C5C" w:rsidRDefault="00FC6465" w:rsidP="00B0546E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06991" w14:textId="77777777" w:rsidR="00FC6465" w:rsidRPr="006F1C5C" w:rsidRDefault="00FC6465" w:rsidP="00B0546E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6F1C5C">
              <w:rPr>
                <w:rFonts w:ascii="Arial" w:hAnsi="Arial" w:cs="Arial"/>
                <w:b/>
                <w:sz w:val="20"/>
                <w:szCs w:val="20"/>
              </w:rPr>
              <w:t>Celková cena vč. DPH</w:t>
            </w:r>
          </w:p>
        </w:tc>
        <w:tc>
          <w:tcPr>
            <w:tcW w:w="4678" w:type="dxa"/>
            <w:shd w:val="clear" w:color="auto" w:fill="auto"/>
          </w:tcPr>
          <w:p w14:paraId="37506992" w14:textId="77777777" w:rsidR="00FC6465" w:rsidRPr="006F1C5C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06993" w14:textId="77777777" w:rsidR="00FC6465" w:rsidRPr="006F1C5C" w:rsidRDefault="004C36B2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633.190,-</w:t>
            </w:r>
            <w:r w:rsidR="00FC6465" w:rsidRPr="006F1C5C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14:paraId="37506994" w14:textId="77777777" w:rsidR="00FC6465" w:rsidRPr="006F1C5C" w:rsidRDefault="004C36B2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4C36B2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4C36B2">
              <w:rPr>
                <w:rFonts w:ascii="Arial" w:hAnsi="Arial" w:cs="Arial"/>
                <w:b/>
                <w:sz w:val="16"/>
                <w:szCs w:val="20"/>
              </w:rPr>
              <w:t>slovy:šestsettřicetřitisícstodevadesát</w:t>
            </w:r>
            <w:proofErr w:type="spellEnd"/>
            <w:r w:rsidR="00FC6465" w:rsidRPr="004C36B2">
              <w:rPr>
                <w:rFonts w:ascii="Arial" w:hAnsi="Arial" w:cs="Arial"/>
                <w:b/>
                <w:sz w:val="16"/>
                <w:szCs w:val="20"/>
              </w:rPr>
              <w:t xml:space="preserve"> korun českých)</w:t>
            </w:r>
          </w:p>
        </w:tc>
      </w:tr>
    </w:tbl>
    <w:p w14:paraId="37506996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97" w14:textId="77777777" w:rsidR="00A03BF1" w:rsidRPr="008D17FE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98" w14:textId="77777777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, ověření přenosu dat z přístroje na pracovní stanici (pokud je u přístroje samostatná pracovní stanice, ověření přenosu dat do archivu PACS </w:t>
      </w:r>
      <w:proofErr w:type="spellStart"/>
      <w:r w:rsidRPr="00D927B5">
        <w:rPr>
          <w:rFonts w:ascii="Arial" w:hAnsi="Arial" w:cs="Arial"/>
          <w:sz w:val="23"/>
          <w:szCs w:val="23"/>
        </w:rPr>
        <w:t>Agfa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27B5">
        <w:rPr>
          <w:rFonts w:ascii="Arial" w:hAnsi="Arial" w:cs="Arial"/>
          <w:sz w:val="23"/>
          <w:szCs w:val="23"/>
        </w:rPr>
        <w:t>Impax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 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37506999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750699A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3750699B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9C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3750699D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9E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3750699F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A0" w14:textId="77777777" w:rsidR="00A74BD6" w:rsidRPr="00644B4F" w:rsidRDefault="00644B4F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644B4F">
        <w:rPr>
          <w:rFonts w:ascii="Arial" w:hAnsi="Arial" w:cs="Arial"/>
          <w:sz w:val="22"/>
          <w:szCs w:val="22"/>
        </w:rPr>
        <w:t xml:space="preserve">Faktura – daňový doklad vystaví prodávající po splnění dodávky a předání předmětu plnění Kupujícímu. Splatnost faktury je 60 </w:t>
      </w:r>
      <w:r w:rsidR="00A17F49" w:rsidRPr="00644B4F">
        <w:rPr>
          <w:rFonts w:ascii="Arial" w:hAnsi="Arial" w:cs="Arial"/>
          <w:sz w:val="22"/>
          <w:szCs w:val="22"/>
        </w:rPr>
        <w:t xml:space="preserve">dnů od </w:t>
      </w:r>
      <w:r w:rsidRPr="00644B4F">
        <w:rPr>
          <w:rFonts w:ascii="Arial" w:hAnsi="Arial" w:cs="Arial"/>
          <w:sz w:val="22"/>
          <w:szCs w:val="22"/>
        </w:rPr>
        <w:t>data vystavení. Datum</w:t>
      </w:r>
      <w:r w:rsidR="00A17F49" w:rsidRPr="00644B4F">
        <w:rPr>
          <w:rFonts w:ascii="Arial" w:hAnsi="Arial" w:cs="Arial"/>
          <w:sz w:val="22"/>
          <w:szCs w:val="22"/>
        </w:rPr>
        <w:t xml:space="preserve"> uskutečnění zdanitelného plnění bude </w:t>
      </w:r>
      <w:r w:rsidRPr="00644B4F">
        <w:rPr>
          <w:rFonts w:ascii="Arial" w:hAnsi="Arial" w:cs="Arial"/>
          <w:sz w:val="22"/>
          <w:szCs w:val="22"/>
        </w:rPr>
        <w:t xml:space="preserve">shodné s datem předání a převzetí Zboží, tj. datem podpisu předávacího protokolu. </w:t>
      </w:r>
    </w:p>
    <w:p w14:paraId="375069A1" w14:textId="77777777" w:rsidR="00644B4F" w:rsidRPr="00644B4F" w:rsidRDefault="00644B4F" w:rsidP="00644B4F">
      <w:pPr>
        <w:pStyle w:val="Zkladntext3"/>
        <w:rPr>
          <w:rFonts w:ascii="Arial" w:hAnsi="Arial" w:cs="Arial"/>
          <w:sz w:val="23"/>
          <w:szCs w:val="23"/>
        </w:rPr>
      </w:pPr>
    </w:p>
    <w:p w14:paraId="375069A2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375069A3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375069A4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375069A5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A6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375069A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75069A8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75069A9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375069AA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375069AB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375069AC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375069AD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75069AE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375069AF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375069B0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375069B1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375069B2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B3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375069B4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B5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375069B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B7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375069B8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B9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375069BA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BB" w14:textId="6607392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6D6DEE">
        <w:rPr>
          <w:rFonts w:ascii="Arial" w:hAnsi="Arial" w:cs="Arial"/>
          <w:sz w:val="23"/>
          <w:szCs w:val="23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375069BC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5069BD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Kupující je oprávněn vedle nároků z vad Zboží uplatňovat i jakékoliv jiné nároky související s dodáním vadného Zboží (např. nárok na náhradu škody).</w:t>
      </w:r>
    </w:p>
    <w:p w14:paraId="375069C0" w14:textId="77777777" w:rsidR="00A32CC4" w:rsidRDefault="00A32CC4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75069C2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375069C3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375069C4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C5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375069C6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375069C7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375069C8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375069C9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CA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375069CB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75069CC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375069CD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75069CE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375069CF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75069D0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375069D1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75069D2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375069D3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9D4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375069D5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375069D6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75069D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375069D8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75069D9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182/2006 Sb., o úpadku a způsobech jeho řešení (insolvenční zákon), ve znění pozdějších předpisů, zejména není předlužen a je schopen plnit své splatné </w:t>
      </w:r>
      <w:r w:rsidRPr="008D17FE">
        <w:rPr>
          <w:rFonts w:ascii="Arial" w:hAnsi="Arial" w:cs="Arial"/>
          <w:sz w:val="23"/>
          <w:szCs w:val="23"/>
        </w:rPr>
        <w:lastRenderedPageBreak/>
        <w:t>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375069DA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9D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375069D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9DD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375069DE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75069DF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375069E0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75069E1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375069E2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75069E3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375069E4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375069E5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375069FC" w14:textId="77777777" w:rsidTr="00330DC4">
        <w:tc>
          <w:tcPr>
            <w:tcW w:w="4889" w:type="dxa"/>
          </w:tcPr>
          <w:p w14:paraId="375069E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PRODÁVAJÍCÍ:</w:t>
            </w:r>
          </w:p>
          <w:p w14:paraId="375069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E8" w14:textId="77324105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</w:rPr>
              <w:t> </w:t>
            </w:r>
            <w:r w:rsidR="00120377">
              <w:rPr>
                <w:rFonts w:ascii="Arial" w:hAnsi="Arial" w:cs="Arial"/>
                <w:sz w:val="23"/>
                <w:szCs w:val="23"/>
                <w:lang w:val="cs-CZ"/>
              </w:rPr>
              <w:t>Praze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</w:t>
            </w:r>
            <w:r w:rsidR="00120377">
              <w:rPr>
                <w:rFonts w:ascii="Arial" w:hAnsi="Arial" w:cs="Arial"/>
                <w:sz w:val="23"/>
                <w:szCs w:val="23"/>
                <w:lang w:val="cs-CZ"/>
              </w:rPr>
              <w:t>4. 8. 2016</w:t>
            </w:r>
          </w:p>
          <w:p w14:paraId="375069E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E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EB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E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E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375069EE" w14:textId="77777777" w:rsidR="007157D9" w:rsidRPr="006D6DEE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  <w:proofErr w:type="spellStart"/>
            <w:r w:rsidR="004C36B2" w:rsidRPr="006D6DEE">
              <w:rPr>
                <w:rFonts w:ascii="Arial" w:hAnsi="Arial" w:cs="Arial"/>
                <w:b/>
                <w:sz w:val="23"/>
                <w:szCs w:val="23"/>
              </w:rPr>
              <w:t>Hypokramed</w:t>
            </w:r>
            <w:proofErr w:type="spellEnd"/>
            <w:r w:rsidR="004C36B2" w:rsidRPr="006D6DEE">
              <w:rPr>
                <w:rFonts w:ascii="Arial" w:hAnsi="Arial" w:cs="Arial"/>
                <w:b/>
                <w:sz w:val="23"/>
                <w:szCs w:val="23"/>
              </w:rPr>
              <w:t xml:space="preserve"> s.r.o.</w:t>
            </w:r>
          </w:p>
          <w:p w14:paraId="375069EF" w14:textId="77777777" w:rsidR="007157D9" w:rsidRPr="006D6DEE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6D6DEE">
              <w:rPr>
                <w:rFonts w:ascii="Arial" w:hAnsi="Arial" w:cs="Arial"/>
                <w:sz w:val="23"/>
                <w:szCs w:val="23"/>
              </w:rPr>
              <w:t xml:space="preserve">                     </w:t>
            </w:r>
            <w:r w:rsidR="004C36B2" w:rsidRPr="006D6DEE">
              <w:rPr>
                <w:rFonts w:ascii="Arial" w:hAnsi="Arial" w:cs="Arial"/>
                <w:sz w:val="23"/>
                <w:szCs w:val="23"/>
              </w:rPr>
              <w:t>Vratislav Roubal</w:t>
            </w:r>
            <w:r w:rsidRPr="006D6DE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75069F0" w14:textId="77777777" w:rsidR="00A51741" w:rsidRPr="00415B16" w:rsidRDefault="004C36B2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jednatel</w:t>
            </w:r>
          </w:p>
        </w:tc>
        <w:tc>
          <w:tcPr>
            <w:tcW w:w="4889" w:type="dxa"/>
          </w:tcPr>
          <w:p w14:paraId="375069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KUPUJÍCÍ:</w:t>
            </w:r>
          </w:p>
          <w:p w14:paraId="375069F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F3" w14:textId="2178CD64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</w:t>
            </w:r>
            <w:r w:rsidR="00120377">
              <w:rPr>
                <w:rFonts w:ascii="Arial" w:hAnsi="Arial" w:cs="Arial"/>
                <w:sz w:val="23"/>
                <w:szCs w:val="23"/>
                <w:lang w:val="cs-CZ"/>
              </w:rPr>
              <w:t>10. 8. 2016</w:t>
            </w:r>
            <w:bookmarkStart w:id="0" w:name="_GoBack"/>
            <w:bookmarkEnd w:id="0"/>
          </w:p>
          <w:p w14:paraId="375069F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F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F6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F7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069F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375069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Fakultní nemocnice Brno</w:t>
            </w:r>
          </w:p>
          <w:p w14:paraId="375069F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MUDr. Roman Kraus, MBA</w:t>
            </w:r>
          </w:p>
          <w:p w14:paraId="375069F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ředitel</w:t>
            </w:r>
          </w:p>
        </w:tc>
      </w:tr>
    </w:tbl>
    <w:p w14:paraId="375069FD" w14:textId="77777777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9FE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9FF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0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1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2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3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4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5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6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7" w14:textId="77777777" w:rsidR="000C211B" w:rsidRDefault="000C211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0A" w14:textId="77777777" w:rsidR="000C211B" w:rsidRDefault="000C211B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14:paraId="37506A0B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7506A0C" w14:textId="77777777" w:rsidR="00BB39C7" w:rsidRPr="006D6DEE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u w:val="single"/>
        </w:rPr>
      </w:pPr>
      <w:r w:rsidRPr="006D6DEE">
        <w:rPr>
          <w:rFonts w:ascii="Arial" w:hAnsi="Arial" w:cs="Arial"/>
          <w:b/>
          <w:sz w:val="23"/>
          <w:szCs w:val="23"/>
          <w:u w:val="single"/>
        </w:rPr>
        <w:t>Technický popis sterilizačních kontejnerů Wagner</w:t>
      </w:r>
    </w:p>
    <w:p w14:paraId="37506A0D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Hliníkové (eloxovaný hliník) nebo kovové sterilizační kontejnery Wagner </w:t>
      </w:r>
      <w:proofErr w:type="spellStart"/>
      <w:r w:rsidRPr="006D6DEE">
        <w:rPr>
          <w:rFonts w:ascii="Arial" w:eastAsia="Times New Roman" w:hAnsi="Arial" w:cs="Arial"/>
          <w:sz w:val="23"/>
          <w:szCs w:val="23"/>
          <w:lang w:eastAsia="cs-CZ"/>
        </w:rPr>
        <w:t>Steriset</w:t>
      </w:r>
      <w:proofErr w:type="spellEnd"/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 s filtračním nebo ventilovým systémem ve víku kontejneru, které jsou použitelné pro parní sterilizaci.</w:t>
      </w:r>
    </w:p>
    <w:p w14:paraId="37506A0E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Systém </w:t>
      </w:r>
      <w:proofErr w:type="spellStart"/>
      <w:r w:rsidRPr="006D6DEE">
        <w:rPr>
          <w:rFonts w:ascii="Arial" w:eastAsia="Times New Roman" w:hAnsi="Arial" w:cs="Arial"/>
          <w:sz w:val="23"/>
          <w:szCs w:val="23"/>
          <w:lang w:eastAsia="cs-CZ"/>
        </w:rPr>
        <w:t>Steriset</w:t>
      </w:r>
      <w:proofErr w:type="spellEnd"/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 Wagner obsahuje všechny typy kontejnerů s příslušenstvím:</w:t>
      </w:r>
    </w:p>
    <w:p w14:paraId="37506A0F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TVA – kontejnery s hliníkovým víkem</w:t>
      </w:r>
    </w:p>
    <w:p w14:paraId="37506A10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TVE – kontejnery s nerezovým víkem</w:t>
      </w:r>
    </w:p>
    <w:p w14:paraId="37506A11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KVA – malé hliníkové kontejnery</w:t>
      </w:r>
    </w:p>
    <w:p w14:paraId="37506A12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PVA – ventilová verze s plombou</w:t>
      </w:r>
    </w:p>
    <w:p w14:paraId="37506A13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PFA – filtrové verze s plombou</w:t>
      </w:r>
    </w:p>
    <w:p w14:paraId="37506A14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Systém </w:t>
      </w:r>
      <w:proofErr w:type="spellStart"/>
      <w:r w:rsidRPr="006D6DEE">
        <w:rPr>
          <w:rFonts w:ascii="Arial" w:eastAsia="Times New Roman" w:hAnsi="Arial" w:cs="Arial"/>
          <w:sz w:val="23"/>
          <w:szCs w:val="23"/>
          <w:lang w:eastAsia="cs-CZ"/>
        </w:rPr>
        <w:t>Steriset</w:t>
      </w:r>
      <w:proofErr w:type="spellEnd"/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 Wagner s příslušenstvím jsou dodávány ve 3 základních verzích (plná, ¾, nebo ½) s různými výškami (od 60mm do 270mm).</w:t>
      </w:r>
    </w:p>
    <w:p w14:paraId="37506A15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Primární obal vytváří mikrobiální bariéru proti přístupu mikroorganizmů do kontejneru</w:t>
      </w:r>
    </w:p>
    <w:p w14:paraId="37506A16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Ventilový systém je opakovaně použitelná antibakteriální bariéra s tlakovým ventilem z nerezové oceli a možností optické i mechanické kontroly – snadná kontrola před sterilizací</w:t>
      </w:r>
    </w:p>
    <w:p w14:paraId="37506A17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Kontejnerový systém používá k zabezpečení otevření systém </w:t>
      </w:r>
      <w:proofErr w:type="spellStart"/>
      <w:r w:rsidRPr="006D6DEE">
        <w:rPr>
          <w:rFonts w:ascii="Arial" w:eastAsia="Times New Roman" w:hAnsi="Arial" w:cs="Arial"/>
          <w:sz w:val="23"/>
          <w:szCs w:val="23"/>
          <w:lang w:eastAsia="cs-CZ"/>
        </w:rPr>
        <w:t>ThermoLock</w:t>
      </w:r>
      <w:proofErr w:type="spellEnd"/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, patentovaný systém, který nahrazuje používání plastových plomb proti nechtěnému otevření kontejneru. Funkce je založena na principu bimetalové pružiny, která se aktivuje při teplotě 130°C. </w:t>
      </w:r>
    </w:p>
    <w:p w14:paraId="37506A18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Kontejnerový systém </w:t>
      </w:r>
      <w:proofErr w:type="spellStart"/>
      <w:r w:rsidRPr="006D6DEE">
        <w:rPr>
          <w:rFonts w:ascii="Arial" w:eastAsia="Times New Roman" w:hAnsi="Arial" w:cs="Arial"/>
          <w:sz w:val="23"/>
          <w:szCs w:val="23"/>
          <w:lang w:eastAsia="cs-CZ"/>
        </w:rPr>
        <w:t>Steriset</w:t>
      </w:r>
      <w:proofErr w:type="spellEnd"/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 Wagner vyniká především minimalizací provozních nákladů a jedinečnou </w:t>
      </w:r>
      <w:proofErr w:type="gramStart"/>
      <w:r w:rsidRPr="006D6DEE">
        <w:rPr>
          <w:rFonts w:ascii="Arial" w:eastAsia="Times New Roman" w:hAnsi="Arial" w:cs="Arial"/>
          <w:sz w:val="23"/>
          <w:szCs w:val="23"/>
          <w:lang w:eastAsia="cs-CZ"/>
        </w:rPr>
        <w:t>bezpečností  mezi</w:t>
      </w:r>
      <w:proofErr w:type="gramEnd"/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 kontejnerovými systémy (provozním nákladem pro tyto kontejnery jsou pouze sterilizační  štítky k dokumentaci). Jiné náklady nejsou.</w:t>
      </w:r>
    </w:p>
    <w:p w14:paraId="37506A19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Kontejnery  </w:t>
      </w:r>
      <w:proofErr w:type="spellStart"/>
      <w:r w:rsidRPr="006D6DEE">
        <w:rPr>
          <w:rFonts w:ascii="Arial" w:eastAsia="Times New Roman" w:hAnsi="Arial" w:cs="Arial"/>
          <w:sz w:val="23"/>
          <w:szCs w:val="23"/>
          <w:lang w:eastAsia="cs-CZ"/>
        </w:rPr>
        <w:t>Steriset</w:t>
      </w:r>
      <w:proofErr w:type="spellEnd"/>
      <w:r w:rsidRPr="006D6DEE">
        <w:rPr>
          <w:rFonts w:ascii="Arial" w:eastAsia="Times New Roman" w:hAnsi="Arial" w:cs="Arial"/>
          <w:sz w:val="23"/>
          <w:szCs w:val="23"/>
          <w:lang w:eastAsia="cs-CZ"/>
        </w:rPr>
        <w:t xml:space="preserve"> Wagner splňují normy EU 868-8 a vyhlášku č.306/2012. Kontejnery jsou vyráběny v souladu s normou EN ISO 13485:2003.</w:t>
      </w:r>
    </w:p>
    <w:p w14:paraId="37506A1A" w14:textId="77777777" w:rsidR="00BB39C7" w:rsidRPr="006D6DEE" w:rsidRDefault="00BB39C7" w:rsidP="006D6DEE">
      <w:pPr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D6DEE">
        <w:rPr>
          <w:rFonts w:ascii="Arial" w:eastAsia="Times New Roman" w:hAnsi="Arial" w:cs="Arial"/>
          <w:sz w:val="23"/>
          <w:szCs w:val="23"/>
          <w:lang w:eastAsia="cs-CZ"/>
        </w:rPr>
        <w:t>Dekontaminační kontejnery jsou z nerezového plechu odolné proti fyzikálně-chemickým vlivům desinfekčních prostředků</w:t>
      </w:r>
    </w:p>
    <w:p w14:paraId="37506A1B" w14:textId="77777777" w:rsidR="000C211B" w:rsidRDefault="000C211B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1C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1D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1E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1F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20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D9C37CE" w14:textId="77777777" w:rsidR="00AD281B" w:rsidRDefault="00AD281B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u w:val="single"/>
        </w:rPr>
      </w:pPr>
    </w:p>
    <w:p w14:paraId="37506A21" w14:textId="77777777" w:rsidR="00BB39C7" w:rsidRPr="006D6DEE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u w:val="single"/>
        </w:rPr>
      </w:pPr>
      <w:r w:rsidRPr="006D6DEE">
        <w:rPr>
          <w:rFonts w:ascii="Arial" w:hAnsi="Arial" w:cs="Arial"/>
          <w:b/>
          <w:sz w:val="23"/>
          <w:szCs w:val="23"/>
          <w:u w:val="single"/>
        </w:rPr>
        <w:lastRenderedPageBreak/>
        <w:t>3 Část:</w:t>
      </w:r>
    </w:p>
    <w:p w14:paraId="37506A22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2060"/>
        <w:gridCol w:w="1200"/>
      </w:tblGrid>
      <w:tr w:rsidR="00BB39C7" w:rsidRPr="00BB39C7" w14:paraId="37506A26" w14:textId="77777777" w:rsidTr="00BB39C7">
        <w:trPr>
          <w:trHeight w:val="27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3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Název a rozměr položky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4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kód položky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5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</w:tr>
      <w:tr w:rsidR="00BB39C7" w:rsidRPr="00BB39C7" w14:paraId="37506A2A" w14:textId="77777777" w:rsidTr="00BB39C7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7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8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9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9C7" w:rsidRPr="00BB39C7" w14:paraId="37506A2E" w14:textId="77777777" w:rsidTr="00BB39C7">
        <w:trPr>
          <w:trHeight w:val="828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A2B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Ventilový sterilizační kontejner 296x275x</w:t>
            </w:r>
            <w:r w:rsidRPr="00BB39C7">
              <w:rPr>
                <w:rFonts w:ascii="Arial" w:eastAsia="Times New Roman" w:hAnsi="Arial" w:cs="Arial"/>
                <w:b/>
                <w:bCs/>
                <w:lang w:eastAsia="cs-CZ"/>
              </w:rPr>
              <w:t>210mm (170mm vnitřní výška)</w:t>
            </w:r>
            <w:r w:rsidRPr="00BB39C7">
              <w:rPr>
                <w:rFonts w:ascii="Arial" w:eastAsia="Times New Roman" w:hAnsi="Arial" w:cs="Arial"/>
                <w:lang w:eastAsia="cs-CZ"/>
              </w:rPr>
              <w:t>; eloxovaný hliník;</w:t>
            </w:r>
            <w:r w:rsidRPr="00BB39C7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C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TVA 34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2D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BB39C7" w:rsidRPr="00BB39C7" w14:paraId="37506A32" w14:textId="77777777" w:rsidTr="00BB39C7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A2F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 xml:space="preserve">Popisový štítek 60x40mm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0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CUA 6040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1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BB39C7" w:rsidRPr="00BB39C7" w14:paraId="37506A36" w14:textId="77777777" w:rsidTr="00BB39C7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3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39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Dělená sekce ke kontejneru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4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39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BTA 3304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5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39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14:paraId="37506A37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7506A38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u w:val="single"/>
        </w:rPr>
      </w:pPr>
      <w:r w:rsidRPr="006D6DEE">
        <w:rPr>
          <w:rFonts w:ascii="Arial" w:hAnsi="Arial" w:cs="Arial"/>
          <w:b/>
          <w:sz w:val="23"/>
          <w:szCs w:val="23"/>
          <w:u w:val="single"/>
        </w:rPr>
        <w:t>5 Část:</w:t>
      </w:r>
    </w:p>
    <w:p w14:paraId="37506A39" w14:textId="77777777" w:rsid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2060"/>
        <w:gridCol w:w="1200"/>
      </w:tblGrid>
      <w:tr w:rsidR="00BB39C7" w:rsidRPr="00BB39C7" w14:paraId="37506A3D" w14:textId="77777777" w:rsidTr="00BB39C7">
        <w:trPr>
          <w:trHeight w:val="27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A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Název a rozměr položky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B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kód položky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C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</w:tr>
      <w:tr w:rsidR="00BB39C7" w:rsidRPr="00BB39C7" w14:paraId="37506A41" w14:textId="77777777" w:rsidTr="00BB39C7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E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3F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0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9C7" w:rsidRPr="00BB39C7" w14:paraId="37506A45" w14:textId="77777777" w:rsidTr="00BB39C7">
        <w:trPr>
          <w:trHeight w:val="93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A42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Ventilový sterilizační kontejner 596x275x</w:t>
            </w:r>
            <w:r w:rsidRPr="00BB39C7">
              <w:rPr>
                <w:rFonts w:ascii="Arial" w:eastAsia="Times New Roman" w:hAnsi="Arial" w:cs="Arial"/>
                <w:b/>
                <w:bCs/>
                <w:lang w:eastAsia="cs-CZ"/>
              </w:rPr>
              <w:t>270mm (230mm vnitřní výška)</w:t>
            </w:r>
            <w:r w:rsidRPr="00BB39C7">
              <w:rPr>
                <w:rFonts w:ascii="Arial" w:eastAsia="Times New Roman" w:hAnsi="Arial" w:cs="Arial"/>
                <w:lang w:eastAsia="cs-CZ"/>
              </w:rPr>
              <w:t>; eloxovaný hliník;</w:t>
            </w:r>
            <w:r w:rsidRPr="00BB39C7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3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PVA 66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4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BB39C7" w:rsidRPr="00BB39C7" w14:paraId="37506A49" w14:textId="77777777" w:rsidTr="00BB39C7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A46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Popisový štítek 60x40mm -  modrý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7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CUA 6040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8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BB39C7" w:rsidRPr="00BB39C7" w14:paraId="37506A4D" w14:textId="77777777" w:rsidTr="00BB39C7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A4A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Popisový štítek 60x40mm -  zelený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B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CUA 6040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C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</w:tr>
      <w:tr w:rsidR="00BB39C7" w:rsidRPr="00BB39C7" w14:paraId="37506A51" w14:textId="77777777" w:rsidTr="00BB39C7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A4E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Plomby ke kontejnerům - modré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4F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DPKSIE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50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BB39C7" w:rsidRPr="00BB39C7" w14:paraId="37506A55" w14:textId="77777777" w:rsidTr="00BB39C7">
        <w:trPr>
          <w:trHeight w:val="615"/>
        </w:trPr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A52" w14:textId="77777777" w:rsidR="00BB39C7" w:rsidRPr="00BB39C7" w:rsidRDefault="00BB39C7" w:rsidP="00BB39C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9C7">
              <w:rPr>
                <w:rFonts w:ascii="Arial" w:eastAsia="Times New Roman" w:hAnsi="Arial" w:cs="Arial"/>
                <w:lang w:eastAsia="cs-CZ"/>
              </w:rPr>
              <w:t>Gravírování na štítek CUA (popis dle zákazníka)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53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39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 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54" w14:textId="77777777" w:rsidR="00BB39C7" w:rsidRPr="00BB39C7" w:rsidRDefault="00BB39C7" w:rsidP="00BB3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39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</w:tbl>
    <w:p w14:paraId="37506A56" w14:textId="77777777" w:rsidR="00BB39C7" w:rsidRPr="00BB39C7" w:rsidRDefault="00BB39C7" w:rsidP="000C211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sectPr w:rsidR="00BB39C7" w:rsidRPr="00BB39C7" w:rsidSect="00034FB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6A5A" w14:textId="77777777" w:rsidR="00806DC4" w:rsidRDefault="00806DC4" w:rsidP="00FF18EB">
      <w:pPr>
        <w:spacing w:after="0" w:line="240" w:lineRule="auto"/>
      </w:pPr>
      <w:r>
        <w:separator/>
      </w:r>
    </w:p>
  </w:endnote>
  <w:endnote w:type="continuationSeparator" w:id="0">
    <w:p w14:paraId="37506A5B" w14:textId="77777777" w:rsidR="00806DC4" w:rsidRDefault="00806DC4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6A5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37506A5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37506A5E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="00034FBA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="00034FBA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20377">
      <w:rPr>
        <w:rFonts w:ascii="Arial" w:hAnsi="Arial" w:cs="Arial"/>
        <w:b/>
        <w:bCs/>
        <w:noProof/>
        <w:sz w:val="20"/>
        <w:szCs w:val="20"/>
      </w:rPr>
      <w:t>7</w:t>
    </w:r>
    <w:r w:rsidR="00034FBA"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="00034FBA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="00034FBA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20377">
      <w:rPr>
        <w:rFonts w:ascii="Arial" w:hAnsi="Arial" w:cs="Arial"/>
        <w:b/>
        <w:bCs/>
        <w:noProof/>
        <w:sz w:val="20"/>
        <w:szCs w:val="20"/>
      </w:rPr>
      <w:t>9</w:t>
    </w:r>
    <w:r w:rsidR="00034FBA"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7506A5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06A58" w14:textId="77777777" w:rsidR="00806DC4" w:rsidRDefault="00806DC4" w:rsidP="00FF18EB">
      <w:pPr>
        <w:spacing w:after="0" w:line="240" w:lineRule="auto"/>
      </w:pPr>
      <w:r>
        <w:separator/>
      </w:r>
    </w:p>
  </w:footnote>
  <w:footnote w:type="continuationSeparator" w:id="0">
    <w:p w14:paraId="37506A59" w14:textId="77777777" w:rsidR="00806DC4" w:rsidRDefault="00806DC4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34FBA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1B"/>
    <w:rsid w:val="000C21E4"/>
    <w:rsid w:val="000C5A3D"/>
    <w:rsid w:val="000D0498"/>
    <w:rsid w:val="000F16D6"/>
    <w:rsid w:val="000F4C59"/>
    <w:rsid w:val="00113B40"/>
    <w:rsid w:val="00120377"/>
    <w:rsid w:val="001341A7"/>
    <w:rsid w:val="00134BC1"/>
    <w:rsid w:val="00142BD2"/>
    <w:rsid w:val="001470F0"/>
    <w:rsid w:val="0014717B"/>
    <w:rsid w:val="00154F85"/>
    <w:rsid w:val="00183226"/>
    <w:rsid w:val="00183727"/>
    <w:rsid w:val="001874D4"/>
    <w:rsid w:val="00196288"/>
    <w:rsid w:val="001A3D2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E1388"/>
    <w:rsid w:val="002E48E0"/>
    <w:rsid w:val="002F4EDA"/>
    <w:rsid w:val="003073CD"/>
    <w:rsid w:val="00327588"/>
    <w:rsid w:val="00330DC4"/>
    <w:rsid w:val="003360BF"/>
    <w:rsid w:val="00341AD8"/>
    <w:rsid w:val="00355E79"/>
    <w:rsid w:val="00375955"/>
    <w:rsid w:val="00382D5D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404"/>
    <w:rsid w:val="00457F76"/>
    <w:rsid w:val="00487BCE"/>
    <w:rsid w:val="00494052"/>
    <w:rsid w:val="004A6335"/>
    <w:rsid w:val="004B52F7"/>
    <w:rsid w:val="004B647F"/>
    <w:rsid w:val="004B7BE2"/>
    <w:rsid w:val="004C2151"/>
    <w:rsid w:val="004C36B2"/>
    <w:rsid w:val="004D08FA"/>
    <w:rsid w:val="004D237F"/>
    <w:rsid w:val="004E74F7"/>
    <w:rsid w:val="004F3A6F"/>
    <w:rsid w:val="00503008"/>
    <w:rsid w:val="005153A4"/>
    <w:rsid w:val="00521953"/>
    <w:rsid w:val="005371E9"/>
    <w:rsid w:val="00546C21"/>
    <w:rsid w:val="00560C16"/>
    <w:rsid w:val="00571D58"/>
    <w:rsid w:val="005766FB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4B4F"/>
    <w:rsid w:val="00656B08"/>
    <w:rsid w:val="0067085F"/>
    <w:rsid w:val="00672FA9"/>
    <w:rsid w:val="006768E4"/>
    <w:rsid w:val="00677234"/>
    <w:rsid w:val="00690BB7"/>
    <w:rsid w:val="0069434E"/>
    <w:rsid w:val="006A6647"/>
    <w:rsid w:val="006B095E"/>
    <w:rsid w:val="006C3751"/>
    <w:rsid w:val="006C589F"/>
    <w:rsid w:val="006D0F33"/>
    <w:rsid w:val="006D2B4E"/>
    <w:rsid w:val="006D4738"/>
    <w:rsid w:val="006D6DEE"/>
    <w:rsid w:val="006E2FF9"/>
    <w:rsid w:val="006E4EF6"/>
    <w:rsid w:val="006E54D0"/>
    <w:rsid w:val="006F1C5C"/>
    <w:rsid w:val="006F3F4A"/>
    <w:rsid w:val="0071478F"/>
    <w:rsid w:val="007157D9"/>
    <w:rsid w:val="00735D41"/>
    <w:rsid w:val="0073763C"/>
    <w:rsid w:val="00744E5D"/>
    <w:rsid w:val="0075205D"/>
    <w:rsid w:val="00775695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6DC4"/>
    <w:rsid w:val="00807207"/>
    <w:rsid w:val="00821D5C"/>
    <w:rsid w:val="00823BA0"/>
    <w:rsid w:val="008338EF"/>
    <w:rsid w:val="00842B1F"/>
    <w:rsid w:val="00842E4D"/>
    <w:rsid w:val="0085307C"/>
    <w:rsid w:val="008645D8"/>
    <w:rsid w:val="00865A8C"/>
    <w:rsid w:val="008877B1"/>
    <w:rsid w:val="008903ED"/>
    <w:rsid w:val="008A4B00"/>
    <w:rsid w:val="008B5D24"/>
    <w:rsid w:val="008B695B"/>
    <w:rsid w:val="008C6D9A"/>
    <w:rsid w:val="008D0213"/>
    <w:rsid w:val="008D17FE"/>
    <w:rsid w:val="008F5230"/>
    <w:rsid w:val="008F6BCC"/>
    <w:rsid w:val="00901F83"/>
    <w:rsid w:val="00916EE4"/>
    <w:rsid w:val="009206F6"/>
    <w:rsid w:val="0092292F"/>
    <w:rsid w:val="00931C39"/>
    <w:rsid w:val="00932EBD"/>
    <w:rsid w:val="009547FF"/>
    <w:rsid w:val="00957978"/>
    <w:rsid w:val="009606A3"/>
    <w:rsid w:val="00961803"/>
    <w:rsid w:val="009664E0"/>
    <w:rsid w:val="00971663"/>
    <w:rsid w:val="0097244D"/>
    <w:rsid w:val="00973DFD"/>
    <w:rsid w:val="009A3D16"/>
    <w:rsid w:val="009A401F"/>
    <w:rsid w:val="009A4F9F"/>
    <w:rsid w:val="009B2645"/>
    <w:rsid w:val="009B2B19"/>
    <w:rsid w:val="009B48A9"/>
    <w:rsid w:val="009C2784"/>
    <w:rsid w:val="009D3B32"/>
    <w:rsid w:val="009F2221"/>
    <w:rsid w:val="009F3BF8"/>
    <w:rsid w:val="00A03A2C"/>
    <w:rsid w:val="00A03BF1"/>
    <w:rsid w:val="00A131FD"/>
    <w:rsid w:val="00A146F1"/>
    <w:rsid w:val="00A17F49"/>
    <w:rsid w:val="00A32CC4"/>
    <w:rsid w:val="00A4060F"/>
    <w:rsid w:val="00A51741"/>
    <w:rsid w:val="00A52F13"/>
    <w:rsid w:val="00A655D2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281B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0546E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B39C7"/>
    <w:rsid w:val="00BD06AB"/>
    <w:rsid w:val="00BD0B30"/>
    <w:rsid w:val="00BE2371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C6C"/>
    <w:rsid w:val="00C73746"/>
    <w:rsid w:val="00C85658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26D1D"/>
    <w:rsid w:val="00D308D9"/>
    <w:rsid w:val="00D5028A"/>
    <w:rsid w:val="00D813B7"/>
    <w:rsid w:val="00D818EC"/>
    <w:rsid w:val="00D86891"/>
    <w:rsid w:val="00D927B5"/>
    <w:rsid w:val="00DA1353"/>
    <w:rsid w:val="00DA5A63"/>
    <w:rsid w:val="00DD3E47"/>
    <w:rsid w:val="00DE4489"/>
    <w:rsid w:val="00DF53D7"/>
    <w:rsid w:val="00DF71F9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A12DA"/>
    <w:rsid w:val="00EB6947"/>
    <w:rsid w:val="00EC0791"/>
    <w:rsid w:val="00ED3A3E"/>
    <w:rsid w:val="00EE477D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EE5"/>
    <w:rsid w:val="00F86F9D"/>
    <w:rsid w:val="00F91A23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06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laskova.zaneta@fnbrno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dvorakova@fnbrn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02E2AB80C874782D3DCDF445F945C" ma:contentTypeVersion="0" ma:contentTypeDescription="Vytvoří nový dokument" ma:contentTypeScope="" ma:versionID="3595e8a83981beb09f0075a4709e17c1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2DWAXVAW3MHF-650-55</_dlc_DocId>
    <_dlc_DocIdUrl xmlns="a7e37686-00e6-405d-9032-d05dd3ba55a9">
      <Url>http://vis/c012/WebVZ/_layouts/15/DocIdRedir.aspx?ID=2DWAXVAW3MHF-650-55</Url>
      <Description>2DWAXVAW3MHF-650-55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4D4DA-B4A6-4CD3-A47F-7F1FEBE289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7468C2-DA09-498A-A79D-1EEA13D66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7FD1D-4196-4DA1-93D9-CA3B4509812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a7e37686-00e6-405d-9032-d05dd3ba55a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DDB74B-2BC8-4013-9F2D-C35A457F5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Lompejova Petra</cp:lastModifiedBy>
  <cp:revision>3</cp:revision>
  <cp:lastPrinted>2014-11-14T12:46:00Z</cp:lastPrinted>
  <dcterms:created xsi:type="dcterms:W3CDTF">2016-07-26T12:44:00Z</dcterms:created>
  <dcterms:modified xsi:type="dcterms:W3CDTF">2016-08-11T06:19:00Z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0x010100ABF02E2AB80C874782D3DCDF445F945C</vt:lpwstr>
  </property>
  <property fmtid="{D5CDD505-2E9C-101B-9397-08002B2CF9AE}" pid="3" name="_dlc_DocIdItemGuid">
    <vt:lpwstr>c8254d30-90a8-4fa5-bdc9-3fa6555e06e3</vt:lpwstr>
  </property>
</Properties>
</file>